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color w:val="auto"/>
        </w:rPr>
        <w:drawing>
          <wp:anchor simplePos="0" relativeHeight="251657728" behindDoc="1" locked="0" layoutInCell="0" allowOverlap="1">
            <wp:simplePos x="0" y="0"/>
            <wp:positionH relativeFrom="page">
              <wp:posOffset>205105</wp:posOffset>
            </wp:positionH>
            <wp:positionV relativeFrom="page">
              <wp:posOffset>825500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850265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SECURITIES AND EXCHANGE COMMISSION</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WASHINGTON, D.C. 20549</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color w:val="auto"/>
        </w:rPr>
        <w:t>FORM 10-Q</w:t>
      </w:r>
    </w:p>
    <w:p>
      <w:pPr>
        <w:spacing w:after="0" w:line="195" w:lineRule="exact"/>
        <w:rPr>
          <w:sz w:val="24"/>
          <w:szCs w:val="24"/>
          <w:color w:val="auto"/>
        </w:rPr>
      </w:pPr>
    </w:p>
    <w:p>
      <w:pPr>
        <w:ind w:right="480"/>
        <w:spacing w:after="0" w:line="287" w:lineRule="auto"/>
        <w:rPr>
          <w:sz w:val="20"/>
          <w:szCs w:val="20"/>
          <w:color w:val="auto"/>
        </w:rPr>
      </w:pPr>
      <w:r>
        <w:rPr>
          <w:rFonts w:ascii="Times New Roman" w:cs="Times New Roman" w:eastAsia="Times New Roman" w:hAnsi="Times New Roman"/>
          <w:sz w:val="17"/>
          <w:szCs w:val="17"/>
          <w:color w:val="auto"/>
        </w:rPr>
        <w:t xml:space="preserve">QUARTERLY REPORT PURSUANT TO SECTION 13 OR 15(d) OF THE SECURITIES EXCHANGE ACT OF 1934 FOR THE QUARTERLY PERIOD ENDED </w:t>
      </w:r>
      <w:r>
        <w:rPr>
          <w:rFonts w:ascii="Times New Roman" w:cs="Times New Roman" w:eastAsia="Times New Roman" w:hAnsi="Times New Roman"/>
          <w:sz w:val="17"/>
          <w:szCs w:val="17"/>
          <w:u w:val="single" w:color="auto"/>
          <w:color w:val="auto"/>
        </w:rPr>
        <w:t>September 30, 2025</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Commission file number  0-7818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1087120</wp:posOffset>
            </wp:positionH>
            <wp:positionV relativeFrom="paragraph">
              <wp:posOffset>-6350</wp:posOffset>
            </wp:positionV>
            <wp:extent cx="391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36830</wp:posOffset>
            </wp:positionV>
            <wp:extent cx="713867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Michigan</w:t>
            </w:r>
          </w:p>
        </w:tc>
        <w:tc>
          <w:tcPr>
            <w:tcW w:w="80" w:type="dxa"/>
            <w:vAlign w:val="bottom"/>
          </w:tcPr>
          <w:p>
            <w:pPr>
              <w:spacing w:after="0"/>
              <w:rPr>
                <w:sz w:val="20"/>
                <w:szCs w:val="20"/>
                <w:color w:val="auto"/>
              </w:rPr>
            </w:pPr>
          </w:p>
        </w:tc>
        <w:tc>
          <w:tcPr>
            <w:tcW w:w="5580" w:type="dxa"/>
            <w:vAlign w:val="bottom"/>
            <w:tcBorders>
              <w:bottom w:val="single" w:sz="8" w:color="auto"/>
            </w:tcBorders>
          </w:tcPr>
          <w:p>
            <w:pPr>
              <w:jc w:val="right"/>
              <w:ind w:right="2294"/>
              <w:spacing w:after="0"/>
              <w:rPr>
                <w:sz w:val="20"/>
                <w:szCs w:val="20"/>
                <w:color w:val="auto"/>
              </w:rPr>
            </w:pPr>
            <w:r>
              <w:rPr>
                <w:rFonts w:ascii="Times New Roman" w:cs="Times New Roman" w:eastAsia="Times New Roman" w:hAnsi="Times New Roman"/>
                <w:sz w:val="17"/>
                <w:szCs w:val="17"/>
                <w:color w:val="auto"/>
              </w:rPr>
              <w:t>38-2032782</w:t>
            </w:r>
          </w:p>
        </w:tc>
      </w:tr>
      <w:tr>
        <w:trPr>
          <w:trHeight w:val="232"/>
        </w:trPr>
        <w:tc>
          <w:tcPr>
            <w:tcW w:w="56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(State or jurisdiction of Incorporation or Organization)</w:t>
            </w:r>
          </w:p>
        </w:tc>
        <w:tc>
          <w:tcPr>
            <w:tcW w:w="5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(I.R.S. Employer Identification Number)</w:t>
            </w:r>
          </w:p>
        </w:tc>
      </w:tr>
    </w:tbl>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7"/>
          <w:szCs w:val="17"/>
          <w:color w:val="auto"/>
        </w:rPr>
        <w:t>4200 East Beltline, Grand Rapids, Michigan 49525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3867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55"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(616) 527-5820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3867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Former name, address and fiscal year, if changed since last report.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379"/>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100" w:type="dxa"/>
            <w:vAlign w:val="bottom"/>
          </w:tcPr>
          <w:p>
            <w:pPr>
              <w:spacing w:after="0"/>
              <w:rPr>
                <w:sz w:val="24"/>
                <w:szCs w:val="24"/>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w:t>
            </w:r>
          </w:p>
        </w:tc>
        <w:tc>
          <w:tcPr>
            <w:tcW w:w="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which registered</w:t>
            </w:r>
          </w:p>
        </w:tc>
      </w:tr>
      <w:tr>
        <w:trPr>
          <w:trHeight w:val="232"/>
        </w:trPr>
        <w:tc>
          <w:tcPr>
            <w:tcW w:w="41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Common stock, no par value</w:t>
            </w: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IBCP</w:t>
            </w:r>
          </w:p>
        </w:tc>
        <w:tc>
          <w:tcPr>
            <w:tcW w:w="4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The Nasdaq Stock Market, LLC</w:t>
            </w:r>
          </w:p>
        </w:tc>
      </w:tr>
    </w:tbl>
    <w:p>
      <w:pPr>
        <w:spacing w:after="0" w:line="254" w:lineRule="exact"/>
        <w:rPr>
          <w:sz w:val="24"/>
          <w:szCs w:val="24"/>
          <w:color w:val="auto"/>
        </w:rPr>
      </w:pPr>
    </w:p>
    <w:p>
      <w:pPr>
        <w:ind w:right="40"/>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40" w:lineRule="exact"/>
        <w:rPr>
          <w:sz w:val="24"/>
          <w:szCs w:val="24"/>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7" w:lineRule="exact"/>
        <w:rPr>
          <w:sz w:val="24"/>
          <w:szCs w:val="24"/>
          <w:color w:val="auto"/>
        </w:rPr>
      </w:pPr>
    </w:p>
    <w:p>
      <w:pPr>
        <w:ind w:right="160"/>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Accelerated filer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Emerging growth company </w:t>
      </w:r>
      <w:r>
        <w:rPr>
          <w:rFonts w:ascii="MS PGothic" w:cs="MS PGothic" w:eastAsia="MS PGothic" w:hAnsi="MS PGothic"/>
          <w:sz w:val="17"/>
          <w:szCs w:val="17"/>
          <w:color w:val="auto"/>
        </w:rPr>
        <w:t>☐</w:t>
      </w:r>
    </w:p>
    <w:p>
      <w:pPr>
        <w:spacing w:after="0" w:line="17" w:lineRule="exact"/>
        <w:rPr>
          <w:sz w:val="24"/>
          <w:szCs w:val="24"/>
          <w:color w:val="auto"/>
        </w:rPr>
      </w:pPr>
    </w:p>
    <w:p>
      <w:pPr>
        <w:ind w:right="480"/>
        <w:spacing w:after="0" w:line="207"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r>
    </w:p>
    <w:p>
      <w:pPr>
        <w:spacing w:after="0" w:line="1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12" w:lineRule="exact"/>
        <w:rPr>
          <w:sz w:val="24"/>
          <w:szCs w:val="24"/>
          <w:color w:val="auto"/>
        </w:rPr>
      </w:pPr>
    </w:p>
    <w:p>
      <w:pPr>
        <w:ind w:right="800"/>
        <w:spacing w:after="0" w:line="265" w:lineRule="auto"/>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 common stock, no par value, 20,691,952 as of November 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800735</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167005</wp:posOffset>
            </wp:positionV>
            <wp:extent cx="7138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191770</wp:posOffset>
            </wp:positionV>
            <wp:extent cx="7138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43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color w:val="auto"/>
        </w:rPr>
        <w:t>INDEPENDENT BANK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INDEX</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97"/>
              </w:rPr>
              <w:t>Number(s)</w:t>
            </w:r>
          </w:p>
        </w:tc>
      </w:tr>
      <w:tr>
        <w:trPr>
          <w:trHeight w:val="225"/>
        </w:trPr>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PART I -</w:t>
            </w:r>
          </w:p>
        </w:tc>
        <w:tc>
          <w:tcPr>
            <w:tcW w:w="9260" w:type="dxa"/>
            <w:vAlign w:val="bottom"/>
            <w:gridSpan w:val="17"/>
          </w:tcPr>
          <w:p>
            <w:pPr>
              <w:spacing w:after="0"/>
              <w:rPr>
                <w:sz w:val="20"/>
                <w:szCs w:val="20"/>
                <w:color w:val="auto"/>
              </w:rPr>
            </w:pPr>
            <w:r>
              <w:rPr>
                <w:rFonts w:ascii="Times New Roman" w:cs="Times New Roman" w:eastAsia="Times New Roman" w:hAnsi="Times New Roman"/>
                <w:sz w:val="17"/>
                <w:szCs w:val="17"/>
                <w:color w:val="auto"/>
              </w:rPr>
              <w:t>Financial Information</w:t>
            </w: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32"/>
        </w:trPr>
        <w:tc>
          <w:tcPr>
            <w:tcW w:w="10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93"/>
        </w:trPr>
        <w:tc>
          <w:tcPr>
            <w:tcW w:w="102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7"/>
                <w:szCs w:val="17"/>
                <w:color w:val="auto"/>
              </w:rPr>
              <w:t>Item 1.</w:t>
            </w:r>
          </w:p>
        </w:tc>
        <w:tc>
          <w:tcPr>
            <w:tcW w:w="9260" w:type="dxa"/>
            <w:vAlign w:val="bottom"/>
            <w:gridSpan w:val="17"/>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FF"/>
              </w:rPr>
              <w:t>Condensed Consolidated Statements of Financial Condition September 30, 2025 and December 31, 2024</w:t>
            </w:r>
          </w:p>
        </w:tc>
        <w:tc>
          <w:tcPr>
            <w:tcW w:w="960" w:type="dxa"/>
            <w:vAlign w:val="bottom"/>
            <w:gridSpan w:val="2"/>
            <w:shd w:val="clear" w:color="auto" w:fill="CCEEFF"/>
          </w:tcPr>
          <w:p>
            <w:pPr>
              <w:jc w:val="right"/>
              <w:ind w:right="20"/>
              <w:spacing w:after="0" w:line="173" w:lineRule="exact"/>
              <w:rPr>
                <w:sz w:val="20"/>
                <w:szCs w:val="20"/>
                <w:color w:val="auto"/>
              </w:rPr>
            </w:pPr>
            <w:r>
              <w:rPr>
                <w:rFonts w:ascii="Times New Roman" w:cs="Times New Roman" w:eastAsia="Times New Roman" w:hAnsi="Times New Roman"/>
                <w:sz w:val="17"/>
                <w:szCs w:val="17"/>
                <w:color w:val="auto"/>
              </w:rPr>
              <w:t>3</w:t>
            </w:r>
          </w:p>
        </w:tc>
      </w:tr>
      <w:tr>
        <w:trPr>
          <w:trHeight w:val="44"/>
        </w:trPr>
        <w:tc>
          <w:tcPr>
            <w:tcW w:w="10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300" w:type="dxa"/>
            <w:vAlign w:val="bottom"/>
            <w:tcBorders>
              <w:top w:val="single" w:sz="8" w:color="0000FF"/>
            </w:tcBorders>
            <w:shd w:val="clear" w:color="auto" w:fill="CCEEFF"/>
          </w:tcPr>
          <w:p>
            <w:pPr>
              <w:spacing w:after="0"/>
              <w:rPr>
                <w:sz w:val="3"/>
                <w:szCs w:val="3"/>
                <w:color w:val="auto"/>
              </w:rPr>
            </w:pPr>
          </w:p>
        </w:tc>
        <w:tc>
          <w:tcPr>
            <w:tcW w:w="38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24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1780" w:type="dxa"/>
            <w:vAlign w:val="bottom"/>
            <w:tcBorders>
              <w:top w:val="single" w:sz="8" w:color="0000FF"/>
            </w:tcBorders>
            <w:shd w:val="clear" w:color="auto" w:fill="CCEEFF"/>
          </w:tcPr>
          <w:p>
            <w:pPr>
              <w:spacing w:after="0"/>
              <w:rPr>
                <w:sz w:val="3"/>
                <w:szCs w:val="3"/>
                <w:color w:val="auto"/>
              </w:rPr>
            </w:pPr>
          </w:p>
        </w:tc>
        <w:tc>
          <w:tcPr>
            <w:tcW w:w="1060" w:type="dxa"/>
            <w:vAlign w:val="bottom"/>
            <w:tcBorders>
              <w:top w:val="single" w:sz="8" w:color="0000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r>
      <w:tr>
        <w:trPr>
          <w:trHeight w:val="193"/>
        </w:trPr>
        <w:tc>
          <w:tcPr>
            <w:tcW w:w="1020" w:type="dxa"/>
            <w:vAlign w:val="bottom"/>
          </w:tcPr>
          <w:p>
            <w:pPr>
              <w:spacing w:after="0"/>
              <w:rPr>
                <w:sz w:val="16"/>
                <w:szCs w:val="16"/>
                <w:color w:val="auto"/>
              </w:rPr>
            </w:pPr>
          </w:p>
        </w:tc>
        <w:tc>
          <w:tcPr>
            <w:tcW w:w="9260" w:type="dxa"/>
            <w:vAlign w:val="bottom"/>
            <w:gridSpan w:val="17"/>
          </w:tcPr>
          <w:p>
            <w:pPr>
              <w:spacing w:after="0" w:line="173" w:lineRule="exact"/>
              <w:rPr>
                <w:sz w:val="20"/>
                <w:szCs w:val="20"/>
                <w:color w:val="auto"/>
              </w:rPr>
            </w:pPr>
            <w:r>
              <w:rPr>
                <w:rFonts w:ascii="Times New Roman" w:cs="Times New Roman" w:eastAsia="Times New Roman" w:hAnsi="Times New Roman"/>
                <w:sz w:val="17"/>
                <w:szCs w:val="17"/>
                <w:color w:val="0000FF"/>
              </w:rPr>
              <w:t>Condensed Consolidated Statements of Operations Three- and Nine-month periods ended September 30, 2025 and 2024</w:t>
            </w:r>
          </w:p>
        </w:tc>
        <w:tc>
          <w:tcPr>
            <w:tcW w:w="960" w:type="dxa"/>
            <w:vAlign w:val="bottom"/>
            <w:gridSpan w:val="2"/>
          </w:tcPr>
          <w:p>
            <w:pPr>
              <w:jc w:val="right"/>
              <w:ind w:right="20"/>
              <w:spacing w:after="0" w:line="173" w:lineRule="exact"/>
              <w:rPr>
                <w:sz w:val="20"/>
                <w:szCs w:val="20"/>
                <w:color w:val="auto"/>
              </w:rPr>
            </w:pPr>
            <w:r>
              <w:rPr>
                <w:rFonts w:ascii="Times New Roman" w:cs="Times New Roman" w:eastAsia="Times New Roman" w:hAnsi="Times New Roman"/>
                <w:sz w:val="17"/>
                <w:szCs w:val="17"/>
                <w:color w:val="auto"/>
              </w:rPr>
              <w:t>4</w:t>
            </w:r>
          </w:p>
        </w:tc>
      </w:tr>
      <w:tr>
        <w:trPr>
          <w:trHeight w:val="44"/>
        </w:trPr>
        <w:tc>
          <w:tcPr>
            <w:tcW w:w="1020" w:type="dxa"/>
            <w:vAlign w:val="bottom"/>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4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780" w:type="dxa"/>
            <w:vAlign w:val="bottom"/>
            <w:tcBorders>
              <w:top w:val="single" w:sz="8" w:color="0000FF"/>
            </w:tcBorders>
          </w:tcPr>
          <w:p>
            <w:pPr>
              <w:spacing w:after="0"/>
              <w:rPr>
                <w:sz w:val="3"/>
                <w:szCs w:val="3"/>
                <w:color w:val="auto"/>
              </w:rPr>
            </w:pPr>
          </w:p>
        </w:tc>
        <w:tc>
          <w:tcPr>
            <w:tcW w:w="106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193"/>
        </w:trPr>
        <w:tc>
          <w:tcPr>
            <w:tcW w:w="1020" w:type="dxa"/>
            <w:vAlign w:val="bottom"/>
            <w:shd w:val="clear" w:color="auto" w:fill="CCEEFF"/>
          </w:tcPr>
          <w:p>
            <w:pPr>
              <w:spacing w:after="0"/>
              <w:rPr>
                <w:sz w:val="16"/>
                <w:szCs w:val="16"/>
                <w:color w:val="auto"/>
              </w:rPr>
            </w:pPr>
          </w:p>
        </w:tc>
        <w:tc>
          <w:tcPr>
            <w:tcW w:w="9260" w:type="dxa"/>
            <w:vAlign w:val="bottom"/>
            <w:gridSpan w:val="1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Condensed Consolidated Statements of Comprehensive Income Three- and Nine-month periods ended September 30, 2025 and</w:t>
            </w: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31"/>
        </w:trPr>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0000FF"/>
              <w:bottom w:val="single" w:sz="8" w:color="CCEEFF"/>
            </w:tcBorders>
            <w:shd w:val="clear" w:color="auto" w:fill="CCEEFF"/>
          </w:tcPr>
          <w:p>
            <w:pPr>
              <w:spacing w:after="0"/>
              <w:rPr>
                <w:sz w:val="20"/>
                <w:szCs w:val="20"/>
                <w:color w:val="auto"/>
              </w:rPr>
            </w:pPr>
          </w:p>
        </w:tc>
        <w:tc>
          <w:tcPr>
            <w:tcW w:w="360" w:type="dxa"/>
            <w:vAlign w:val="bottom"/>
            <w:tcBorders>
              <w:top w:val="single" w:sz="8" w:color="0000FF"/>
              <w:bottom w:val="single" w:sz="8" w:color="0000FF"/>
            </w:tcBorders>
            <w:shd w:val="clear" w:color="auto" w:fill="CCEEFF"/>
          </w:tcPr>
          <w:p>
            <w:pPr>
              <w:jc w:val="right"/>
              <w:spacing w:after="0" w:line="173" w:lineRule="exact"/>
              <w:rPr>
                <w:sz w:val="20"/>
                <w:szCs w:val="20"/>
                <w:color w:val="auto"/>
              </w:rPr>
            </w:pPr>
            <w:r>
              <w:rPr>
                <w:rFonts w:ascii="Times New Roman" w:cs="Times New Roman" w:eastAsia="Times New Roman" w:hAnsi="Times New Roman"/>
                <w:sz w:val="17"/>
                <w:szCs w:val="17"/>
                <w:color w:val="0000FF"/>
                <w:w w:val="99"/>
              </w:rPr>
              <w:t>2024</w:t>
            </w:r>
          </w:p>
        </w:tc>
        <w:tc>
          <w:tcPr>
            <w:tcW w:w="60" w:type="dxa"/>
            <w:vAlign w:val="bottom"/>
            <w:tcBorders>
              <w:top w:val="single" w:sz="8" w:color="0000FF"/>
              <w:bottom w:val="single" w:sz="8" w:color="CCEEFF"/>
            </w:tcBorders>
            <w:shd w:val="clear" w:color="auto" w:fill="CCEEFF"/>
          </w:tcPr>
          <w:p>
            <w:pPr>
              <w:spacing w:after="0"/>
              <w:rPr>
                <w:sz w:val="20"/>
                <w:szCs w:val="20"/>
                <w:color w:val="auto"/>
              </w:rPr>
            </w:pPr>
          </w:p>
        </w:tc>
        <w:tc>
          <w:tcPr>
            <w:tcW w:w="300" w:type="dxa"/>
            <w:vAlign w:val="bottom"/>
            <w:tcBorders>
              <w:top w:val="single" w:sz="8" w:color="0000FF"/>
              <w:bottom w:val="single" w:sz="8" w:color="CCEEFF"/>
            </w:tcBorders>
            <w:shd w:val="clear" w:color="auto" w:fill="CCEEFF"/>
          </w:tcPr>
          <w:p>
            <w:pPr>
              <w:spacing w:after="0"/>
              <w:rPr>
                <w:sz w:val="20"/>
                <w:szCs w:val="20"/>
                <w:color w:val="auto"/>
              </w:rPr>
            </w:pPr>
          </w:p>
        </w:tc>
        <w:tc>
          <w:tcPr>
            <w:tcW w:w="380" w:type="dxa"/>
            <w:vAlign w:val="bottom"/>
            <w:tcBorders>
              <w:top w:val="single" w:sz="8" w:color="0000FF"/>
              <w:bottom w:val="single" w:sz="8" w:color="CCEEFF"/>
            </w:tcBorders>
            <w:shd w:val="clear" w:color="auto" w:fill="CCEEFF"/>
          </w:tcPr>
          <w:p>
            <w:pPr>
              <w:spacing w:after="0"/>
              <w:rPr>
                <w:sz w:val="20"/>
                <w:szCs w:val="20"/>
                <w:color w:val="auto"/>
              </w:rPr>
            </w:pPr>
          </w:p>
        </w:tc>
        <w:tc>
          <w:tcPr>
            <w:tcW w:w="260" w:type="dxa"/>
            <w:vAlign w:val="bottom"/>
            <w:tcBorders>
              <w:top w:val="single" w:sz="8" w:color="0000FF"/>
              <w:bottom w:val="single" w:sz="8" w:color="CCEEFF"/>
            </w:tcBorders>
            <w:shd w:val="clear" w:color="auto" w:fill="CCEEFF"/>
          </w:tcPr>
          <w:p>
            <w:pPr>
              <w:spacing w:after="0"/>
              <w:rPr>
                <w:sz w:val="20"/>
                <w:szCs w:val="20"/>
                <w:color w:val="auto"/>
              </w:rPr>
            </w:pPr>
          </w:p>
        </w:tc>
        <w:tc>
          <w:tcPr>
            <w:tcW w:w="180" w:type="dxa"/>
            <w:vAlign w:val="bottom"/>
            <w:tcBorders>
              <w:top w:val="single" w:sz="8" w:color="0000FF"/>
              <w:bottom w:val="single" w:sz="8" w:color="CCEEFF"/>
            </w:tcBorders>
            <w:shd w:val="clear" w:color="auto" w:fill="CCEEFF"/>
          </w:tcPr>
          <w:p>
            <w:pPr>
              <w:spacing w:after="0"/>
              <w:rPr>
                <w:sz w:val="20"/>
                <w:szCs w:val="20"/>
                <w:color w:val="auto"/>
              </w:rPr>
            </w:pPr>
          </w:p>
        </w:tc>
        <w:tc>
          <w:tcPr>
            <w:tcW w:w="2420" w:type="dxa"/>
            <w:vAlign w:val="bottom"/>
            <w:tcBorders>
              <w:top w:val="single" w:sz="8" w:color="0000FF"/>
              <w:bottom w:val="single" w:sz="8" w:color="CCEEFF"/>
            </w:tcBorders>
            <w:shd w:val="clear" w:color="auto" w:fill="CCEEFF"/>
          </w:tcPr>
          <w:p>
            <w:pPr>
              <w:spacing w:after="0"/>
              <w:rPr>
                <w:sz w:val="20"/>
                <w:szCs w:val="20"/>
                <w:color w:val="auto"/>
              </w:rPr>
            </w:pPr>
          </w:p>
        </w:tc>
        <w:tc>
          <w:tcPr>
            <w:tcW w:w="40" w:type="dxa"/>
            <w:vAlign w:val="bottom"/>
            <w:tcBorders>
              <w:top w:val="single" w:sz="8" w:color="0000FF"/>
              <w:bottom w:val="single" w:sz="8" w:color="CCEEFF"/>
            </w:tcBorders>
            <w:shd w:val="clear" w:color="auto" w:fill="CCEEFF"/>
          </w:tcPr>
          <w:p>
            <w:pPr>
              <w:spacing w:after="0"/>
              <w:rPr>
                <w:sz w:val="20"/>
                <w:szCs w:val="20"/>
                <w:color w:val="auto"/>
              </w:rPr>
            </w:pPr>
          </w:p>
        </w:tc>
        <w:tc>
          <w:tcPr>
            <w:tcW w:w="220" w:type="dxa"/>
            <w:vAlign w:val="bottom"/>
            <w:tcBorders>
              <w:top w:val="single" w:sz="8" w:color="0000FF"/>
              <w:bottom w:val="single" w:sz="8" w:color="CCEEFF"/>
            </w:tcBorders>
            <w:shd w:val="clear" w:color="auto" w:fill="CCEEFF"/>
          </w:tcPr>
          <w:p>
            <w:pPr>
              <w:spacing w:after="0"/>
              <w:rPr>
                <w:sz w:val="20"/>
                <w:szCs w:val="20"/>
                <w:color w:val="auto"/>
              </w:rPr>
            </w:pPr>
          </w:p>
        </w:tc>
        <w:tc>
          <w:tcPr>
            <w:tcW w:w="1780" w:type="dxa"/>
            <w:vAlign w:val="bottom"/>
            <w:tcBorders>
              <w:top w:val="single" w:sz="8" w:color="0000FF"/>
              <w:bottom w:val="single" w:sz="8" w:color="CCEEFF"/>
            </w:tcBorders>
            <w:shd w:val="clear" w:color="auto" w:fill="CCEEFF"/>
          </w:tcPr>
          <w:p>
            <w:pPr>
              <w:spacing w:after="0"/>
              <w:rPr>
                <w:sz w:val="20"/>
                <w:szCs w:val="20"/>
                <w:color w:val="auto"/>
              </w:rPr>
            </w:pPr>
          </w:p>
        </w:tc>
        <w:tc>
          <w:tcPr>
            <w:tcW w:w="1060" w:type="dxa"/>
            <w:vAlign w:val="bottom"/>
            <w:tcBorders>
              <w:top w:val="single" w:sz="8" w:color="0000FF"/>
              <w:bottom w:val="single" w:sz="8" w:color="CCEEFF"/>
            </w:tcBorders>
            <w:shd w:val="clear" w:color="auto" w:fill="CCEEFF"/>
          </w:tcPr>
          <w:p>
            <w:pPr>
              <w:spacing w:after="0"/>
              <w:rPr>
                <w:sz w:val="20"/>
                <w:szCs w:val="20"/>
                <w:color w:val="auto"/>
              </w:rPr>
            </w:pPr>
          </w:p>
        </w:tc>
        <w:tc>
          <w:tcPr>
            <w:tcW w:w="320" w:type="dxa"/>
            <w:vAlign w:val="bottom"/>
            <w:tcBorders>
              <w:top w:val="single" w:sz="8" w:color="0000FF"/>
              <w:bottom w:val="single" w:sz="8" w:color="CCEEFF"/>
            </w:tcBorders>
            <w:shd w:val="clear" w:color="auto" w:fill="CCEEFF"/>
          </w:tcPr>
          <w:p>
            <w:pPr>
              <w:spacing w:after="0"/>
              <w:rPr>
                <w:sz w:val="20"/>
                <w:szCs w:val="20"/>
                <w:color w:val="auto"/>
              </w:rPr>
            </w:pPr>
          </w:p>
        </w:tc>
        <w:tc>
          <w:tcPr>
            <w:tcW w:w="740" w:type="dxa"/>
            <w:vAlign w:val="bottom"/>
            <w:tcBorders>
              <w:top w:val="single" w:sz="8" w:color="0000FF"/>
              <w:bottom w:val="single" w:sz="8" w:color="CCEEFF"/>
            </w:tcBorders>
            <w:shd w:val="clear" w:color="auto" w:fill="CCEEFF"/>
          </w:tcPr>
          <w:p>
            <w:pPr>
              <w:spacing w:after="0"/>
              <w:rPr>
                <w:sz w:val="20"/>
                <w:szCs w:val="20"/>
                <w:color w:val="auto"/>
              </w:rPr>
            </w:pPr>
          </w:p>
        </w:tc>
        <w:tc>
          <w:tcPr>
            <w:tcW w:w="480" w:type="dxa"/>
            <w:vAlign w:val="bottom"/>
            <w:tcBorders>
              <w:top w:val="single" w:sz="8" w:color="0000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CCEEFF"/>
              <w:bottom w:val="single" w:sz="8" w:color="CCEEFF"/>
            </w:tcBorders>
            <w:gridSpan w:val="2"/>
            <w:shd w:val="clear" w:color="auto" w:fill="CCEEFF"/>
          </w:tcPr>
          <w:p>
            <w:pPr>
              <w:jc w:val="right"/>
              <w:ind w:right="20"/>
              <w:spacing w:after="0" w:line="173" w:lineRule="exact"/>
              <w:rPr>
                <w:sz w:val="20"/>
                <w:szCs w:val="20"/>
                <w:color w:val="auto"/>
              </w:rPr>
            </w:pPr>
            <w:r>
              <w:rPr>
                <w:rFonts w:ascii="Times New Roman" w:cs="Times New Roman" w:eastAsia="Times New Roman" w:hAnsi="Times New Roman"/>
                <w:sz w:val="17"/>
                <w:szCs w:val="17"/>
                <w:color w:val="auto"/>
              </w:rPr>
              <w:t>5</w:t>
            </w:r>
          </w:p>
        </w:tc>
      </w:tr>
      <w:tr>
        <w:trPr>
          <w:trHeight w:val="193"/>
        </w:trPr>
        <w:tc>
          <w:tcPr>
            <w:tcW w:w="1020" w:type="dxa"/>
            <w:vAlign w:val="bottom"/>
          </w:tcPr>
          <w:p>
            <w:pPr>
              <w:spacing w:after="0"/>
              <w:rPr>
                <w:sz w:val="16"/>
                <w:szCs w:val="16"/>
                <w:color w:val="auto"/>
              </w:rPr>
            </w:pPr>
          </w:p>
        </w:tc>
        <w:tc>
          <w:tcPr>
            <w:tcW w:w="9260" w:type="dxa"/>
            <w:vAlign w:val="bottom"/>
            <w:gridSpan w:val="17"/>
          </w:tcPr>
          <w:p>
            <w:pPr>
              <w:spacing w:after="0" w:line="173" w:lineRule="exact"/>
              <w:rPr>
                <w:sz w:val="20"/>
                <w:szCs w:val="20"/>
                <w:color w:val="auto"/>
              </w:rPr>
            </w:pPr>
            <w:r>
              <w:rPr>
                <w:rFonts w:ascii="Times New Roman" w:cs="Times New Roman" w:eastAsia="Times New Roman" w:hAnsi="Times New Roman"/>
                <w:sz w:val="17"/>
                <w:szCs w:val="17"/>
                <w:color w:val="0000FF"/>
              </w:rPr>
              <w:t>Condensed Consolidated Statements of Cash Flows Nine-month periods ended September 30, 2025 and 2024</w:t>
            </w:r>
          </w:p>
        </w:tc>
        <w:tc>
          <w:tcPr>
            <w:tcW w:w="960" w:type="dxa"/>
            <w:vAlign w:val="bottom"/>
            <w:gridSpan w:val="2"/>
          </w:tcPr>
          <w:p>
            <w:pPr>
              <w:jc w:val="right"/>
              <w:ind w:right="20"/>
              <w:spacing w:after="0" w:line="173" w:lineRule="exact"/>
              <w:rPr>
                <w:sz w:val="20"/>
                <w:szCs w:val="20"/>
                <w:color w:val="auto"/>
              </w:rPr>
            </w:pPr>
            <w:r>
              <w:rPr>
                <w:rFonts w:ascii="Times New Roman" w:cs="Times New Roman" w:eastAsia="Times New Roman" w:hAnsi="Times New Roman"/>
                <w:sz w:val="17"/>
                <w:szCs w:val="17"/>
                <w:color w:val="auto"/>
              </w:rPr>
              <w:t>6</w:t>
            </w:r>
          </w:p>
        </w:tc>
      </w:tr>
      <w:tr>
        <w:trPr>
          <w:trHeight w:val="44"/>
        </w:trPr>
        <w:tc>
          <w:tcPr>
            <w:tcW w:w="1020" w:type="dxa"/>
            <w:vAlign w:val="bottom"/>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4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780" w:type="dxa"/>
            <w:vAlign w:val="bottom"/>
            <w:tcBorders>
              <w:top w:val="single" w:sz="8" w:color="0000FF"/>
            </w:tcBorders>
          </w:tcPr>
          <w:p>
            <w:pPr>
              <w:spacing w:after="0"/>
              <w:rPr>
                <w:sz w:val="3"/>
                <w:szCs w:val="3"/>
                <w:color w:val="auto"/>
              </w:rPr>
            </w:pPr>
          </w:p>
        </w:tc>
        <w:tc>
          <w:tcPr>
            <w:tcW w:w="106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38"/>
        </w:trPr>
        <w:tc>
          <w:tcPr>
            <w:tcW w:w="1020" w:type="dxa"/>
            <w:vAlign w:val="bottom"/>
            <w:shd w:val="clear" w:color="auto" w:fill="CCEEFF"/>
          </w:tcPr>
          <w:p>
            <w:pPr>
              <w:spacing w:after="0"/>
              <w:rPr>
                <w:sz w:val="20"/>
                <w:szCs w:val="20"/>
                <w:color w:val="auto"/>
              </w:rPr>
            </w:pPr>
          </w:p>
        </w:tc>
        <w:tc>
          <w:tcPr>
            <w:tcW w:w="9260" w:type="dxa"/>
            <w:vAlign w:val="bottom"/>
            <w:gridSpan w:val="1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Condensed Consolidated Statements of Shareholders' Equity Three- and Nine-month periods ended September 30, 2025 and 2024</w:t>
            </w:r>
          </w:p>
        </w:tc>
        <w:tc>
          <w:tcPr>
            <w:tcW w:w="96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7</w:t>
            </w:r>
          </w:p>
        </w:tc>
      </w:tr>
      <w:tr>
        <w:trPr>
          <w:trHeight w:val="193"/>
        </w:trPr>
        <w:tc>
          <w:tcPr>
            <w:tcW w:w="1020" w:type="dxa"/>
            <w:vAlign w:val="bottom"/>
            <w:tcBorders>
              <w:top w:val="single" w:sz="8" w:color="CCEEFF"/>
            </w:tcBorders>
          </w:tcPr>
          <w:p>
            <w:pPr>
              <w:spacing w:after="0"/>
              <w:rPr>
                <w:sz w:val="16"/>
                <w:szCs w:val="16"/>
                <w:color w:val="auto"/>
              </w:rPr>
            </w:pPr>
          </w:p>
        </w:tc>
        <w:tc>
          <w:tcPr>
            <w:tcW w:w="8920" w:type="dxa"/>
            <w:vAlign w:val="bottom"/>
            <w:tcBorders>
              <w:top w:val="single" w:sz="8" w:color="0000FF"/>
            </w:tcBorders>
            <w:gridSpan w:val="16"/>
          </w:tcPr>
          <w:p>
            <w:pPr>
              <w:spacing w:after="0" w:line="194" w:lineRule="exact"/>
              <w:rPr>
                <w:sz w:val="20"/>
                <w:szCs w:val="20"/>
                <w:color w:val="auto"/>
              </w:rPr>
            </w:pPr>
            <w:r>
              <w:rPr>
                <w:rFonts w:ascii="Times New Roman" w:cs="Times New Roman" w:eastAsia="Times New Roman" w:hAnsi="Times New Roman"/>
                <w:sz w:val="17"/>
                <w:szCs w:val="17"/>
                <w:color w:val="0000FF"/>
              </w:rPr>
              <w:t>Notes to Interim Condensed Consolidated Financial Statements</w:t>
            </w:r>
          </w:p>
        </w:tc>
        <w:tc>
          <w:tcPr>
            <w:tcW w:w="34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gridSpan w:val="2"/>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8-68</w:t>
            </w:r>
          </w:p>
        </w:tc>
      </w:tr>
      <w:tr>
        <w:trPr>
          <w:trHeight w:val="32"/>
        </w:trPr>
        <w:tc>
          <w:tcPr>
            <w:tcW w:w="102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2.</w:t>
            </w:r>
          </w:p>
        </w:tc>
        <w:tc>
          <w:tcPr>
            <w:tcW w:w="9260" w:type="dxa"/>
            <w:vAlign w:val="bottom"/>
            <w:gridSpan w:val="1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96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69-87</w:t>
            </w:r>
          </w:p>
        </w:tc>
      </w:tr>
      <w:tr>
        <w:trPr>
          <w:trHeight w:val="193"/>
        </w:trPr>
        <w:tc>
          <w:tcPr>
            <w:tcW w:w="1020" w:type="dxa"/>
            <w:vAlign w:val="bottom"/>
            <w:tcBorders>
              <w:top w:val="single" w:sz="8" w:color="CCEEFF"/>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3.</w:t>
            </w:r>
          </w:p>
        </w:tc>
        <w:tc>
          <w:tcPr>
            <w:tcW w:w="6140" w:type="dxa"/>
            <w:vAlign w:val="bottom"/>
            <w:tcBorders>
              <w:top w:val="single" w:sz="8" w:color="0000FF"/>
            </w:tcBorders>
            <w:gridSpan w:val="11"/>
          </w:tcPr>
          <w:p>
            <w:pPr>
              <w:spacing w:after="0" w:line="194" w:lineRule="exact"/>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3120" w:type="dxa"/>
            <w:vAlign w:val="bottom"/>
            <w:tcBorders>
              <w:top w:val="single" w:sz="8" w:color="CCEEFF"/>
            </w:tcBorders>
            <w:gridSpan w:val="6"/>
          </w:tcPr>
          <w:p>
            <w:pPr>
              <w:spacing w:after="0"/>
              <w:rPr>
                <w:sz w:val="16"/>
                <w:szCs w:val="16"/>
                <w:color w:val="auto"/>
              </w:rPr>
            </w:pPr>
          </w:p>
        </w:tc>
        <w:tc>
          <w:tcPr>
            <w:tcW w:w="960" w:type="dxa"/>
            <w:vAlign w:val="bottom"/>
            <w:tcBorders>
              <w:top w:val="single" w:sz="8" w:color="CCEEFF"/>
            </w:tcBorders>
            <w:gridSpan w:val="2"/>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88</w:t>
            </w:r>
          </w:p>
        </w:tc>
      </w:tr>
      <w:tr>
        <w:trPr>
          <w:trHeight w:val="32"/>
        </w:trPr>
        <w:tc>
          <w:tcPr>
            <w:tcW w:w="102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4.</w:t>
            </w:r>
          </w:p>
        </w:tc>
        <w:tc>
          <w:tcPr>
            <w:tcW w:w="9260" w:type="dxa"/>
            <w:vAlign w:val="bottom"/>
            <w:gridSpan w:val="1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Controls and Procedures</w:t>
            </w:r>
          </w:p>
        </w:tc>
        <w:tc>
          <w:tcPr>
            <w:tcW w:w="96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88</w:t>
            </w:r>
          </w:p>
        </w:tc>
      </w:tr>
      <w:tr>
        <w:trPr>
          <w:trHeight w:val="258"/>
        </w:trPr>
        <w:tc>
          <w:tcPr>
            <w:tcW w:w="1020" w:type="dxa"/>
            <w:vAlign w:val="bottom"/>
            <w:tcBorders>
              <w:top w:val="single" w:sz="8" w:color="CCEE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4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780" w:type="dxa"/>
            <w:vAlign w:val="bottom"/>
            <w:tcBorders>
              <w:top w:val="single" w:sz="8" w:color="CCEEFF"/>
            </w:tcBorders>
          </w:tcPr>
          <w:p>
            <w:pPr>
              <w:spacing w:after="0"/>
              <w:rPr>
                <w:sz w:val="22"/>
                <w:szCs w:val="22"/>
                <w:color w:val="auto"/>
              </w:rPr>
            </w:pPr>
          </w:p>
        </w:tc>
        <w:tc>
          <w:tcPr>
            <w:tcW w:w="106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PART II -</w:t>
            </w:r>
          </w:p>
        </w:tc>
        <w:tc>
          <w:tcPr>
            <w:tcW w:w="9260" w:type="dxa"/>
            <w:vAlign w:val="bottom"/>
            <w:gridSpan w:val="1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Other Information</w:t>
            </w: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193"/>
        </w:trPr>
        <w:tc>
          <w:tcPr>
            <w:tcW w:w="1020" w:type="dxa"/>
            <w:vAlign w:val="bottom"/>
            <w:tcBorders>
              <w:top w:val="single" w:sz="8" w:color="CCEEFF"/>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1A</w:t>
            </w:r>
          </w:p>
        </w:tc>
        <w:tc>
          <w:tcPr>
            <w:tcW w:w="1240" w:type="dxa"/>
            <w:vAlign w:val="bottom"/>
            <w:tcBorders>
              <w:top w:val="single" w:sz="8" w:color="auto"/>
            </w:tcBorders>
            <w:gridSpan w:val="5"/>
          </w:tcPr>
          <w:p>
            <w:pPr>
              <w:spacing w:after="0" w:line="194" w:lineRule="exact"/>
              <w:rPr>
                <w:sz w:val="20"/>
                <w:szCs w:val="20"/>
                <w:color w:val="auto"/>
              </w:rPr>
            </w:pPr>
            <w:r>
              <w:rPr>
                <w:rFonts w:ascii="Times New Roman" w:cs="Times New Roman" w:eastAsia="Times New Roman" w:hAnsi="Times New Roman"/>
                <w:sz w:val="17"/>
                <w:szCs w:val="17"/>
                <w:color w:val="0000FF"/>
              </w:rPr>
              <w:t>Risk Factors</w:t>
            </w:r>
          </w:p>
        </w:tc>
        <w:tc>
          <w:tcPr>
            <w:tcW w:w="8020" w:type="dxa"/>
            <w:vAlign w:val="bottom"/>
            <w:tcBorders>
              <w:top w:val="single" w:sz="8" w:color="CCEEFF"/>
            </w:tcBorders>
            <w:gridSpan w:val="12"/>
          </w:tcPr>
          <w:p>
            <w:pPr>
              <w:spacing w:after="0"/>
              <w:rPr>
                <w:sz w:val="16"/>
                <w:szCs w:val="16"/>
                <w:color w:val="auto"/>
              </w:rPr>
            </w:pPr>
          </w:p>
        </w:tc>
        <w:tc>
          <w:tcPr>
            <w:tcW w:w="960" w:type="dxa"/>
            <w:vAlign w:val="bottom"/>
            <w:tcBorders>
              <w:top w:val="single" w:sz="8" w:color="CCEEFF"/>
            </w:tcBorders>
            <w:gridSpan w:val="2"/>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89</w:t>
            </w:r>
          </w:p>
        </w:tc>
      </w:tr>
      <w:tr>
        <w:trPr>
          <w:trHeight w:val="32"/>
        </w:trPr>
        <w:tc>
          <w:tcPr>
            <w:tcW w:w="102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2.</w:t>
            </w:r>
          </w:p>
        </w:tc>
        <w:tc>
          <w:tcPr>
            <w:tcW w:w="9260" w:type="dxa"/>
            <w:vAlign w:val="bottom"/>
            <w:gridSpan w:val="1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96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89</w:t>
            </w:r>
          </w:p>
        </w:tc>
      </w:tr>
      <w:tr>
        <w:trPr>
          <w:trHeight w:val="193"/>
        </w:trPr>
        <w:tc>
          <w:tcPr>
            <w:tcW w:w="1020" w:type="dxa"/>
            <w:vAlign w:val="bottom"/>
            <w:tcBorders>
              <w:top w:val="single" w:sz="8" w:color="CCEEFF"/>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5.</w:t>
            </w:r>
          </w:p>
        </w:tc>
        <w:tc>
          <w:tcPr>
            <w:tcW w:w="4140" w:type="dxa"/>
            <w:vAlign w:val="bottom"/>
            <w:tcBorders>
              <w:top w:val="single" w:sz="8" w:color="0000FF"/>
            </w:tcBorders>
            <w:gridSpan w:val="9"/>
          </w:tcPr>
          <w:p>
            <w:pPr>
              <w:spacing w:after="0" w:line="194" w:lineRule="exact"/>
              <w:rPr>
                <w:sz w:val="20"/>
                <w:szCs w:val="20"/>
                <w:color w:val="auto"/>
              </w:rPr>
            </w:pPr>
            <w:r>
              <w:rPr>
                <w:rFonts w:ascii="Times New Roman" w:cs="Times New Roman" w:eastAsia="Times New Roman" w:hAnsi="Times New Roman"/>
                <w:sz w:val="17"/>
                <w:szCs w:val="17"/>
                <w:color w:val="0000FF"/>
              </w:rPr>
              <w:t>Other Information</w:t>
            </w:r>
          </w:p>
        </w:tc>
        <w:tc>
          <w:tcPr>
            <w:tcW w:w="5120" w:type="dxa"/>
            <w:vAlign w:val="bottom"/>
            <w:tcBorders>
              <w:top w:val="single" w:sz="8" w:color="CCEEFF"/>
            </w:tcBorders>
            <w:gridSpan w:val="8"/>
          </w:tcPr>
          <w:p>
            <w:pPr>
              <w:spacing w:after="0"/>
              <w:rPr>
                <w:sz w:val="16"/>
                <w:szCs w:val="16"/>
                <w:color w:val="auto"/>
              </w:rPr>
            </w:pPr>
          </w:p>
        </w:tc>
        <w:tc>
          <w:tcPr>
            <w:tcW w:w="960" w:type="dxa"/>
            <w:vAlign w:val="bottom"/>
            <w:tcBorders>
              <w:top w:val="single" w:sz="8" w:color="CCEEFF"/>
            </w:tcBorders>
            <w:gridSpan w:val="2"/>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89</w:t>
            </w:r>
          </w:p>
        </w:tc>
      </w:tr>
      <w:tr>
        <w:trPr>
          <w:trHeight w:val="32"/>
        </w:trPr>
        <w:tc>
          <w:tcPr>
            <w:tcW w:w="102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6.</w:t>
            </w:r>
          </w:p>
        </w:tc>
        <w:tc>
          <w:tcPr>
            <w:tcW w:w="9260" w:type="dxa"/>
            <w:vAlign w:val="bottom"/>
            <w:gridSpan w:val="1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Exhibits</w:t>
            </w:r>
          </w:p>
        </w:tc>
        <w:tc>
          <w:tcPr>
            <w:tcW w:w="96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90</w:t>
            </w:r>
          </w:p>
        </w:tc>
      </w:tr>
      <w:tr>
        <w:trPr>
          <w:trHeight w:val="851"/>
        </w:trPr>
        <w:tc>
          <w:tcPr>
            <w:tcW w:w="1020" w:type="dxa"/>
            <w:vAlign w:val="bottom"/>
            <w:tcBorders>
              <w:top w:val="single" w:sz="8" w:color="CCEEFF"/>
            </w:tcBorders>
          </w:tcPr>
          <w:p>
            <w:pPr>
              <w:spacing w:after="0"/>
              <w:rPr>
                <w:sz w:val="24"/>
                <w:szCs w:val="24"/>
                <w:color w:val="auto"/>
              </w:rPr>
            </w:pPr>
          </w:p>
        </w:tc>
        <w:tc>
          <w:tcPr>
            <w:tcW w:w="560" w:type="dxa"/>
            <w:vAlign w:val="bottom"/>
            <w:tcBorders>
              <w:top w:val="single" w:sz="8" w:color="0000FF"/>
            </w:tcBorders>
            <w:gridSpan w:val="3"/>
          </w:tcPr>
          <w:p>
            <w:pPr>
              <w:spacing w:after="0"/>
              <w:rPr>
                <w:sz w:val="24"/>
                <w:szCs w:val="24"/>
                <w:color w:val="auto"/>
              </w:rPr>
            </w:pPr>
          </w:p>
        </w:tc>
        <w:tc>
          <w:tcPr>
            <w:tcW w:w="5580" w:type="dxa"/>
            <w:vAlign w:val="bottom"/>
            <w:tcBorders>
              <w:top w:val="single" w:sz="8" w:color="CCEEFF"/>
            </w:tcBorders>
            <w:gridSpan w:val="8"/>
          </w:tcPr>
          <w:p>
            <w:pPr>
              <w:jc w:val="right"/>
              <w:ind w:right="1340"/>
              <w:spacing w:after="0"/>
              <w:rPr>
                <w:sz w:val="20"/>
                <w:szCs w:val="20"/>
                <w:color w:val="auto"/>
              </w:rPr>
            </w:pPr>
            <w:r>
              <w:rPr>
                <w:rFonts w:ascii="Times New Roman" w:cs="Times New Roman" w:eastAsia="Times New Roman" w:hAnsi="Times New Roman"/>
                <w:sz w:val="17"/>
                <w:szCs w:val="17"/>
                <w:color w:val="auto"/>
              </w:rPr>
              <w:t>1</w:t>
            </w:r>
          </w:p>
        </w:tc>
        <w:tc>
          <w:tcPr>
            <w:tcW w:w="10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r>
        <w:trPr>
          <w:trHeight w:val="108"/>
        </w:trPr>
        <w:tc>
          <w:tcPr>
            <w:tcW w:w="10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Statements in this report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137" w:lineRule="exact"/>
        <w:rPr>
          <w:sz w:val="20"/>
          <w:szCs w:val="20"/>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market, operational, liquidity, credit, and interest rate risks associated with our business;</w:t>
      </w:r>
    </w:p>
    <w:p>
      <w:pPr>
        <w:spacing w:after="0" w:line="27"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conditions generally and in the financial services industry, particularly economic conditions within Michigan and the regional and local real estate markets in which our bank operates;</w:t>
      </w: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assumptions underlying the establishment of, and provisions made to, our allowance for credit losses;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in the financial services industry, either nationally or regionally;</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loan and deposit growth;</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and direction of market interest rates;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continued services of our management team; and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implementation of new legislation, which may have significant effects on us and the financial services industry.</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This list provides examples of factors that could affect the results described by forward-looking statements contained in this report, but the list is not intended to be all-inclusive. The risk factors disclosed in Part I – Item 1A of our Annual Report on Form 10-K for the year ended December 31, 2024, as updated by any new or modified risk factors disclosed in Part II – Item 1A of any subsequently filed Quarterly Report on Form 10-Q, include the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3300" w:val="left"/>
        </w:tabs>
        <w:rPr>
          <w:sz w:val="20"/>
          <w:szCs w:val="20"/>
          <w:color w:val="auto"/>
        </w:rPr>
      </w:pPr>
      <w:r>
        <w:rPr>
          <w:rFonts w:ascii="Times New Roman" w:cs="Times New Roman" w:eastAsia="Times New Roman" w:hAnsi="Times New Roman"/>
          <w:sz w:val="17"/>
          <w:szCs w:val="17"/>
          <w:color w:val="auto"/>
        </w:rPr>
        <w:t>Part I - Item 1.</w:t>
      </w:r>
      <w:r>
        <w:rPr>
          <w:sz w:val="20"/>
          <w:szCs w:val="20"/>
          <w:color w:val="auto"/>
        </w:rPr>
        <w:tab/>
      </w:r>
      <w:r>
        <w:rPr>
          <w:rFonts w:ascii="Times New Roman" w:cs="Times New Roman" w:eastAsia="Times New Roman" w:hAnsi="Times New Roman"/>
          <w:sz w:val="17"/>
          <w:szCs w:val="17"/>
          <w:color w:val="auto"/>
        </w:rPr>
        <w:t>INDEPENDENT BANK CORPORATION AND SUBSIDIARIES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Condensed Consolidated Statements of Financial Condition</w:t>
      </w:r>
    </w:p>
    <w:p>
      <w:pPr>
        <w:spacing w:after="0" w:line="27" w:lineRule="exact"/>
        <w:rPr>
          <w:sz w:val="20"/>
          <w:szCs w:val="20"/>
          <w:color w:val="auto"/>
        </w:rPr>
      </w:pPr>
    </w:p>
    <w:p>
      <w:pPr>
        <w:jc w:val="right"/>
        <w:ind w:right="360"/>
        <w:spacing w:after="0"/>
        <w:tabs>
          <w:tab w:leader="none" w:pos="740" w:val="left"/>
        </w:tabs>
        <w:rPr>
          <w:sz w:val="20"/>
          <w:szCs w:val="20"/>
          <w:color w:val="auto"/>
        </w:rPr>
      </w:pPr>
      <w:r>
        <w:rPr>
          <w:rFonts w:ascii="Times New Roman" w:cs="Times New Roman" w:eastAsia="Times New Roman" w:hAnsi="Times New Roman"/>
          <w:sz w:val="14"/>
          <w:szCs w:val="14"/>
          <w:color w:val="auto"/>
        </w:rPr>
        <w:t>September 30,</w:t>
      </w:r>
      <w:r>
        <w:rPr>
          <w:sz w:val="20"/>
          <w:szCs w:val="20"/>
          <w:color w:val="auto"/>
        </w:rPr>
        <w:tab/>
      </w:r>
      <w:r>
        <w:rPr>
          <w:rFonts w:ascii="Times New Roman" w:cs="Times New Roman" w:eastAsia="Times New Roman" w:hAnsi="Times New Roman"/>
          <w:sz w:val="13"/>
          <w:szCs w:val="13"/>
          <w:color w:val="auto"/>
        </w:rPr>
        <w:t>December 31,</w:t>
      </w:r>
    </w:p>
    <w:p>
      <w:pPr>
        <w:ind w:left="8800"/>
        <w:spacing w:after="0"/>
        <w:tabs>
          <w:tab w:leader="none" w:pos="10340" w:val="left"/>
        </w:tabs>
        <w:rPr>
          <w:sz w:val="20"/>
          <w:szCs w:val="20"/>
          <w:color w:val="auto"/>
        </w:rPr>
      </w:pPr>
      <w:r>
        <w:rPr>
          <w:rFonts w:ascii="Times New Roman" w:cs="Times New Roman" w:eastAsia="Times New Roman" w:hAnsi="Times New Roman"/>
          <w:sz w:val="14"/>
          <w:szCs w:val="14"/>
          <w:color w:val="auto"/>
        </w:rPr>
        <w:t>2025</w:t>
      </w:r>
      <w:r>
        <w:rPr>
          <w:sz w:val="20"/>
          <w:szCs w:val="20"/>
          <w:color w:val="auto"/>
        </w:rPr>
        <w:tab/>
      </w:r>
      <w:r>
        <w:rPr>
          <w:rFonts w:ascii="Times New Roman" w:cs="Times New Roman" w:eastAsia="Times New Roman" w:hAnsi="Times New Roman"/>
          <w:sz w:val="14"/>
          <w:szCs w:val="14"/>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16510</wp:posOffset>
            </wp:positionV>
            <wp:extent cx="1939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39925" cy="825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39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8" w:lineRule="exact"/>
        <w:rPr>
          <w:sz w:val="20"/>
          <w:szCs w:val="20"/>
          <w:color w:val="auto"/>
        </w:rPr>
      </w:pPr>
    </w:p>
    <w:p>
      <w:pPr>
        <w:ind w:left="20"/>
        <w:spacing w:after="0"/>
        <w:tabs>
          <w:tab w:leader="none" w:pos="8180" w:val="left"/>
        </w:tabs>
        <w:rPr>
          <w:sz w:val="20"/>
          <w:szCs w:val="20"/>
          <w:color w:val="auto"/>
        </w:rPr>
      </w:pPr>
      <w:r>
        <w:rPr>
          <w:rFonts w:ascii="Times New Roman" w:cs="Times New Roman" w:eastAsia="Times New Roman" w:hAnsi="Times New Roman"/>
          <w:sz w:val="14"/>
          <w:szCs w:val="14"/>
          <w:color w:val="auto"/>
        </w:rPr>
        <w:t>Cash and due from banks</w:t>
      </w:r>
      <w:r>
        <w:rPr>
          <w:sz w:val="20"/>
          <w:szCs w:val="20"/>
          <w:color w:val="auto"/>
        </w:rPr>
        <w:tab/>
      </w:r>
      <w:r>
        <w:rPr>
          <w:rFonts w:ascii="Times New Roman" w:cs="Times New Roman" w:eastAsia="Times New Roman" w:hAnsi="Times New Roman"/>
          <w:sz w:val="14"/>
          <w:szCs w:val="14"/>
          <w:color w:val="auto"/>
        </w:rPr>
        <w:t>$</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Interest bearing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39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4"/>
          <w:szCs w:val="14"/>
          <w:color w:val="auto"/>
        </w:rPr>
        <w:t>Cash and Cash Equivalents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Securities available for sale</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Securities held to maturity (fair value of $293,242 at September 30, 2025 and $301,860 at December 31, 2024 )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-96520</wp:posOffset>
            </wp:positionV>
            <wp:extent cx="7138670" cy="1225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670" cy="12255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Federal Home Loan Bank and Federal Reserve Bank stock,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39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Loans held for sale, carried at fair value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39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Commercial</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39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Installment</w:t>
      </w:r>
    </w:p>
    <w:p>
      <w:pPr>
        <w:spacing w:after="0" w:line="58"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4"/>
          <w:szCs w:val="14"/>
          <w:color w:val="auto"/>
        </w:rPr>
        <w:t>Total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39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Allowance for credit losses</w:t>
      </w:r>
    </w:p>
    <w:p>
      <w:pPr>
        <w:spacing w:after="0" w:line="58"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4"/>
          <w:szCs w:val="14"/>
          <w:color w:val="auto"/>
        </w:rPr>
        <w:t>Net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39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real estate and repossessed assets, net</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39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Bank-owned life insurance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Capitalized mortgage loan servicing rights, carried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39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intangibles, net</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39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Accrued income and other assets</w:t>
      </w:r>
    </w:p>
    <w:p>
      <w:pPr>
        <w:spacing w:after="0" w:line="58" w:lineRule="exact"/>
        <w:rPr>
          <w:sz w:val="20"/>
          <w:szCs w:val="20"/>
          <w:color w:val="auto"/>
        </w:rPr>
      </w:pPr>
    </w:p>
    <w:p>
      <w:pPr>
        <w:jc w:val="right"/>
        <w:spacing w:after="0"/>
        <w:tabs>
          <w:tab w:leader="none" w:pos="60" w:val="left"/>
        </w:tabs>
        <w:rPr>
          <w:sz w:val="20"/>
          <w:szCs w:val="20"/>
          <w:color w:val="auto"/>
        </w:rPr>
      </w:pPr>
      <w:r>
        <w:rPr>
          <w:rFonts w:ascii="Times New Roman" w:cs="Times New Roman" w:eastAsia="Times New Roman" w:hAnsi="Times New Roman"/>
          <w:sz w:val="14"/>
          <w:szCs w:val="14"/>
          <w:color w:val="auto"/>
        </w:rPr>
        <w:t>Total Assets</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7138670" cy="163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39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Deposits</w:t>
      </w:r>
    </w:p>
    <w:p>
      <w:pPr>
        <w:spacing w:after="0" w:line="58" w:lineRule="exact"/>
        <w:rPr>
          <w:sz w:val="20"/>
          <w:szCs w:val="20"/>
          <w:color w:val="auto"/>
        </w:rPr>
      </w:pPr>
    </w:p>
    <w:p>
      <w:pPr>
        <w:ind w:left="320"/>
        <w:spacing w:after="0"/>
        <w:tabs>
          <w:tab w:leader="none" w:pos="8180" w:val="left"/>
        </w:tabs>
        <w:rPr>
          <w:sz w:val="20"/>
          <w:szCs w:val="20"/>
          <w:color w:val="auto"/>
        </w:rPr>
      </w:pPr>
      <w:r>
        <w:rPr>
          <w:rFonts w:ascii="Times New Roman" w:cs="Times New Roman" w:eastAsia="Times New Roman" w:hAnsi="Times New Roman"/>
          <w:sz w:val="14"/>
          <w:szCs w:val="14"/>
          <w:color w:val="auto"/>
        </w:rPr>
        <w:t>Non-interest bearing</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39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Savings and interest-bearing checking</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Reciprocal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390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Time</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Brokered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390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8"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4"/>
          <w:szCs w:val="14"/>
          <w:color w:val="auto"/>
        </w:rPr>
        <w:t>Total Deposits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390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Subordinated debt</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Subordinated debentures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390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Accrued expenses and other liabilities</w:t>
      </w:r>
    </w:p>
    <w:p>
      <w:pPr>
        <w:spacing w:after="0" w:line="58"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color w:val="auto"/>
        </w:rPr>
        <w:t>Total Liabilities</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Commitments and contingent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-96520</wp:posOffset>
            </wp:positionV>
            <wp:extent cx="7138670" cy="1225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670" cy="12255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39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Preferred stock, no par value, 200,000 shares authorized; none issued or outstanding</w:t>
      </w:r>
    </w:p>
    <w:p>
      <w:pPr>
        <w:spacing w:after="0" w:line="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Common stock, no par value, 500,000,000 shares authorized; issued and outstanding: 20,691,604 shares at September 30, 2025 and 20,895,714</w:t>
      </w:r>
    </w:p>
    <w:p>
      <w:pPr>
        <w:spacing w:after="0" w:line="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shares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390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Retained earnings</w:t>
      </w:r>
    </w:p>
    <w:p>
      <w:pPr>
        <w:spacing w:after="0" w:line="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390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4"/>
          <w:szCs w:val="14"/>
          <w:color w:val="auto"/>
        </w:rPr>
        <w:t>Total Shareholders’ Equity</w:t>
      </w:r>
    </w:p>
    <w:p>
      <w:pPr>
        <w:spacing w:after="0" w:line="58" w:lineRule="exact"/>
        <w:rPr>
          <w:sz w:val="20"/>
          <w:szCs w:val="20"/>
          <w:color w:val="auto"/>
        </w:rPr>
      </w:pPr>
    </w:p>
    <w:p>
      <w:pPr>
        <w:jc w:val="right"/>
        <w:spacing w:after="0"/>
        <w:tabs>
          <w:tab w:leader="none" w:pos="60" w:val="left"/>
        </w:tabs>
        <w:rPr>
          <w:sz w:val="20"/>
          <w:szCs w:val="20"/>
          <w:color w:val="auto"/>
        </w:rPr>
      </w:pPr>
      <w:r>
        <w:rPr>
          <w:rFonts w:ascii="Times New Roman" w:cs="Times New Roman" w:eastAsia="Times New Roman" w:hAnsi="Times New Roman"/>
          <w:sz w:val="14"/>
          <w:szCs w:val="14"/>
          <w:color w:val="auto"/>
        </w:rPr>
        <w:t>Total Liabilities and Shareholders’ Equity</w:t>
        <w:tab/>
        <w: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25400</wp:posOffset>
            </wp:positionV>
            <wp:extent cx="19399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399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thousands, except share</w:t>
      </w:r>
    </w:p>
    <w:p>
      <w:pPr>
        <w:jc w:val="center"/>
        <w:ind w:right="780"/>
        <w:spacing w:after="0"/>
        <w:rPr>
          <w:sz w:val="20"/>
          <w:szCs w:val="20"/>
          <w:color w:val="auto"/>
        </w:rPr>
      </w:pPr>
      <w:r>
        <w:rPr>
          <w:rFonts w:ascii="Times New Roman" w:cs="Times New Roman" w:eastAsia="Times New Roman" w:hAnsi="Times New Roman"/>
          <w:sz w:val="14"/>
          <w:szCs w:val="14"/>
          <w:color w:val="auto"/>
        </w:rPr>
        <w:t>amounts)</w:t>
      </w:r>
    </w:p>
    <w:p>
      <w:pPr>
        <w:spacing w:after="0" w:line="263" w:lineRule="exact"/>
        <w:rPr>
          <w:sz w:val="20"/>
          <w:szCs w:val="20"/>
          <w:color w:val="auto"/>
        </w:rPr>
      </w:pPr>
    </w:p>
    <w:tbl>
      <w:tblPr>
        <w:tblLayout w:type="fixed"/>
        <w:tblInd w:w="100" w:type="dxa"/>
        <w:tblCellMar>
          <w:top w:w="0" w:type="dxa"/>
          <w:left w:w="0" w:type="dxa"/>
          <w:bottom w:w="0" w:type="dxa"/>
          <w:right w:w="0" w:type="dxa"/>
        </w:tblCellMar>
      </w:tblPr>
      <w:tr>
        <w:trPr>
          <w:trHeight w:val="178"/>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56,378</w:t>
            </w:r>
          </w:p>
        </w:tc>
        <w:tc>
          <w:tcPr>
            <w:tcW w:w="48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56,984</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152,308</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62,898</w:t>
            </w:r>
          </w:p>
        </w:tc>
        <w:tc>
          <w:tcPr>
            <w:tcW w:w="0" w:type="dxa"/>
            <w:vAlign w:val="bottom"/>
          </w:tcPr>
          <w:p>
            <w:pPr>
              <w:spacing w:after="0"/>
              <w:rPr>
                <w:sz w:val="1"/>
                <w:szCs w:val="1"/>
                <w:color w:val="auto"/>
              </w:rPr>
            </w:pPr>
          </w:p>
        </w:tc>
      </w:tr>
      <w:tr>
        <w:trPr>
          <w:trHeight w:val="22"/>
        </w:trPr>
        <w:tc>
          <w:tcPr>
            <w:tcW w:w="7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208,686</w:t>
            </w: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7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119,882</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502,583</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559,182</w:t>
            </w:r>
          </w:p>
        </w:tc>
        <w:tc>
          <w:tcPr>
            <w:tcW w:w="0" w:type="dxa"/>
            <w:vAlign w:val="bottom"/>
          </w:tcPr>
          <w:p>
            <w:pPr>
              <w:spacing w:after="0"/>
              <w:rPr>
                <w:sz w:val="1"/>
                <w:szCs w:val="1"/>
                <w:color w:val="auto"/>
              </w:rPr>
            </w:pPr>
          </w:p>
        </w:tc>
      </w:tr>
      <w:tr>
        <w:trPr>
          <w:trHeight w:val="193"/>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321,450</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339,436</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18,102</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16,099</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11,654</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7,643</w:t>
            </w:r>
          </w:p>
        </w:tc>
        <w:tc>
          <w:tcPr>
            <w:tcW w:w="0" w:type="dxa"/>
            <w:vAlign w:val="bottom"/>
          </w:tcPr>
          <w:p>
            <w:pPr>
              <w:spacing w:after="0"/>
              <w:rPr>
                <w:sz w:val="1"/>
                <w:szCs w:val="1"/>
                <w:color w:val="auto"/>
              </w:rPr>
            </w:pPr>
          </w:p>
        </w:tc>
      </w:tr>
      <w:tr>
        <w:trPr>
          <w:trHeight w:val="438"/>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96"/>
              </w:rPr>
              <w:t>2,125,053</w:t>
            </w:r>
          </w:p>
        </w:tc>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1,937,364</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96"/>
              </w:rPr>
              <w:t>1,517,656</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1,516,726</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555,574</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584,735</w:t>
            </w:r>
          </w:p>
        </w:tc>
        <w:tc>
          <w:tcPr>
            <w:tcW w:w="0" w:type="dxa"/>
            <w:vAlign w:val="bottom"/>
          </w:tcPr>
          <w:p>
            <w:pPr>
              <w:spacing w:after="0"/>
              <w:rPr>
                <w:sz w:val="1"/>
                <w:szCs w:val="1"/>
                <w:color w:val="auto"/>
              </w:rPr>
            </w:pPr>
          </w:p>
        </w:tc>
      </w:tr>
      <w:tr>
        <w:trPr>
          <w:trHeight w:val="22"/>
        </w:trPr>
        <w:tc>
          <w:tcPr>
            <w:tcW w:w="7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w w:val="96"/>
              </w:rPr>
              <w:t>4,198,283</w:t>
            </w: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7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4,038,825</w:t>
            </w:r>
          </w:p>
        </w:tc>
        <w:tc>
          <w:tcPr>
            <w:tcW w:w="0" w:type="dxa"/>
            <w:vAlign w:val="bottom"/>
          </w:tcPr>
          <w:p>
            <w:pPr>
              <w:spacing w:after="0"/>
              <w:rPr>
                <w:sz w:val="1"/>
                <w:szCs w:val="1"/>
                <w:color w:val="auto"/>
              </w:rPr>
            </w:pPr>
          </w:p>
        </w:tc>
      </w:tr>
      <w:tr>
        <w:trPr>
          <w:trHeight w:val="219"/>
        </w:trPr>
        <w:tc>
          <w:tcPr>
            <w:tcW w:w="7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(62,459)</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(59,379)</w:t>
            </w:r>
          </w:p>
        </w:tc>
        <w:tc>
          <w:tcPr>
            <w:tcW w:w="0" w:type="dxa"/>
            <w:vAlign w:val="bottom"/>
          </w:tcPr>
          <w:p>
            <w:pPr>
              <w:spacing w:after="0"/>
              <w:rPr>
                <w:sz w:val="1"/>
                <w:szCs w:val="1"/>
                <w:color w:val="auto"/>
              </w:rPr>
            </w:pPr>
          </w:p>
        </w:tc>
      </w:tr>
      <w:tr>
        <w:trPr>
          <w:trHeight w:val="22"/>
        </w:trPr>
        <w:tc>
          <w:tcPr>
            <w:tcW w:w="7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w w:val="96"/>
              </w:rPr>
              <w:t>4,135,824</w:t>
            </w: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7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3,979,446</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589</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38,805</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37,492</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53,875</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53,855</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31,522</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46,796</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1,123</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28,300</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28,300</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140,600</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147,547</w:t>
            </w:r>
          </w:p>
        </w:tc>
        <w:tc>
          <w:tcPr>
            <w:tcW w:w="0" w:type="dxa"/>
            <w:vAlign w:val="bottom"/>
          </w:tcPr>
          <w:p>
            <w:pPr>
              <w:spacing w:after="0"/>
              <w:rPr>
                <w:sz w:val="1"/>
                <w:szCs w:val="1"/>
                <w:color w:val="auto"/>
              </w:rPr>
            </w:pPr>
          </w:p>
        </w:tc>
      </w:tr>
      <w:tr>
        <w:trPr>
          <w:trHeight w:val="22"/>
        </w:trPr>
        <w:tc>
          <w:tcPr>
            <w:tcW w:w="7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w w:val="96"/>
              </w:rPr>
              <w:t>5,493,113</w:t>
            </w: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700" w:type="dxa"/>
            <w:vAlign w:val="bottom"/>
            <w:vMerge w:val="continue"/>
          </w:tcPr>
          <w:p>
            <w:pPr>
              <w:spacing w:after="0"/>
              <w:rPr>
                <w:sz w:val="15"/>
                <w:szCs w:val="15"/>
                <w:color w:val="auto"/>
              </w:rPr>
            </w:pPr>
          </w:p>
        </w:tc>
        <w:tc>
          <w:tcPr>
            <w:tcW w:w="4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5,338,104</w:t>
            </w:r>
          </w:p>
        </w:tc>
        <w:tc>
          <w:tcPr>
            <w:tcW w:w="0" w:type="dxa"/>
            <w:vAlign w:val="bottom"/>
          </w:tcPr>
          <w:p>
            <w:pPr>
              <w:spacing w:after="0"/>
              <w:rPr>
                <w:sz w:val="1"/>
                <w:szCs w:val="1"/>
                <w:color w:val="auto"/>
              </w:rPr>
            </w:pPr>
          </w:p>
        </w:tc>
      </w:tr>
      <w:tr>
        <w:trPr>
          <w:trHeight w:val="26"/>
        </w:trPr>
        <w:tc>
          <w:tcPr>
            <w:tcW w:w="7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-32385</wp:posOffset>
            </wp:positionV>
            <wp:extent cx="9417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41705" cy="8255"/>
                    </a:xfrm>
                    <a:prstGeom prst="rect">
                      <a:avLst/>
                    </a:prstGeom>
                    <a:noFill/>
                  </pic:spPr>
                </pic:pic>
              </a:graphicData>
            </a:graphic>
          </wp:anchor>
        </w:drawing>
        <w:drawing>
          <wp:anchor simplePos="0" relativeHeight="251657728" behindDoc="1" locked="0" layoutInCell="0" allowOverlap="1">
            <wp:simplePos x="0" y="0"/>
            <wp:positionH relativeFrom="column">
              <wp:posOffset>-488950</wp:posOffset>
            </wp:positionH>
            <wp:positionV relativeFrom="paragraph">
              <wp:posOffset>-163195</wp:posOffset>
            </wp:positionV>
            <wp:extent cx="9417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41705" cy="8255"/>
                    </a:xfrm>
                    <a:prstGeom prst="rect">
                      <a:avLst/>
                    </a:prstGeom>
                    <a:noFill/>
                  </pic:spPr>
                </pic:pic>
              </a:graphicData>
            </a:graphic>
          </wp:anchor>
        </w:drawing>
        <w:drawing>
          <wp:anchor simplePos="0" relativeHeight="251657728" behindDoc="1" locked="0" layoutInCell="0" allowOverlap="1">
            <wp:simplePos x="0" y="0"/>
            <wp:positionH relativeFrom="column">
              <wp:posOffset>-488950</wp:posOffset>
            </wp:positionH>
            <wp:positionV relativeFrom="paragraph">
              <wp:posOffset>-1276350</wp:posOffset>
            </wp:positionV>
            <wp:extent cx="9417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41705" cy="8255"/>
                    </a:xfrm>
                    <a:prstGeom prst="rect">
                      <a:avLst/>
                    </a:prstGeom>
                    <a:noFill/>
                  </pic:spPr>
                </pic:pic>
              </a:graphicData>
            </a:graphic>
          </wp:anchor>
        </w:drawing>
        <w:drawing>
          <wp:anchor simplePos="0" relativeHeight="251657728" behindDoc="1" locked="0" layoutInCell="0" allowOverlap="1">
            <wp:simplePos x="0" y="0"/>
            <wp:positionH relativeFrom="column">
              <wp:posOffset>-488950</wp:posOffset>
            </wp:positionH>
            <wp:positionV relativeFrom="paragraph">
              <wp:posOffset>-1554480</wp:posOffset>
            </wp:positionV>
            <wp:extent cx="9417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100" w:type="dxa"/>
        <w:tblCellMar>
          <w:top w:w="0" w:type="dxa"/>
          <w:left w:w="0" w:type="dxa"/>
          <w:bottom w:w="0" w:type="dxa"/>
          <w:right w:w="0" w:type="dxa"/>
        </w:tblCellMar>
      </w:tblPr>
      <w:tr>
        <w:trPr>
          <w:trHeight w:val="178"/>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96"/>
              </w:rPr>
              <w:t>1,003,521</w:t>
            </w:r>
          </w:p>
        </w:tc>
        <w:tc>
          <w:tcPr>
            <w:tcW w:w="48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1,013,647</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96"/>
              </w:rPr>
              <w:t>2,040,462</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1,995,314</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981,115</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907,031</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660,815</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628,285</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173,242</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109,811</w:t>
            </w:r>
          </w:p>
        </w:tc>
        <w:tc>
          <w:tcPr>
            <w:tcW w:w="0" w:type="dxa"/>
            <w:vAlign w:val="bottom"/>
          </w:tcPr>
          <w:p>
            <w:pPr>
              <w:spacing w:after="0"/>
              <w:rPr>
                <w:sz w:val="1"/>
                <w:szCs w:val="1"/>
                <w:color w:val="auto"/>
              </w:rPr>
            </w:pPr>
          </w:p>
        </w:tc>
      </w:tr>
      <w:tr>
        <w:trPr>
          <w:trHeight w:val="22"/>
        </w:trPr>
        <w:tc>
          <w:tcPr>
            <w:tcW w:w="7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w w:val="96"/>
              </w:rPr>
              <w:t>4,859,155</w:t>
            </w: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7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4,654,088</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2,006</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45,009</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39,586</w:t>
      </w:r>
    </w:p>
    <w:p>
      <w:pPr>
        <w:spacing w:after="0" w:line="58" w:lineRule="exact"/>
        <w:rPr>
          <w:sz w:val="20"/>
          <w:szCs w:val="20"/>
          <w:color w:val="auto"/>
        </w:rPr>
      </w:pPr>
    </w:p>
    <w:tbl>
      <w:tblPr>
        <w:tblLayout w:type="fixed"/>
        <w:tblInd w:w="100" w:type="dxa"/>
        <w:tblCellMar>
          <w:top w:w="0" w:type="dxa"/>
          <w:left w:w="0" w:type="dxa"/>
          <w:bottom w:w="0" w:type="dxa"/>
          <w:right w:w="0" w:type="dxa"/>
        </w:tblCellMar>
      </w:tblPr>
      <w:tr>
        <w:trPr>
          <w:trHeight w:val="178"/>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39,847</w:t>
            </w: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39,796</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101,363</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104,939</w:t>
            </w:r>
          </w:p>
        </w:tc>
        <w:tc>
          <w:tcPr>
            <w:tcW w:w="0" w:type="dxa"/>
            <w:vAlign w:val="bottom"/>
          </w:tcPr>
          <w:p>
            <w:pPr>
              <w:spacing w:after="0"/>
              <w:rPr>
                <w:sz w:val="1"/>
                <w:szCs w:val="1"/>
                <w:color w:val="auto"/>
              </w:rPr>
            </w:pPr>
          </w:p>
        </w:tc>
      </w:tr>
      <w:tr>
        <w:trPr>
          <w:trHeight w:val="22"/>
        </w:trPr>
        <w:tc>
          <w:tcPr>
            <w:tcW w:w="7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w w:val="96"/>
              </w:rPr>
              <w:t>5,002,371</w:t>
            </w: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7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4,883,418</w:t>
            </w:r>
          </w:p>
        </w:tc>
        <w:tc>
          <w:tcPr>
            <w:tcW w:w="0" w:type="dxa"/>
            <w:vAlign w:val="bottom"/>
          </w:tcPr>
          <w:p>
            <w:pPr>
              <w:spacing w:after="0"/>
              <w:rPr>
                <w:sz w:val="1"/>
                <w:szCs w:val="1"/>
                <w:color w:val="auto"/>
              </w:rPr>
            </w:pPr>
          </w:p>
        </w:tc>
      </w:tr>
      <w:tr>
        <w:trPr>
          <w:trHeight w:val="22"/>
        </w:trPr>
        <w:tc>
          <w:tcPr>
            <w:tcW w:w="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7"/>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311,770</w:t>
            </w:r>
          </w:p>
        </w:tc>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318,777</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239,602</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205,853</w:t>
            </w:r>
          </w:p>
        </w:tc>
        <w:tc>
          <w:tcPr>
            <w:tcW w:w="0" w:type="dxa"/>
            <w:vAlign w:val="bottom"/>
          </w:tcPr>
          <w:p>
            <w:pPr>
              <w:spacing w:after="0"/>
              <w:rPr>
                <w:sz w:val="1"/>
                <w:szCs w:val="1"/>
                <w:color w:val="auto"/>
              </w:rPr>
            </w:pPr>
          </w:p>
        </w:tc>
      </w:tr>
      <w:tr>
        <w:trPr>
          <w:trHeight w:val="219"/>
        </w:trPr>
        <w:tc>
          <w:tcPr>
            <w:tcW w:w="7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(60,630)</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(69,944)</w:t>
            </w:r>
          </w:p>
        </w:tc>
        <w:tc>
          <w:tcPr>
            <w:tcW w:w="0" w:type="dxa"/>
            <w:vAlign w:val="bottom"/>
          </w:tcPr>
          <w:p>
            <w:pPr>
              <w:spacing w:after="0"/>
              <w:rPr>
                <w:sz w:val="1"/>
                <w:szCs w:val="1"/>
                <w:color w:val="auto"/>
              </w:rPr>
            </w:pPr>
          </w:p>
        </w:tc>
      </w:tr>
      <w:tr>
        <w:trPr>
          <w:trHeight w:val="22"/>
        </w:trPr>
        <w:tc>
          <w:tcPr>
            <w:tcW w:w="7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490,742</w:t>
            </w: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7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454,686</w:t>
            </w:r>
          </w:p>
        </w:tc>
        <w:tc>
          <w:tcPr>
            <w:tcW w:w="0" w:type="dxa"/>
            <w:vAlign w:val="bottom"/>
          </w:tcPr>
          <w:p>
            <w:pPr>
              <w:spacing w:after="0"/>
              <w:rPr>
                <w:sz w:val="1"/>
                <w:szCs w:val="1"/>
                <w:color w:val="auto"/>
              </w:rPr>
            </w:pPr>
          </w:p>
        </w:tc>
      </w:tr>
      <w:tr>
        <w:trPr>
          <w:trHeight w:val="22"/>
        </w:trPr>
        <w:tc>
          <w:tcPr>
            <w:tcW w:w="7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w w:val="96"/>
              </w:rPr>
              <w:t>5,493,113</w:t>
            </w: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700" w:type="dxa"/>
            <w:vAlign w:val="bottom"/>
            <w:vMerge w:val="continue"/>
          </w:tcPr>
          <w:p>
            <w:pPr>
              <w:spacing w:after="0"/>
              <w:rPr>
                <w:sz w:val="15"/>
                <w:szCs w:val="15"/>
                <w:color w:val="auto"/>
              </w:rPr>
            </w:pPr>
          </w:p>
        </w:tc>
        <w:tc>
          <w:tcPr>
            <w:tcW w:w="4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5,338,104</w:t>
            </w:r>
          </w:p>
        </w:tc>
        <w:tc>
          <w:tcPr>
            <w:tcW w:w="0" w:type="dxa"/>
            <w:vAlign w:val="bottom"/>
          </w:tcPr>
          <w:p>
            <w:pPr>
              <w:spacing w:after="0"/>
              <w:rPr>
                <w:sz w:val="1"/>
                <w:szCs w:val="1"/>
                <w:color w:val="auto"/>
              </w:rPr>
            </w:pPr>
          </w:p>
        </w:tc>
      </w:tr>
      <w:tr>
        <w:trPr>
          <w:trHeight w:val="26"/>
        </w:trPr>
        <w:tc>
          <w:tcPr>
            <w:tcW w:w="7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-32385</wp:posOffset>
            </wp:positionV>
            <wp:extent cx="9417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41705" cy="8255"/>
                    </a:xfrm>
                    <a:prstGeom prst="rect">
                      <a:avLst/>
                    </a:prstGeom>
                    <a:noFill/>
                  </pic:spPr>
                </pic:pic>
              </a:graphicData>
            </a:graphic>
          </wp:anchor>
        </w:drawing>
        <w:drawing>
          <wp:anchor simplePos="0" relativeHeight="251657728" behindDoc="1" locked="0" layoutInCell="0" allowOverlap="1">
            <wp:simplePos x="0" y="0"/>
            <wp:positionH relativeFrom="column">
              <wp:posOffset>-488950</wp:posOffset>
            </wp:positionH>
            <wp:positionV relativeFrom="paragraph">
              <wp:posOffset>-7620</wp:posOffset>
            </wp:positionV>
            <wp:extent cx="9417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41705" cy="8255"/>
                    </a:xfrm>
                    <a:prstGeom prst="rect">
                      <a:avLst/>
                    </a:prstGeom>
                    <a:noFill/>
                  </pic:spPr>
                </pic:pic>
              </a:graphicData>
            </a:graphic>
          </wp:anchor>
        </w:drawing>
        <w:drawing>
          <wp:anchor simplePos="0" relativeHeight="251657728" behindDoc="1" locked="0" layoutInCell="0" allowOverlap="1">
            <wp:simplePos x="0" y="0"/>
            <wp:positionH relativeFrom="column">
              <wp:posOffset>-488950</wp:posOffset>
            </wp:positionH>
            <wp:positionV relativeFrom="paragraph">
              <wp:posOffset>-163195</wp:posOffset>
            </wp:positionV>
            <wp:extent cx="9417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41705" cy="8255"/>
                    </a:xfrm>
                    <a:prstGeom prst="rect">
                      <a:avLst/>
                    </a:prstGeom>
                    <a:noFill/>
                  </pic:spPr>
                </pic:pic>
              </a:graphicData>
            </a:graphic>
          </wp:anchor>
        </w:drawing>
        <w:drawing>
          <wp:anchor simplePos="0" relativeHeight="251657728" behindDoc="1" locked="0" layoutInCell="0" allowOverlap="1">
            <wp:simplePos x="0" y="0"/>
            <wp:positionH relativeFrom="column">
              <wp:posOffset>-488950</wp:posOffset>
            </wp:positionH>
            <wp:positionV relativeFrom="paragraph">
              <wp:posOffset>-1366520</wp:posOffset>
            </wp:positionV>
            <wp:extent cx="9417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80" w:space="680"/>
            <w:col w:w="2280"/>
          </w:cols>
          <w:pgMar w:left="320" w:top="119"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interim condensed consolidated financial statements (Unaudited)</w:t>
      </w:r>
    </w:p>
    <w:p>
      <w:pPr>
        <w:sectPr>
          <w:pgSz w:w="11900" w:h="16838" w:orient="portrait"/>
          <w:cols w:equalWidth="0" w:num="1">
            <w:col w:w="11240"/>
          </w:cols>
          <w:pgMar w:left="320" w:top="119" w:right="339" w:bottom="1440" w:gutter="0" w:footer="0" w:header="0"/>
          <w:type w:val="continuous"/>
        </w:sectPr>
      </w:pP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318" w:lineRule="exact"/>
        <w:rPr>
          <w:sz w:val="20"/>
          <w:szCs w:val="20"/>
          <w:color w:val="auto"/>
        </w:rPr>
      </w:pPr>
    </w:p>
    <w:tbl>
      <w:tblPr>
        <w:tblLayout w:type="fixed"/>
        <w:tblInd w:w="200" w:type="dxa"/>
        <w:tblCellMar>
          <w:top w:w="0" w:type="dxa"/>
          <w:left w:w="0" w:type="dxa"/>
          <w:bottom w:w="0" w:type="dxa"/>
          <w:right w:w="0" w:type="dxa"/>
        </w:tblCellMar>
      </w:tblPr>
      <w:tr>
        <w:trPr>
          <w:trHeight w:val="206"/>
        </w:trPr>
        <w:tc>
          <w:tcPr>
            <w:tcW w:w="7940" w:type="dxa"/>
            <w:vAlign w:val="bottom"/>
            <w:gridSpan w:val="12"/>
          </w:tcPr>
          <w:p>
            <w:pPr>
              <w:jc w:val="center"/>
              <w:ind w:left="2822"/>
              <w:spacing w:after="0"/>
              <w:rPr>
                <w:sz w:val="20"/>
                <w:szCs w:val="20"/>
                <w:color w:val="auto"/>
              </w:rPr>
            </w:pPr>
            <w:r>
              <w:rPr>
                <w:rFonts w:ascii="Times New Roman" w:cs="Times New Roman" w:eastAsia="Times New Roman" w:hAnsi="Times New Roman"/>
                <w:sz w:val="17"/>
                <w:szCs w:val="17"/>
                <w:color w:val="auto"/>
              </w:rPr>
              <w:t>INDEPENDENT BANK CORPORATION AND SUBSIDIARIES</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680" w:type="dxa"/>
            <w:vAlign w:val="bottom"/>
          </w:tcPr>
          <w:p>
            <w:pPr>
              <w:spacing w:after="0"/>
              <w:rPr>
                <w:sz w:val="16"/>
                <w:szCs w:val="16"/>
                <w:color w:val="auto"/>
              </w:rPr>
            </w:pPr>
          </w:p>
        </w:tc>
        <w:tc>
          <w:tcPr>
            <w:tcW w:w="3540" w:type="dxa"/>
            <w:vAlign w:val="bottom"/>
            <w:gridSpan w:val="9"/>
          </w:tcPr>
          <w:p>
            <w:pPr>
              <w:jc w:val="center"/>
              <w:ind w:right="40"/>
              <w:spacing w:after="0" w:line="184" w:lineRule="exact"/>
              <w:rPr>
                <w:sz w:val="20"/>
                <w:szCs w:val="20"/>
                <w:color w:val="auto"/>
              </w:rPr>
            </w:pPr>
            <w:r>
              <w:rPr>
                <w:rFonts w:ascii="Times New Roman" w:cs="Times New Roman" w:eastAsia="Times New Roman" w:hAnsi="Times New Roman"/>
                <w:sz w:val="17"/>
                <w:szCs w:val="17"/>
                <w:color w:val="auto"/>
              </w:rPr>
              <w:t>Condensed Consolidated Statements of Operations</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1"/>
        </w:trPr>
        <w:tc>
          <w:tcPr>
            <w:tcW w:w="368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5"/>
                <w:szCs w:val="15"/>
                <w:color w:val="auto"/>
              </w:rPr>
              <w:t>Three months ended</w:t>
            </w:r>
          </w:p>
        </w:tc>
        <w:tc>
          <w:tcPr>
            <w:tcW w:w="2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gridSpan w:val="4"/>
          </w:tcPr>
          <w:p>
            <w:pPr>
              <w:jc w:val="center"/>
              <w:ind w:right="163"/>
              <w:spacing w:after="0"/>
              <w:rPr>
                <w:sz w:val="20"/>
                <w:szCs w:val="20"/>
                <w:color w:val="auto"/>
              </w:rPr>
            </w:pPr>
            <w:r>
              <w:rPr>
                <w:rFonts w:ascii="Times New Roman" w:cs="Times New Roman" w:eastAsia="Times New Roman" w:hAnsi="Times New Roman"/>
                <w:sz w:val="15"/>
                <w:szCs w:val="15"/>
                <w:color w:val="auto"/>
              </w:rPr>
              <w:t>Nine months ended</w:t>
            </w:r>
          </w:p>
        </w:tc>
        <w:tc>
          <w:tcPr>
            <w:tcW w:w="0" w:type="dxa"/>
            <w:vAlign w:val="bottom"/>
          </w:tcPr>
          <w:p>
            <w:pPr>
              <w:spacing w:after="0"/>
              <w:rPr>
                <w:sz w:val="1"/>
                <w:szCs w:val="1"/>
                <w:color w:val="auto"/>
              </w:rPr>
            </w:pPr>
          </w:p>
        </w:tc>
      </w:tr>
      <w:tr>
        <w:trPr>
          <w:trHeight w:val="200"/>
        </w:trPr>
        <w:tc>
          <w:tcPr>
            <w:tcW w:w="3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5"/>
          </w:tcPr>
          <w:p>
            <w:pPr>
              <w:jc w:val="center"/>
              <w:ind w:right="280"/>
              <w:spacing w:after="0"/>
              <w:rPr>
                <w:sz w:val="20"/>
                <w:szCs w:val="20"/>
                <w:color w:val="auto"/>
              </w:rPr>
            </w:pPr>
            <w:r>
              <w:rPr>
                <w:rFonts w:ascii="Times New Roman" w:cs="Times New Roman" w:eastAsia="Times New Roman" w:hAnsi="Times New Roman"/>
                <w:sz w:val="15"/>
                <w:szCs w:val="15"/>
                <w:color w:val="auto"/>
              </w:rPr>
              <w:t>September 30,</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0" w:type="dxa"/>
            <w:vAlign w:val="bottom"/>
            <w:gridSpan w:val="4"/>
          </w:tcPr>
          <w:p>
            <w:pPr>
              <w:jc w:val="center"/>
              <w:ind w:right="163"/>
              <w:spacing w:after="0"/>
              <w:rPr>
                <w:sz w:val="20"/>
                <w:szCs w:val="20"/>
                <w:color w:val="auto"/>
              </w:rPr>
            </w:pPr>
            <w:r>
              <w:rPr>
                <w:rFonts w:ascii="Times New Roman" w:cs="Times New Roman" w:eastAsia="Times New Roman" w:hAnsi="Times New Roman"/>
                <w:sz w:val="15"/>
                <w:szCs w:val="15"/>
                <w:color w:val="auto"/>
              </w:rPr>
              <w:t>September 30,</w:t>
            </w:r>
          </w:p>
        </w:tc>
        <w:tc>
          <w:tcPr>
            <w:tcW w:w="0" w:type="dxa"/>
            <w:vAlign w:val="bottom"/>
          </w:tcPr>
          <w:p>
            <w:pPr>
              <w:spacing w:after="0"/>
              <w:rPr>
                <w:sz w:val="1"/>
                <w:szCs w:val="1"/>
                <w:color w:val="auto"/>
              </w:rPr>
            </w:pPr>
          </w:p>
        </w:tc>
      </w:tr>
      <w:tr>
        <w:trPr>
          <w:trHeight w:val="209"/>
        </w:trPr>
        <w:tc>
          <w:tcPr>
            <w:tcW w:w="3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2025</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2024</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2025</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w w:val="99"/>
              </w:rPr>
              <w:t>2024</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5"/>
                <w:szCs w:val="15"/>
                <w:color w:val="auto"/>
              </w:rPr>
              <w:t>(Unaudited)</w:t>
            </w:r>
          </w:p>
        </w:tc>
        <w:tc>
          <w:tcPr>
            <w:tcW w:w="2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4"/>
          </w:tcPr>
          <w:p>
            <w:pPr>
              <w:jc w:val="center"/>
              <w:ind w:right="163"/>
              <w:spacing w:after="0"/>
              <w:rPr>
                <w:sz w:val="20"/>
                <w:szCs w:val="20"/>
                <w:color w:val="auto"/>
              </w:rPr>
            </w:pPr>
            <w:r>
              <w:rPr>
                <w:rFonts w:ascii="Times New Roman" w:cs="Times New Roman" w:eastAsia="Times New Roman" w:hAnsi="Times New Roman"/>
                <w:sz w:val="15"/>
                <w:szCs w:val="15"/>
                <w:color w:val="auto"/>
              </w:rPr>
              <w:t>(Unaudited)</w:t>
            </w: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60" w:type="dxa"/>
            <w:vAlign w:val="bottom"/>
            <w:gridSpan w:val="10"/>
          </w:tcPr>
          <w:p>
            <w:pPr>
              <w:jc w:val="right"/>
              <w:spacing w:after="0"/>
              <w:rPr>
                <w:sz w:val="20"/>
                <w:szCs w:val="20"/>
                <w:color w:val="auto"/>
              </w:rPr>
            </w:pPr>
            <w:r>
              <w:rPr>
                <w:rFonts w:ascii="Times New Roman" w:cs="Times New Roman" w:eastAsia="Times New Roman" w:hAnsi="Times New Roman"/>
                <w:sz w:val="15"/>
                <w:szCs w:val="15"/>
                <w:color w:val="auto"/>
              </w:rPr>
              <w:t>(In thousands, except per share amounts)</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Interest Income</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Interest and fees on loans</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61,325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58,410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178,628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170,239</w:t>
            </w:r>
          </w:p>
        </w:tc>
        <w:tc>
          <w:tcPr>
            <w:tcW w:w="0" w:type="dxa"/>
            <w:vAlign w:val="bottom"/>
          </w:tcPr>
          <w:p>
            <w:pPr>
              <w:spacing w:after="0"/>
              <w:rPr>
                <w:sz w:val="1"/>
                <w:szCs w:val="1"/>
                <w:color w:val="auto"/>
              </w:rPr>
            </w:pPr>
          </w:p>
        </w:tc>
      </w:tr>
      <w:tr>
        <w:trPr>
          <w:trHeight w:val="203"/>
        </w:trPr>
        <w:tc>
          <w:tcPr>
            <w:tcW w:w="506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Interest on securities</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Taxable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4,502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11,492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14,466</w:t>
            </w:r>
          </w:p>
        </w:tc>
        <w:tc>
          <w:tcPr>
            <w:tcW w:w="0" w:type="dxa"/>
            <w:vAlign w:val="bottom"/>
          </w:tcPr>
          <w:p>
            <w:pPr>
              <w:spacing w:after="0"/>
              <w:rPr>
                <w:sz w:val="1"/>
                <w:szCs w:val="1"/>
                <w:color w:val="auto"/>
              </w:rPr>
            </w:pPr>
          </w:p>
        </w:tc>
      </w:tr>
      <w:tr>
        <w:trPr>
          <w:trHeight w:val="203"/>
        </w:trPr>
        <w:tc>
          <w:tcPr>
            <w:tcW w:w="506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Tax-exempt</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3,404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8,310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10,195</w:t>
            </w:r>
          </w:p>
        </w:tc>
        <w:tc>
          <w:tcPr>
            <w:tcW w:w="0" w:type="dxa"/>
            <w:vAlign w:val="bottom"/>
          </w:tcPr>
          <w:p>
            <w:pPr>
              <w:spacing w:after="0"/>
              <w:rPr>
                <w:sz w:val="1"/>
                <w:szCs w:val="1"/>
                <w:color w:val="auto"/>
              </w:rPr>
            </w:pPr>
          </w:p>
        </w:tc>
      </w:tr>
      <w:tr>
        <w:trPr>
          <w:trHeight w:val="209"/>
        </w:trPr>
        <w:tc>
          <w:tcPr>
            <w:tcW w:w="50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Other investments</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2,018</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3,882</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4,898</w:t>
            </w:r>
          </w:p>
        </w:tc>
        <w:tc>
          <w:tcPr>
            <w:tcW w:w="0" w:type="dxa"/>
            <w:vAlign w:val="bottom"/>
          </w:tcPr>
          <w:p>
            <w:pPr>
              <w:spacing w:after="0"/>
              <w:rPr>
                <w:sz w:val="1"/>
                <w:szCs w:val="1"/>
                <w:color w:val="auto"/>
              </w:rPr>
            </w:pPr>
          </w:p>
        </w:tc>
      </w:tr>
      <w:tr>
        <w:trPr>
          <w:trHeight w:val="196"/>
        </w:trPr>
        <w:tc>
          <w:tcPr>
            <w:tcW w:w="50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Total Interest Income</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69,290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68,334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202,312</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199,798</w:t>
            </w:r>
          </w:p>
        </w:tc>
        <w:tc>
          <w:tcPr>
            <w:tcW w:w="0" w:type="dxa"/>
            <w:vAlign w:val="bottom"/>
          </w:tcPr>
          <w:p>
            <w:pPr>
              <w:spacing w:after="0"/>
              <w:rPr>
                <w:sz w:val="1"/>
                <w:szCs w:val="1"/>
                <w:color w:val="auto"/>
              </w:rPr>
            </w:pPr>
          </w:p>
        </w:tc>
      </w:tr>
      <w:tr>
        <w:trPr>
          <w:trHeight w:val="189"/>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6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Deposits</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21,972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24,462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63,389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70,148</w:t>
            </w:r>
          </w:p>
        </w:tc>
        <w:tc>
          <w:tcPr>
            <w:tcW w:w="0" w:type="dxa"/>
            <w:vAlign w:val="bottom"/>
          </w:tcPr>
          <w:p>
            <w:pPr>
              <w:spacing w:after="0"/>
              <w:rPr>
                <w:sz w:val="1"/>
                <w:szCs w:val="1"/>
                <w:color w:val="auto"/>
              </w:rPr>
            </w:pPr>
          </w:p>
        </w:tc>
      </w:tr>
      <w:tr>
        <w:trPr>
          <w:trHeight w:val="209"/>
        </w:trPr>
        <w:tc>
          <w:tcPr>
            <w:tcW w:w="50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Other borrowings and subordinated debt and debentures</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2,018</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5,262</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6,253</w:t>
            </w:r>
          </w:p>
        </w:tc>
        <w:tc>
          <w:tcPr>
            <w:tcW w:w="0" w:type="dxa"/>
            <w:vAlign w:val="bottom"/>
          </w:tcPr>
          <w:p>
            <w:pPr>
              <w:spacing w:after="0"/>
              <w:rPr>
                <w:sz w:val="1"/>
                <w:szCs w:val="1"/>
                <w:color w:val="auto"/>
              </w:rPr>
            </w:pPr>
          </w:p>
        </w:tc>
      </w:tr>
      <w:tr>
        <w:trPr>
          <w:trHeight w:val="196"/>
        </w:trPr>
        <w:tc>
          <w:tcPr>
            <w:tcW w:w="50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Total Interest Expense</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23,929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26,480</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68,651</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76,401</w:t>
            </w:r>
          </w:p>
        </w:tc>
        <w:tc>
          <w:tcPr>
            <w:tcW w:w="0" w:type="dxa"/>
            <w:vAlign w:val="bottom"/>
          </w:tcPr>
          <w:p>
            <w:pPr>
              <w:spacing w:after="0"/>
              <w:rPr>
                <w:sz w:val="1"/>
                <w:szCs w:val="1"/>
                <w:color w:val="auto"/>
              </w:rPr>
            </w:pPr>
          </w:p>
        </w:tc>
      </w:tr>
      <w:tr>
        <w:trPr>
          <w:trHeight w:val="202"/>
        </w:trPr>
        <w:tc>
          <w:tcPr>
            <w:tcW w:w="36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Net Interest Income</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45,361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41,854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133,661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123,397</w:t>
            </w:r>
          </w:p>
        </w:tc>
        <w:tc>
          <w:tcPr>
            <w:tcW w:w="0" w:type="dxa"/>
            <w:vAlign w:val="bottom"/>
          </w:tcPr>
          <w:p>
            <w:pPr>
              <w:spacing w:after="0"/>
              <w:rPr>
                <w:sz w:val="1"/>
                <w:szCs w:val="1"/>
                <w:color w:val="auto"/>
              </w:rPr>
            </w:pPr>
          </w:p>
        </w:tc>
      </w:tr>
      <w:tr>
        <w:trPr>
          <w:trHeight w:val="203"/>
        </w:trPr>
        <w:tc>
          <w:tcPr>
            <w:tcW w:w="5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Provision for credit losses</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1,991</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1,488</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4,212</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2,251</w:t>
            </w:r>
          </w:p>
        </w:tc>
        <w:tc>
          <w:tcPr>
            <w:tcW w:w="0" w:type="dxa"/>
            <w:vAlign w:val="bottom"/>
          </w:tcPr>
          <w:p>
            <w:pPr>
              <w:spacing w:after="0"/>
              <w:rPr>
                <w:sz w:val="1"/>
                <w:szCs w:val="1"/>
                <w:color w:val="auto"/>
              </w:rPr>
            </w:pPr>
          </w:p>
        </w:tc>
      </w:tr>
      <w:tr>
        <w:trPr>
          <w:trHeight w:val="202"/>
        </w:trPr>
        <w:tc>
          <w:tcPr>
            <w:tcW w:w="5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Net Interest Income After Provision for Credit Losses</w:t>
            </w: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43,370</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40,366</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129,449</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121,146</w:t>
            </w:r>
          </w:p>
        </w:tc>
        <w:tc>
          <w:tcPr>
            <w:tcW w:w="0" w:type="dxa"/>
            <w:vAlign w:val="bottom"/>
          </w:tcPr>
          <w:p>
            <w:pPr>
              <w:spacing w:after="0"/>
              <w:rPr>
                <w:sz w:val="1"/>
                <w:szCs w:val="1"/>
                <w:color w:val="auto"/>
              </w:rPr>
            </w:pPr>
          </w:p>
        </w:tc>
      </w:tr>
      <w:tr>
        <w:trPr>
          <w:trHeight w:val="18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Non-interest Income</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Interchange income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4,146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10,674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10,698</w:t>
            </w:r>
          </w:p>
        </w:tc>
        <w:tc>
          <w:tcPr>
            <w:tcW w:w="0" w:type="dxa"/>
            <w:vAlign w:val="bottom"/>
          </w:tcPr>
          <w:p>
            <w:pPr>
              <w:spacing w:after="0"/>
              <w:rPr>
                <w:sz w:val="1"/>
                <w:szCs w:val="1"/>
                <w:color w:val="auto"/>
              </w:rPr>
            </w:pPr>
          </w:p>
        </w:tc>
      </w:tr>
      <w:tr>
        <w:trPr>
          <w:trHeight w:val="203"/>
        </w:trPr>
        <w:tc>
          <w:tcPr>
            <w:tcW w:w="506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Service charges on deposit accounts</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3,085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8,926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8,894</w:t>
            </w:r>
          </w:p>
        </w:tc>
        <w:tc>
          <w:tcPr>
            <w:tcW w:w="0" w:type="dxa"/>
            <w:vAlign w:val="bottom"/>
          </w:tcPr>
          <w:p>
            <w:pPr>
              <w:spacing w:after="0"/>
              <w:rPr>
                <w:sz w:val="1"/>
                <w:szCs w:val="1"/>
                <w:color w:val="auto"/>
              </w:rPr>
            </w:pPr>
          </w:p>
        </w:tc>
      </w:tr>
      <w:tr>
        <w:trPr>
          <w:trHeight w:val="209"/>
        </w:trPr>
        <w:tc>
          <w:tcPr>
            <w:tcW w:w="50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Net gains (losses) on assets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6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Mortgage loans</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2,177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5,408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4,874</w:t>
            </w:r>
          </w:p>
        </w:tc>
        <w:tc>
          <w:tcPr>
            <w:tcW w:w="0" w:type="dxa"/>
            <w:vAlign w:val="bottom"/>
          </w:tcPr>
          <w:p>
            <w:pPr>
              <w:spacing w:after="0"/>
              <w:rPr>
                <w:sz w:val="1"/>
                <w:szCs w:val="1"/>
                <w:color w:val="auto"/>
              </w:rPr>
            </w:pPr>
          </w:p>
        </w:tc>
      </w:tr>
      <w:tr>
        <w:trPr>
          <w:trHeight w:val="209"/>
        </w:trPr>
        <w:tc>
          <w:tcPr>
            <w:tcW w:w="50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Equity securities at fair value</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2,685</w:t>
            </w:r>
          </w:p>
        </w:tc>
        <w:tc>
          <w:tcPr>
            <w:tcW w:w="0" w:type="dxa"/>
            <w:vAlign w:val="bottom"/>
          </w:tcPr>
          <w:p>
            <w:pPr>
              <w:spacing w:after="0"/>
              <w:rPr>
                <w:sz w:val="1"/>
                <w:szCs w:val="1"/>
                <w:color w:val="auto"/>
              </w:rPr>
            </w:pPr>
          </w:p>
        </w:tc>
      </w:tr>
      <w:tr>
        <w:trPr>
          <w:trHeight w:val="203"/>
        </w:trPr>
        <w:tc>
          <w:tcPr>
            <w:tcW w:w="506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Securities available for sale</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(414)</w:t>
            </w:r>
          </w:p>
        </w:tc>
        <w:tc>
          <w:tcPr>
            <w:tcW w:w="0" w:type="dxa"/>
            <w:vAlign w:val="bottom"/>
          </w:tcPr>
          <w:p>
            <w:pPr>
              <w:spacing w:after="0"/>
              <w:rPr>
                <w:sz w:val="1"/>
                <w:szCs w:val="1"/>
                <w:color w:val="auto"/>
              </w:rPr>
            </w:pPr>
          </w:p>
        </w:tc>
      </w:tr>
      <w:tr>
        <w:trPr>
          <w:trHeight w:val="209"/>
        </w:trPr>
        <w:tc>
          <w:tcPr>
            <w:tcW w:w="50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Mortgage loan servicing, net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(3,130)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1,686</w:t>
            </w:r>
          </w:p>
        </w:tc>
        <w:tc>
          <w:tcPr>
            <w:tcW w:w="0" w:type="dxa"/>
            <w:vAlign w:val="bottom"/>
          </w:tcPr>
          <w:p>
            <w:pPr>
              <w:spacing w:after="0"/>
              <w:rPr>
                <w:sz w:val="1"/>
                <w:szCs w:val="1"/>
                <w:color w:val="auto"/>
              </w:rPr>
            </w:pPr>
          </w:p>
        </w:tc>
      </w:tr>
      <w:tr>
        <w:trPr>
          <w:trHeight w:val="203"/>
        </w:trPr>
        <w:tc>
          <w:tcPr>
            <w:tcW w:w="506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5"/>
                <w:szCs w:val="15"/>
                <w:color w:val="auto"/>
              </w:rPr>
              <w:t>Other</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3,137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3,383</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9,105</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8,818</w:t>
            </w:r>
          </w:p>
        </w:tc>
        <w:tc>
          <w:tcPr>
            <w:tcW w:w="0" w:type="dxa"/>
            <w:vAlign w:val="bottom"/>
          </w:tcPr>
          <w:p>
            <w:pPr>
              <w:spacing w:after="0"/>
              <w:rPr>
                <w:sz w:val="1"/>
                <w:szCs w:val="1"/>
                <w:color w:val="auto"/>
              </w:rPr>
            </w:pPr>
          </w:p>
        </w:tc>
      </w:tr>
      <w:tr>
        <w:trPr>
          <w:trHeight w:val="202"/>
        </w:trPr>
        <w:tc>
          <w:tcPr>
            <w:tcW w:w="5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Total Non-interest Income</w:t>
            </w: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11,937</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9,508</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33,686</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37,241</w:t>
            </w:r>
          </w:p>
        </w:tc>
        <w:tc>
          <w:tcPr>
            <w:tcW w:w="0" w:type="dxa"/>
            <w:vAlign w:val="bottom"/>
          </w:tcPr>
          <w:p>
            <w:pPr>
              <w:spacing w:after="0"/>
              <w:rPr>
                <w:sz w:val="1"/>
                <w:szCs w:val="1"/>
                <w:color w:val="auto"/>
              </w:rPr>
            </w:pPr>
          </w:p>
        </w:tc>
      </w:tr>
      <w:tr>
        <w:trPr>
          <w:trHeight w:val="18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Non-interest Expense</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Compensation and employee benefits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20,048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62,631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62,069</w:t>
            </w:r>
          </w:p>
        </w:tc>
        <w:tc>
          <w:tcPr>
            <w:tcW w:w="0" w:type="dxa"/>
            <w:vAlign w:val="bottom"/>
          </w:tcPr>
          <w:p>
            <w:pPr>
              <w:spacing w:after="0"/>
              <w:rPr>
                <w:sz w:val="1"/>
                <w:szCs w:val="1"/>
                <w:color w:val="auto"/>
              </w:rPr>
            </w:pPr>
          </w:p>
        </w:tc>
      </w:tr>
      <w:tr>
        <w:trPr>
          <w:trHeight w:val="203"/>
        </w:trPr>
        <w:tc>
          <w:tcPr>
            <w:tcW w:w="506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Data processing</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3,784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3,379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11,360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9,891</w:t>
            </w:r>
          </w:p>
        </w:tc>
        <w:tc>
          <w:tcPr>
            <w:tcW w:w="0" w:type="dxa"/>
            <w:vAlign w:val="bottom"/>
          </w:tcPr>
          <w:p>
            <w:pPr>
              <w:spacing w:after="0"/>
              <w:rPr>
                <w:sz w:val="1"/>
                <w:szCs w:val="1"/>
                <w:color w:val="auto"/>
              </w:rPr>
            </w:pPr>
          </w:p>
        </w:tc>
      </w:tr>
      <w:tr>
        <w:trPr>
          <w:trHeight w:val="209"/>
        </w:trPr>
        <w:tc>
          <w:tcPr>
            <w:tcW w:w="50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Occupancy, net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1,893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6,396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5,853</w:t>
            </w:r>
          </w:p>
        </w:tc>
        <w:tc>
          <w:tcPr>
            <w:tcW w:w="0" w:type="dxa"/>
            <w:vAlign w:val="bottom"/>
          </w:tcPr>
          <w:p>
            <w:pPr>
              <w:spacing w:after="0"/>
              <w:rPr>
                <w:sz w:val="1"/>
                <w:szCs w:val="1"/>
                <w:color w:val="auto"/>
              </w:rPr>
            </w:pPr>
          </w:p>
        </w:tc>
      </w:tr>
      <w:tr>
        <w:trPr>
          <w:trHeight w:val="203"/>
        </w:trPr>
        <w:tc>
          <w:tcPr>
            <w:tcW w:w="506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Interchange expense</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1,149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3,373</w:t>
            </w:r>
          </w:p>
        </w:tc>
        <w:tc>
          <w:tcPr>
            <w:tcW w:w="0" w:type="dxa"/>
            <w:vAlign w:val="bottom"/>
          </w:tcPr>
          <w:p>
            <w:pPr>
              <w:spacing w:after="0"/>
              <w:rPr>
                <w:sz w:val="1"/>
                <w:szCs w:val="1"/>
                <w:color w:val="auto"/>
              </w:rPr>
            </w:pPr>
          </w:p>
        </w:tc>
      </w:tr>
      <w:tr>
        <w:trPr>
          <w:trHeight w:val="209"/>
        </w:trPr>
        <w:tc>
          <w:tcPr>
            <w:tcW w:w="50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Advertising</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1,860</w:t>
            </w:r>
          </w:p>
        </w:tc>
        <w:tc>
          <w:tcPr>
            <w:tcW w:w="0" w:type="dxa"/>
            <w:vAlign w:val="bottom"/>
          </w:tcPr>
          <w:p>
            <w:pPr>
              <w:spacing w:after="0"/>
              <w:rPr>
                <w:sz w:val="1"/>
                <w:szCs w:val="1"/>
                <w:color w:val="auto"/>
              </w:rPr>
            </w:pPr>
          </w:p>
        </w:tc>
      </w:tr>
      <w:tr>
        <w:trPr>
          <w:trHeight w:val="203"/>
        </w:trPr>
        <w:tc>
          <w:tcPr>
            <w:tcW w:w="506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Furniture, fixtures and equipment</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932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2,570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2,834</w:t>
            </w:r>
          </w:p>
        </w:tc>
        <w:tc>
          <w:tcPr>
            <w:tcW w:w="0" w:type="dxa"/>
            <w:vAlign w:val="bottom"/>
          </w:tcPr>
          <w:p>
            <w:pPr>
              <w:spacing w:after="0"/>
              <w:rPr>
                <w:sz w:val="1"/>
                <w:szCs w:val="1"/>
                <w:color w:val="auto"/>
              </w:rPr>
            </w:pPr>
          </w:p>
        </w:tc>
      </w:tr>
      <w:tr>
        <w:trPr>
          <w:trHeight w:val="209"/>
        </w:trPr>
        <w:tc>
          <w:tcPr>
            <w:tcW w:w="50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Loan and collection</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657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1,868</w:t>
            </w:r>
          </w:p>
        </w:tc>
        <w:tc>
          <w:tcPr>
            <w:tcW w:w="0" w:type="dxa"/>
            <w:vAlign w:val="bottom"/>
          </w:tcPr>
          <w:p>
            <w:pPr>
              <w:spacing w:after="0"/>
              <w:rPr>
                <w:sz w:val="1"/>
                <w:szCs w:val="1"/>
                <w:color w:val="auto"/>
              </w:rPr>
            </w:pPr>
          </w:p>
        </w:tc>
      </w:tr>
      <w:tr>
        <w:trPr>
          <w:trHeight w:val="203"/>
        </w:trPr>
        <w:tc>
          <w:tcPr>
            <w:tcW w:w="506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FDIC deposit insurance</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664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2,141</w:t>
            </w:r>
          </w:p>
        </w:tc>
        <w:tc>
          <w:tcPr>
            <w:tcW w:w="0" w:type="dxa"/>
            <w:vAlign w:val="bottom"/>
          </w:tcPr>
          <w:p>
            <w:pPr>
              <w:spacing w:after="0"/>
              <w:rPr>
                <w:sz w:val="1"/>
                <w:szCs w:val="1"/>
                <w:color w:val="auto"/>
              </w:rPr>
            </w:pPr>
          </w:p>
        </w:tc>
      </w:tr>
      <w:tr>
        <w:trPr>
          <w:trHeight w:val="209"/>
        </w:trPr>
        <w:tc>
          <w:tcPr>
            <w:tcW w:w="50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Communications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519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1,633</w:t>
            </w:r>
          </w:p>
        </w:tc>
        <w:tc>
          <w:tcPr>
            <w:tcW w:w="0" w:type="dxa"/>
            <w:vAlign w:val="bottom"/>
          </w:tcPr>
          <w:p>
            <w:pPr>
              <w:spacing w:after="0"/>
              <w:rPr>
                <w:sz w:val="1"/>
                <w:szCs w:val="1"/>
                <w:color w:val="auto"/>
              </w:rPr>
            </w:pPr>
          </w:p>
        </w:tc>
      </w:tr>
      <w:tr>
        <w:trPr>
          <w:trHeight w:val="203"/>
        </w:trPr>
        <w:tc>
          <w:tcPr>
            <w:tcW w:w="506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Legal and professional</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687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1,717</w:t>
            </w:r>
          </w:p>
        </w:tc>
        <w:tc>
          <w:tcPr>
            <w:tcW w:w="0" w:type="dxa"/>
            <w:vAlign w:val="bottom"/>
          </w:tcPr>
          <w:p>
            <w:pPr>
              <w:spacing w:after="0"/>
              <w:rPr>
                <w:sz w:val="1"/>
                <w:szCs w:val="1"/>
                <w:color w:val="auto"/>
              </w:rPr>
            </w:pPr>
          </w:p>
        </w:tc>
      </w:tr>
      <w:tr>
        <w:trPr>
          <w:trHeight w:val="209"/>
        </w:trPr>
        <w:tc>
          <w:tcPr>
            <w:tcW w:w="50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2,074</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6,204</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4,870</w:t>
            </w:r>
          </w:p>
        </w:tc>
        <w:tc>
          <w:tcPr>
            <w:tcW w:w="0" w:type="dxa"/>
            <w:vAlign w:val="bottom"/>
          </w:tcPr>
          <w:p>
            <w:pPr>
              <w:spacing w:after="0"/>
              <w:rPr>
                <w:sz w:val="1"/>
                <w:szCs w:val="1"/>
                <w:color w:val="auto"/>
              </w:rPr>
            </w:pPr>
          </w:p>
        </w:tc>
      </w:tr>
      <w:tr>
        <w:trPr>
          <w:trHeight w:val="196"/>
        </w:trPr>
        <w:tc>
          <w:tcPr>
            <w:tcW w:w="50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Total Non-interest Expense</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34,131</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32,583</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102,155</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98,109</w:t>
            </w:r>
          </w:p>
        </w:tc>
        <w:tc>
          <w:tcPr>
            <w:tcW w:w="0" w:type="dxa"/>
            <w:vAlign w:val="bottom"/>
          </w:tcPr>
          <w:p>
            <w:pPr>
              <w:spacing w:after="0"/>
              <w:rPr>
                <w:sz w:val="1"/>
                <w:szCs w:val="1"/>
                <w:color w:val="auto"/>
              </w:rPr>
            </w:pPr>
          </w:p>
        </w:tc>
      </w:tr>
      <w:tr>
        <w:trPr>
          <w:trHeight w:val="202"/>
        </w:trPr>
        <w:tc>
          <w:tcPr>
            <w:tcW w:w="5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Income Before Income Tax</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21,176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17,291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60,980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60,278</w:t>
            </w:r>
          </w:p>
        </w:tc>
        <w:tc>
          <w:tcPr>
            <w:tcW w:w="0" w:type="dxa"/>
            <w:vAlign w:val="bottom"/>
          </w:tcPr>
          <w:p>
            <w:pPr>
              <w:spacing w:after="0"/>
              <w:rPr>
                <w:sz w:val="1"/>
                <w:szCs w:val="1"/>
                <w:color w:val="auto"/>
              </w:rPr>
            </w:pPr>
          </w:p>
        </w:tc>
      </w:tr>
      <w:tr>
        <w:trPr>
          <w:trHeight w:val="203"/>
        </w:trPr>
        <w:tc>
          <w:tcPr>
            <w:tcW w:w="506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5"/>
                <w:szCs w:val="15"/>
                <w:color w:val="auto"/>
              </w:rPr>
              <w:t>Income tax expense</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3,674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3,481</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11,011</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11,949</w:t>
            </w:r>
          </w:p>
        </w:tc>
        <w:tc>
          <w:tcPr>
            <w:tcW w:w="0" w:type="dxa"/>
            <w:vAlign w:val="bottom"/>
          </w:tcPr>
          <w:p>
            <w:pPr>
              <w:spacing w:after="0"/>
              <w:rPr>
                <w:sz w:val="1"/>
                <w:szCs w:val="1"/>
                <w:color w:val="auto"/>
              </w:rPr>
            </w:pPr>
          </w:p>
        </w:tc>
      </w:tr>
      <w:tr>
        <w:trPr>
          <w:trHeight w:val="227"/>
        </w:trPr>
        <w:tc>
          <w:tcPr>
            <w:tcW w:w="36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Net Income</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17,502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13,810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49,969</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48,329</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Net Income Per Common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50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Basic</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0.85</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0.66</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6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Diluted</w:t>
            </w: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0.84</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0.65</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2.38</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2.29</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See notes to interim condensed consolidated financial statements (Unaudited)</w:t>
      </w:r>
    </w:p>
    <w:p>
      <w:pPr>
        <w:spacing w:after="0" w:line="34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Condensed Consolidated Statements of Comprehensive Income</w:t>
      </w:r>
    </w:p>
    <w:p>
      <w:pPr>
        <w:spacing w:after="0" w:line="226" w:lineRule="exact"/>
        <w:rPr>
          <w:sz w:val="20"/>
          <w:szCs w:val="20"/>
          <w:color w:val="auto"/>
        </w:rPr>
      </w:pPr>
    </w:p>
    <w:p>
      <w:pPr>
        <w:ind w:left="6680"/>
        <w:spacing w:after="0"/>
        <w:tabs>
          <w:tab w:leader="none" w:pos="9300" w:val="left"/>
        </w:tabs>
        <w:rPr>
          <w:sz w:val="20"/>
          <w:szCs w:val="20"/>
          <w:color w:val="auto"/>
        </w:rPr>
      </w:pPr>
      <w:r>
        <w:rPr>
          <w:rFonts w:ascii="Times New Roman" w:cs="Times New Roman" w:eastAsia="Times New Roman" w:hAnsi="Times New Roman"/>
          <w:sz w:val="17"/>
          <w:szCs w:val="17"/>
          <w:color w:val="auto"/>
        </w:rPr>
        <w:t>Three months ended</w:t>
      </w:r>
      <w:r>
        <w:rPr>
          <w:sz w:val="20"/>
          <w:szCs w:val="20"/>
          <w:color w:val="auto"/>
        </w:rPr>
        <w:tab/>
      </w:r>
      <w:r>
        <w:rPr>
          <w:rFonts w:ascii="Times New Roman" w:cs="Times New Roman" w:eastAsia="Times New Roman" w:hAnsi="Times New Roman"/>
          <w:sz w:val="16"/>
          <w:szCs w:val="16"/>
          <w:color w:val="auto"/>
        </w:rPr>
        <w:t>Nine months ended</w:t>
      </w:r>
    </w:p>
    <w:p>
      <w:pPr>
        <w:spacing w:after="0" w:line="28" w:lineRule="exact"/>
        <w:rPr>
          <w:sz w:val="20"/>
          <w:szCs w:val="20"/>
          <w:color w:val="auto"/>
        </w:rPr>
      </w:pPr>
    </w:p>
    <w:p>
      <w:pPr>
        <w:ind w:left="6880"/>
        <w:spacing w:after="0"/>
        <w:tabs>
          <w:tab w:leader="none" w:pos="9460" w:val="left"/>
        </w:tabs>
        <w:rPr>
          <w:sz w:val="20"/>
          <w:szCs w:val="20"/>
          <w:color w:val="auto"/>
        </w:rPr>
      </w:pPr>
      <w:r>
        <w:rPr>
          <w:rFonts w:ascii="Times New Roman" w:cs="Times New Roman" w:eastAsia="Times New Roman" w:hAnsi="Times New Roman"/>
          <w:sz w:val="17"/>
          <w:szCs w:val="17"/>
          <w:color w:val="auto"/>
        </w:rPr>
        <w:t>September 30,</w:t>
      </w:r>
      <w:r>
        <w:rPr>
          <w:sz w:val="20"/>
          <w:szCs w:val="20"/>
          <w:color w:val="auto"/>
        </w:rPr>
        <w:tab/>
      </w:r>
      <w:r>
        <w:rPr>
          <w:rFonts w:ascii="Times New Roman" w:cs="Times New Roman" w:eastAsia="Times New Roman" w:hAnsi="Times New Roman"/>
          <w:sz w:val="17"/>
          <w:szCs w:val="17"/>
          <w:color w:val="auto"/>
        </w:rPr>
        <w:t>September 30,</w:t>
      </w:r>
    </w:p>
    <w:p>
      <w:pPr>
        <w:spacing w:after="0" w:line="33" w:lineRule="exact"/>
        <w:rPr>
          <w:sz w:val="20"/>
          <w:szCs w:val="20"/>
          <w:color w:val="auto"/>
        </w:rPr>
      </w:pPr>
    </w:p>
    <w:p>
      <w:pPr>
        <w:jc w:val="both"/>
        <w:ind w:left="6560"/>
        <w:spacing w:after="0"/>
        <w:tabs>
          <w:tab w:leader="none" w:pos="7840" w:val="left"/>
          <w:tab w:leader="none" w:pos="9140" w:val="left"/>
          <w:tab w:leader="none" w:pos="10440" w:val="left"/>
        </w:tabs>
        <w:rPr>
          <w:sz w:val="20"/>
          <w:szCs w:val="20"/>
          <w:color w:val="auto"/>
        </w:rPr>
      </w:pPr>
      <w:r>
        <w:rPr>
          <w:rFonts w:ascii="Times New Roman" w:cs="Times New Roman" w:eastAsia="Times New Roman" w:hAnsi="Times New Roman"/>
          <w:sz w:val="17"/>
          <w:szCs w:val="17"/>
          <w:color w:val="auto"/>
        </w:rPr>
        <w:t>2025</w:t>
      </w:r>
      <w:r>
        <w:rPr>
          <w:sz w:val="20"/>
          <w:szCs w:val="20"/>
          <w:color w:val="auto"/>
        </w:rPr>
        <w:tab/>
      </w:r>
      <w:r>
        <w:rPr>
          <w:rFonts w:ascii="Times New Roman" w:cs="Times New Roman" w:eastAsia="Times New Roman" w:hAnsi="Times New Roman"/>
          <w:sz w:val="17"/>
          <w:szCs w:val="17"/>
          <w:color w:val="auto"/>
        </w:rPr>
        <w:t>2024</w:t>
      </w:r>
      <w:r>
        <w:rPr>
          <w:sz w:val="20"/>
          <w:szCs w:val="20"/>
          <w:color w:val="auto"/>
        </w:rPr>
        <w:tab/>
      </w:r>
      <w:r>
        <w:rPr>
          <w:rFonts w:ascii="Times New Roman" w:cs="Times New Roman" w:eastAsia="Times New Roman" w:hAnsi="Times New Roman"/>
          <w:sz w:val="17"/>
          <w:szCs w:val="17"/>
          <w:color w:val="auto"/>
        </w:rPr>
        <w:t>2025</w:t>
      </w:r>
      <w:r>
        <w:rPr>
          <w:sz w:val="20"/>
          <w:szCs w:val="20"/>
          <w:color w:val="auto"/>
        </w:rPr>
        <w:tab/>
      </w:r>
      <w:r>
        <w:rPr>
          <w:rFonts w:ascii="Times New Roman" w:cs="Times New Roman" w:eastAsia="Times New Roman" w:hAnsi="Times New Roman"/>
          <w:sz w:val="17"/>
          <w:szCs w:val="17"/>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17145</wp:posOffset>
            </wp:positionV>
            <wp:extent cx="32581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58185" cy="8255"/>
                    </a:xfrm>
                    <a:prstGeom prst="rect">
                      <a:avLst/>
                    </a:prstGeom>
                    <a:noFill/>
                  </pic:spPr>
                </pic:pic>
              </a:graphicData>
            </a:graphic>
          </wp:anchor>
        </w:drawing>
      </w:r>
    </w:p>
    <w:p>
      <w:pPr>
        <w:spacing w:after="0" w:line="17"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7"/>
          <w:szCs w:val="17"/>
          <w:color w:val="auto"/>
        </w:rPr>
        <w:t>(Unaudited - In thousands)</w:t>
      </w:r>
    </w:p>
    <w:p>
      <w:pPr>
        <w:sectPr>
          <w:pgSz w:w="11900" w:h="16838" w:orient="portrait"/>
          <w:cols w:equalWidth="0" w:num="1">
            <w:col w:w="11240"/>
          </w:cols>
          <w:pgMar w:left="320" w:top="119" w:right="339" w:bottom="1440" w:gutter="0" w:footer="0" w:header="0"/>
        </w:sectPr>
      </w:pP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160" w:type="dxa"/>
            <w:vAlign w:val="bottom"/>
          </w:tcPr>
          <w:p>
            <w:pPr>
              <w:spacing w:after="0"/>
              <w:rPr>
                <w:sz w:val="19"/>
                <w:szCs w:val="19"/>
                <w:color w:val="auto"/>
              </w:rPr>
            </w:pPr>
          </w:p>
        </w:tc>
      </w:tr>
      <w:tr>
        <w:trPr>
          <w:trHeight w:val="219"/>
        </w:trPr>
        <w:tc>
          <w:tcPr>
            <w:tcW w:w="6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160" w:type="dxa"/>
            <w:vAlign w:val="bottom"/>
          </w:tcPr>
          <w:p>
            <w:pPr>
              <w:spacing w:after="0"/>
              <w:rPr>
                <w:sz w:val="19"/>
                <w:szCs w:val="19"/>
                <w:color w:val="auto"/>
              </w:rPr>
            </w:pPr>
          </w:p>
        </w:tc>
      </w:tr>
      <w:tr>
        <w:trPr>
          <w:trHeight w:val="223"/>
        </w:trPr>
        <w:tc>
          <w:tcPr>
            <w:tcW w:w="60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Unrealized gains arising during period</w:t>
            </w:r>
          </w:p>
        </w:tc>
        <w:tc>
          <w:tcPr>
            <w:tcW w:w="160" w:type="dxa"/>
            <w:vAlign w:val="bottom"/>
          </w:tcPr>
          <w:p>
            <w:pPr>
              <w:spacing w:after="0"/>
              <w:rPr>
                <w:sz w:val="19"/>
                <w:szCs w:val="19"/>
                <w:color w:val="auto"/>
              </w:rPr>
            </w:pPr>
          </w:p>
        </w:tc>
      </w:tr>
      <w:tr>
        <w:trPr>
          <w:trHeight w:val="232"/>
        </w:trPr>
        <w:tc>
          <w:tcPr>
            <w:tcW w:w="60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Accretion of net unrealized losses on securities transferred to held to maturity</w:t>
            </w:r>
          </w:p>
        </w:tc>
        <w:tc>
          <w:tcPr>
            <w:tcW w:w="160" w:type="dxa"/>
            <w:vAlign w:val="bottom"/>
          </w:tcPr>
          <w:p>
            <w:pPr>
              <w:spacing w:after="0"/>
              <w:rPr>
                <w:sz w:val="20"/>
                <w:szCs w:val="20"/>
                <w:color w:val="auto"/>
              </w:rPr>
            </w:pPr>
          </w:p>
        </w:tc>
      </w:tr>
      <w:tr>
        <w:trPr>
          <w:trHeight w:val="258"/>
        </w:trPr>
        <w:tc>
          <w:tcPr>
            <w:tcW w:w="60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Reclassification adjustments for losses included in earnings</w:t>
            </w:r>
          </w:p>
        </w:tc>
        <w:tc>
          <w:tcPr>
            <w:tcW w:w="160" w:type="dxa"/>
            <w:vAlign w:val="bottom"/>
          </w:tcPr>
          <w:p>
            <w:pPr>
              <w:spacing w:after="0"/>
              <w:rPr>
                <w:sz w:val="22"/>
                <w:szCs w:val="22"/>
                <w:color w:val="auto"/>
              </w:rPr>
            </w:pPr>
          </w:p>
        </w:tc>
      </w:tr>
      <w:tr>
        <w:trPr>
          <w:trHeight w:val="241"/>
        </w:trPr>
        <w:tc>
          <w:tcPr>
            <w:tcW w:w="60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Unrealized gains recognized in other comprehensive income on securities</w:t>
            </w:r>
          </w:p>
        </w:tc>
        <w:tc>
          <w:tcPr>
            <w:tcW w:w="160" w:type="dxa"/>
            <w:vAlign w:val="bottom"/>
          </w:tcPr>
          <w:p>
            <w:pPr>
              <w:spacing w:after="0"/>
              <w:rPr>
                <w:sz w:val="20"/>
                <w:szCs w:val="20"/>
                <w:color w:val="auto"/>
              </w:rPr>
            </w:pPr>
          </w:p>
        </w:tc>
      </w:tr>
      <w:tr>
        <w:trPr>
          <w:trHeight w:val="223"/>
        </w:trPr>
        <w:tc>
          <w:tcPr>
            <w:tcW w:w="60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available for sale</w:t>
            </w:r>
          </w:p>
        </w:tc>
        <w:tc>
          <w:tcPr>
            <w:tcW w:w="160" w:type="dxa"/>
            <w:vAlign w:val="bottom"/>
          </w:tcPr>
          <w:p>
            <w:pPr>
              <w:spacing w:after="0"/>
              <w:rPr>
                <w:sz w:val="19"/>
                <w:szCs w:val="19"/>
                <w:color w:val="auto"/>
              </w:rPr>
            </w:pPr>
          </w:p>
        </w:tc>
      </w:tr>
      <w:tr>
        <w:trPr>
          <w:trHeight w:val="245"/>
        </w:trPr>
        <w:tc>
          <w:tcPr>
            <w:tcW w:w="60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Income tax expense</w:t>
            </w:r>
          </w:p>
        </w:tc>
        <w:tc>
          <w:tcPr>
            <w:tcW w:w="160" w:type="dxa"/>
            <w:vAlign w:val="bottom"/>
          </w:tcPr>
          <w:p>
            <w:pPr>
              <w:spacing w:after="0"/>
              <w:rPr>
                <w:sz w:val="21"/>
                <w:szCs w:val="21"/>
                <w:color w:val="auto"/>
              </w:rPr>
            </w:pPr>
          </w:p>
        </w:tc>
      </w:tr>
      <w:tr>
        <w:trPr>
          <w:trHeight w:val="215"/>
        </w:trPr>
        <w:tc>
          <w:tcPr>
            <w:tcW w:w="60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Unrealized gains recognized in other comprehensive income on securities</w:t>
            </w:r>
          </w:p>
        </w:tc>
        <w:tc>
          <w:tcPr>
            <w:tcW w:w="160" w:type="dxa"/>
            <w:vAlign w:val="bottom"/>
          </w:tcPr>
          <w:p>
            <w:pPr>
              <w:spacing w:after="0"/>
              <w:rPr>
                <w:sz w:val="18"/>
                <w:szCs w:val="18"/>
                <w:color w:val="auto"/>
              </w:rPr>
            </w:pPr>
          </w:p>
        </w:tc>
      </w:tr>
      <w:tr>
        <w:trPr>
          <w:trHeight w:val="223"/>
        </w:trPr>
        <w:tc>
          <w:tcPr>
            <w:tcW w:w="60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available for sale, net of tax</w:t>
            </w:r>
          </w:p>
        </w:tc>
        <w:tc>
          <w:tcPr>
            <w:tcW w:w="160" w:type="dxa"/>
            <w:vAlign w:val="bottom"/>
          </w:tcPr>
          <w:p>
            <w:pPr>
              <w:spacing w:after="0"/>
              <w:rPr>
                <w:sz w:val="19"/>
                <w:szCs w:val="19"/>
                <w:color w:val="auto"/>
              </w:rPr>
            </w:pPr>
          </w:p>
        </w:tc>
      </w:tr>
      <w:tr>
        <w:trPr>
          <w:trHeight w:val="245"/>
        </w:trPr>
        <w:tc>
          <w:tcPr>
            <w:tcW w:w="6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Derivative instruments</w:t>
            </w:r>
          </w:p>
        </w:tc>
        <w:tc>
          <w:tcPr>
            <w:tcW w:w="160" w:type="dxa"/>
            <w:vAlign w:val="bottom"/>
          </w:tcPr>
          <w:p>
            <w:pPr>
              <w:spacing w:after="0"/>
              <w:rPr>
                <w:sz w:val="21"/>
                <w:szCs w:val="21"/>
                <w:color w:val="auto"/>
              </w:rPr>
            </w:pPr>
          </w:p>
        </w:tc>
      </w:tr>
      <w:tr>
        <w:trPr>
          <w:trHeight w:val="232"/>
        </w:trPr>
        <w:tc>
          <w:tcPr>
            <w:tcW w:w="60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Unrealized gains (losses) arising during period</w:t>
            </w:r>
          </w:p>
        </w:tc>
        <w:tc>
          <w:tcPr>
            <w:tcW w:w="160" w:type="dxa"/>
            <w:vAlign w:val="bottom"/>
          </w:tcPr>
          <w:p>
            <w:pPr>
              <w:spacing w:after="0"/>
              <w:rPr>
                <w:sz w:val="20"/>
                <w:szCs w:val="20"/>
                <w:color w:val="auto"/>
              </w:rPr>
            </w:pPr>
          </w:p>
        </w:tc>
      </w:tr>
      <w:tr>
        <w:trPr>
          <w:trHeight w:val="258"/>
        </w:trPr>
        <w:tc>
          <w:tcPr>
            <w:tcW w:w="60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Reclassification adjustment for expense recognized in earnings</w:t>
            </w:r>
          </w:p>
        </w:tc>
        <w:tc>
          <w:tcPr>
            <w:tcW w:w="160" w:type="dxa"/>
            <w:vAlign w:val="bottom"/>
          </w:tcPr>
          <w:p>
            <w:pPr>
              <w:spacing w:after="0"/>
              <w:rPr>
                <w:sz w:val="22"/>
                <w:szCs w:val="22"/>
                <w:color w:val="auto"/>
              </w:rPr>
            </w:pPr>
          </w:p>
        </w:tc>
      </w:tr>
      <w:tr>
        <w:trPr>
          <w:trHeight w:val="241"/>
        </w:trPr>
        <w:tc>
          <w:tcPr>
            <w:tcW w:w="60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Unrealized gains (losses) recognized in other comprehensive income on derivative</w:t>
            </w:r>
          </w:p>
        </w:tc>
        <w:tc>
          <w:tcPr>
            <w:tcW w:w="160" w:type="dxa"/>
            <w:vAlign w:val="bottom"/>
          </w:tcPr>
          <w:p>
            <w:pPr>
              <w:spacing w:after="0"/>
              <w:rPr>
                <w:sz w:val="20"/>
                <w:szCs w:val="20"/>
                <w:color w:val="auto"/>
              </w:rPr>
            </w:pPr>
          </w:p>
        </w:tc>
      </w:tr>
      <w:tr>
        <w:trPr>
          <w:trHeight w:val="223"/>
        </w:trPr>
        <w:tc>
          <w:tcPr>
            <w:tcW w:w="60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instruments</w:t>
            </w:r>
          </w:p>
        </w:tc>
        <w:tc>
          <w:tcPr>
            <w:tcW w:w="160" w:type="dxa"/>
            <w:vAlign w:val="bottom"/>
          </w:tcPr>
          <w:p>
            <w:pPr>
              <w:spacing w:after="0"/>
              <w:rPr>
                <w:sz w:val="19"/>
                <w:szCs w:val="19"/>
                <w:color w:val="auto"/>
              </w:rPr>
            </w:pPr>
          </w:p>
        </w:tc>
      </w:tr>
      <w:tr>
        <w:trPr>
          <w:trHeight w:val="258"/>
        </w:trPr>
        <w:tc>
          <w:tcPr>
            <w:tcW w:w="60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160" w:type="dxa"/>
            <w:vAlign w:val="bottom"/>
          </w:tcPr>
          <w:p>
            <w:pPr>
              <w:spacing w:after="0"/>
              <w:rPr>
                <w:sz w:val="22"/>
                <w:szCs w:val="22"/>
                <w:color w:val="auto"/>
              </w:rPr>
            </w:pPr>
          </w:p>
        </w:tc>
      </w:tr>
      <w:tr>
        <w:trPr>
          <w:trHeight w:val="241"/>
        </w:trPr>
        <w:tc>
          <w:tcPr>
            <w:tcW w:w="60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Unrealized gains (losses) recognized in other comprehensive income on derivative</w:t>
            </w:r>
          </w:p>
        </w:tc>
        <w:tc>
          <w:tcPr>
            <w:tcW w:w="160" w:type="dxa"/>
            <w:vAlign w:val="bottom"/>
          </w:tcPr>
          <w:p>
            <w:pPr>
              <w:spacing w:after="0"/>
              <w:rPr>
                <w:sz w:val="20"/>
                <w:szCs w:val="20"/>
                <w:color w:val="auto"/>
              </w:rPr>
            </w:pPr>
          </w:p>
        </w:tc>
      </w:tr>
      <w:tr>
        <w:trPr>
          <w:trHeight w:val="223"/>
        </w:trPr>
        <w:tc>
          <w:tcPr>
            <w:tcW w:w="60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instruments, net of tax</w:t>
            </w:r>
          </w:p>
        </w:tc>
        <w:tc>
          <w:tcPr>
            <w:tcW w:w="160" w:type="dxa"/>
            <w:vAlign w:val="bottom"/>
          </w:tcPr>
          <w:p>
            <w:pPr>
              <w:spacing w:after="0"/>
              <w:rPr>
                <w:sz w:val="19"/>
                <w:szCs w:val="19"/>
                <w:color w:val="auto"/>
              </w:rPr>
            </w:pPr>
          </w:p>
        </w:tc>
      </w:tr>
      <w:tr>
        <w:trPr>
          <w:trHeight w:val="258"/>
        </w:trPr>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160" w:type="dxa"/>
            <w:vAlign w:val="bottom"/>
          </w:tcPr>
          <w:p>
            <w:pPr>
              <w:spacing w:after="0"/>
              <w:rPr>
                <w:sz w:val="22"/>
                <w:szCs w:val="22"/>
                <w:color w:val="auto"/>
              </w:rPr>
            </w:pPr>
          </w:p>
        </w:tc>
      </w:tr>
      <w:tr>
        <w:trPr>
          <w:trHeight w:val="258"/>
        </w:trPr>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Comprehensive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-3143250</wp:posOffset>
            </wp:positionV>
            <wp:extent cx="7138670" cy="1390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-2865120</wp:posOffset>
            </wp:positionV>
            <wp:extent cx="7138670" cy="1390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-2586355</wp:posOffset>
            </wp:positionV>
            <wp:extent cx="7138670" cy="163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-1391285</wp:posOffset>
            </wp:positionV>
            <wp:extent cx="7138670" cy="163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-163195</wp:posOffset>
            </wp:positionV>
            <wp:extent cx="7138670" cy="163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-605155</wp:posOffset>
            </wp:positionV>
            <wp:extent cx="7138670" cy="294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8670" cy="2946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-1063625</wp:posOffset>
            </wp:positionV>
            <wp:extent cx="7138670" cy="294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8670" cy="2946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-1824990</wp:posOffset>
            </wp:positionV>
            <wp:extent cx="7138670" cy="294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8670" cy="2946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-2259330</wp:posOffset>
            </wp:positionV>
            <wp:extent cx="7138670" cy="294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6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4"/>
              </w:rPr>
              <w:t>17,502</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13,810</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49,969</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48,329</w:t>
            </w:r>
          </w:p>
        </w:tc>
      </w:tr>
      <w:tr>
        <w:trPr>
          <w:trHeight w:val="657"/>
        </w:trPr>
        <w:tc>
          <w:tcPr>
            <w:tcW w:w="6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8"/>
              </w:rPr>
              <w:t>11,475</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11,822</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7,972</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13,618</w:t>
            </w:r>
          </w:p>
        </w:tc>
      </w:tr>
      <w:tr>
        <w:trPr>
          <w:trHeight w:val="258"/>
        </w:trPr>
        <w:tc>
          <w:tcPr>
            <w:tcW w:w="6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777</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818</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2,405</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2,493</w:t>
            </w:r>
          </w:p>
        </w:tc>
      </w:tr>
      <w:tr>
        <w:trPr>
          <w:trHeight w:val="257"/>
        </w:trPr>
        <w:tc>
          <w:tcPr>
            <w:tcW w:w="6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36</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w:t>
            </w:r>
          </w:p>
        </w:tc>
      </w:tr>
      <w:tr>
        <w:trPr>
          <w:trHeight w:val="441"/>
        </w:trPr>
        <w:tc>
          <w:tcPr>
            <w:tcW w:w="6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4"/>
              </w:rPr>
              <w:t>12,288</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12,785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10,732</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16,525</w:t>
            </w:r>
          </w:p>
        </w:tc>
      </w:tr>
      <w:tr>
        <w:trPr>
          <w:trHeight w:val="223"/>
        </w:trPr>
        <w:tc>
          <w:tcPr>
            <w:tcW w:w="6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2,581</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2,685</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2,254</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3,470</w:t>
            </w:r>
          </w:p>
        </w:tc>
      </w:tr>
      <w:tr>
        <w:trPr>
          <w:trHeight w:val="444"/>
        </w:trPr>
        <w:tc>
          <w:tcPr>
            <w:tcW w:w="6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9,707</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10,100</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8,478</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13,055</w:t>
            </w:r>
          </w:p>
        </w:tc>
      </w:tr>
      <w:tr>
        <w:trPr>
          <w:trHeight w:val="457"/>
        </w:trPr>
        <w:tc>
          <w:tcPr>
            <w:tcW w:w="6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(1,182)</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2,744</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57"/>
        </w:trPr>
        <w:tc>
          <w:tcPr>
            <w:tcW w:w="6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610</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1,543</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1,005</w:t>
            </w:r>
          </w:p>
        </w:tc>
      </w:tr>
      <w:tr>
        <w:trPr>
          <w:trHeight w:val="445"/>
        </w:trPr>
        <w:tc>
          <w:tcPr>
            <w:tcW w:w="6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(572)</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3,134</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1,058</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1,057</w:t>
            </w:r>
          </w:p>
        </w:tc>
      </w:tr>
      <w:tr>
        <w:trPr>
          <w:trHeight w:val="257"/>
        </w:trPr>
        <w:tc>
          <w:tcPr>
            <w:tcW w:w="6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(122)</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658</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w:t>
            </w:r>
          </w:p>
        </w:tc>
      </w:tr>
      <w:tr>
        <w:trPr>
          <w:trHeight w:val="444"/>
        </w:trPr>
        <w:tc>
          <w:tcPr>
            <w:tcW w:w="6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(450)</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2,476</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836</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835</w:t>
            </w:r>
          </w:p>
        </w:tc>
      </w:tr>
      <w:tr>
        <w:trPr>
          <w:trHeight w:val="212"/>
        </w:trPr>
        <w:tc>
          <w:tcPr>
            <w:tcW w:w="6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9,257</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12,576</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9,314</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13,890</w:t>
            </w:r>
          </w:p>
        </w:tc>
      </w:tr>
      <w:tr>
        <w:trPr>
          <w:trHeight w:val="212"/>
        </w:trPr>
        <w:tc>
          <w:tcPr>
            <w:tcW w:w="6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4"/>
              </w:rPr>
              <w:t>26,759</w:t>
            </w: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26,386</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59,283</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62,219</w:t>
            </w:r>
          </w:p>
        </w:tc>
      </w:tr>
      <w:tr>
        <w:trPr>
          <w:trHeight w:val="20"/>
        </w:trPr>
        <w:tc>
          <w:tcPr>
            <w:tcW w:w="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-7620</wp:posOffset>
            </wp:positionV>
            <wp:extent cx="7778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7875" cy="8255"/>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-327025</wp:posOffset>
            </wp:positionV>
            <wp:extent cx="7778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7875" cy="8255"/>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-1546860</wp:posOffset>
            </wp:positionV>
            <wp:extent cx="7778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78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20" w:space="580"/>
            <w:col w:w="4440"/>
          </w:cols>
          <w:pgMar w:left="320" w:top="119"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interim condensed consolidated financial statements (Unaudited)</w:t>
      </w: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INDEPENDENT BANK CORPORATION AND SUBSIDIARIES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Condensed Consolidated Statements of Cash Flows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color w:val="auto"/>
              </w:rPr>
              <w:t>Nine months ended September 30,</w:t>
            </w:r>
          </w:p>
        </w:tc>
      </w:tr>
      <w:tr>
        <w:trPr>
          <w:trHeight w:val="22"/>
        </w:trPr>
        <w:tc>
          <w:tcPr>
            <w:tcW w:w="8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9"/>
        </w:trPr>
        <w:tc>
          <w:tcPr>
            <w:tcW w:w="86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color w:val="auto"/>
              </w:rPr>
              <w:t>2024</w:t>
            </w:r>
          </w:p>
        </w:tc>
      </w:tr>
      <w:tr>
        <w:trPr>
          <w:trHeight w:val="186"/>
        </w:trPr>
        <w:tc>
          <w:tcPr>
            <w:tcW w:w="8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color w:val="auto"/>
              </w:rPr>
              <w:t>(Unaudited - In thousands)</w:t>
            </w:r>
          </w:p>
        </w:tc>
      </w:tr>
      <w:tr>
        <w:trPr>
          <w:trHeight w:val="201"/>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49,969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48,329</w:t>
            </w:r>
          </w:p>
        </w:tc>
      </w:tr>
      <w:tr>
        <w:trPr>
          <w:trHeight w:val="164"/>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From Operating Activities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2"/>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3"/>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sales of equity securities at fair value</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w:t>
            </w:r>
          </w:p>
        </w:tc>
      </w:tr>
      <w:tr>
        <w:trPr>
          <w:trHeight w:val="186"/>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sales of loans held for sale</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265,152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279,046</w:t>
            </w:r>
          </w:p>
        </w:tc>
      </w:tr>
      <w:tr>
        <w:trPr>
          <w:trHeight w:val="201"/>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Disbursements for loans held for sale</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(263,956)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(276,535)</w:t>
            </w:r>
          </w:p>
        </w:tc>
      </w:tr>
      <w:tr>
        <w:trPr>
          <w:trHeight w:val="186"/>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2,251</w:t>
            </w:r>
          </w:p>
        </w:tc>
      </w:tr>
      <w:tr>
        <w:trPr>
          <w:trHeight w:val="201"/>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income tax benefit</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r>
      <w:tr>
        <w:trPr>
          <w:trHeight w:val="186"/>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deferred loan fees</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r>
      <w:tr>
        <w:trPr>
          <w:trHeight w:val="201"/>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depreciation, amortization of intangible assets and premiums and accretion of discounts on securities and loans</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7,522</w:t>
            </w:r>
          </w:p>
        </w:tc>
      </w:tr>
      <w:tr>
        <w:trPr>
          <w:trHeight w:val="186"/>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gains on mortgage loans</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(4,874)</w:t>
            </w:r>
          </w:p>
        </w:tc>
      </w:tr>
      <w:tr>
        <w:trPr>
          <w:trHeight w:val="201"/>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gains on equity securities at fair value</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w:t>
            </w:r>
          </w:p>
        </w:tc>
      </w:tr>
      <w:tr>
        <w:trPr>
          <w:trHeight w:val="186"/>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losses on sales of securities available for sale</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w:t>
            </w:r>
          </w:p>
        </w:tc>
      </w:tr>
      <w:tr>
        <w:trPr>
          <w:trHeight w:val="201"/>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 based compensation</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1,744</w:t>
            </w:r>
          </w:p>
        </w:tc>
      </w:tr>
      <w:tr>
        <w:trPr>
          <w:trHeight w:val="186"/>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(Increase) decrease in accrued income and other assets</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(2,437)</w:t>
            </w:r>
          </w:p>
        </w:tc>
      </w:tr>
      <w:tr>
        <w:trPr>
          <w:trHeight w:val="201"/>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Decrease in accrued expenses and other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(8,677)</w:t>
            </w:r>
          </w:p>
        </w:tc>
      </w:tr>
      <w:tr>
        <w:trPr>
          <w:trHeight w:val="179"/>
        </w:trPr>
        <w:tc>
          <w:tcPr>
            <w:tcW w:w="8600" w:type="dxa"/>
            <w:vAlign w:val="bottom"/>
            <w:tcBorders>
              <w:bottom w:val="single" w:sz="8" w:color="CCEEFF"/>
            </w:tcBorders>
          </w:tcPr>
          <w:p>
            <w:pPr>
              <w:jc w:val="right"/>
              <w:ind w:right="31"/>
              <w:spacing w:after="0"/>
              <w:rPr>
                <w:sz w:val="20"/>
                <w:szCs w:val="20"/>
                <w:color w:val="auto"/>
              </w:rPr>
            </w:pPr>
            <w:r>
              <w:rPr>
                <w:rFonts w:ascii="Times New Roman" w:cs="Times New Roman" w:eastAsia="Times New Roman" w:hAnsi="Times New Roman"/>
                <w:sz w:val="14"/>
                <w:szCs w:val="14"/>
                <w:color w:val="auto"/>
              </w:rPr>
              <w:t>Total Adjustments</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18,899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(1,547)</w:t>
            </w:r>
          </w:p>
        </w:tc>
      </w:tr>
      <w:tr>
        <w:trPr>
          <w:trHeight w:val="193"/>
        </w:trPr>
        <w:tc>
          <w:tcPr>
            <w:tcW w:w="86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Net Cash From Operating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68,868</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46,782</w:t>
            </w:r>
          </w:p>
        </w:tc>
      </w:tr>
      <w:tr>
        <w:trPr>
          <w:trHeight w:val="164"/>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Used in Investing Activities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2"/>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3"/>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sale of securities available for sale</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30,581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39,431</w:t>
            </w:r>
          </w:p>
        </w:tc>
      </w:tr>
      <w:tr>
        <w:trPr>
          <w:trHeight w:val="186"/>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sale of securities held to maturity previously charged off</w:t>
            </w:r>
          </w:p>
        </w:tc>
        <w:tc>
          <w:tcPr>
            <w:tcW w:w="2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w:t>
            </w:r>
          </w:p>
        </w:tc>
      </w:tr>
      <w:tr>
        <w:trPr>
          <w:trHeight w:val="201"/>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maturities, prepayments and calls of securities available for sale</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54,733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66,039</w:t>
            </w:r>
          </w:p>
        </w:tc>
      </w:tr>
      <w:tr>
        <w:trPr>
          <w:trHeight w:val="186"/>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maturities, prepayments and calls of securities held to maturity</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21,848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14,236</w:t>
            </w:r>
          </w:p>
        </w:tc>
      </w:tr>
      <w:tr>
        <w:trPr>
          <w:trHeight w:val="201"/>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securities held to maturity</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(3,628)</w:t>
            </w:r>
          </w:p>
        </w:tc>
      </w:tr>
      <w:tr>
        <w:trPr>
          <w:trHeight w:val="186"/>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 of securities available for sale</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(17,957)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Federal Home Loan Bank stock</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redemption of Federal Home Loan Bank stock</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w:t>
            </w:r>
          </w:p>
        </w:tc>
      </w:tr>
      <w:tr>
        <w:trPr>
          <w:trHeight w:val="201"/>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increase in portfolio loans (loans originated, net of principal payments)</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(178,896)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(163,731)</w:t>
            </w:r>
          </w:p>
        </w:tc>
      </w:tr>
      <w:tr>
        <w:trPr>
          <w:trHeight w:val="186"/>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sale of portfolio loans</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14,807</w:t>
            </w:r>
          </w:p>
        </w:tc>
      </w:tr>
      <w:tr>
        <w:trPr>
          <w:trHeight w:val="201"/>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bank-owned life insurance</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w:t>
            </w:r>
          </w:p>
        </w:tc>
      </w:tr>
      <w:tr>
        <w:trPr>
          <w:trHeight w:val="186"/>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sale of other real estate and repossessed assets</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w:t>
            </w:r>
          </w:p>
        </w:tc>
      </w:tr>
      <w:tr>
        <w:trPr>
          <w:trHeight w:val="201"/>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sale of property and equipment</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r>
      <w:tr>
        <w:trPr>
          <w:trHeight w:val="186"/>
        </w:trPr>
        <w:tc>
          <w:tcPr>
            <w:tcW w:w="8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Capital expenditures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(3,941)</w:t>
            </w:r>
          </w:p>
        </w:tc>
      </w:tr>
      <w:tr>
        <w:trPr>
          <w:trHeight w:val="193"/>
        </w:trPr>
        <w:tc>
          <w:tcPr>
            <w:tcW w:w="86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(76,933)</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(32,930)</w:t>
            </w:r>
          </w:p>
        </w:tc>
      </w:tr>
      <w:tr>
        <w:trPr>
          <w:trHeight w:val="164"/>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From (Used in) Financing Activities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2"/>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3"/>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increase in total deposits</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205,067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3,996</w:t>
            </w:r>
          </w:p>
        </w:tc>
      </w:tr>
      <w:tr>
        <w:trPr>
          <w:trHeight w:val="186"/>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decrease in other borrowings</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01"/>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Federal Home Loan Bank Advances</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232,000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Payments of Federal Home Loan Bank Advances</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r>
      <w:tr>
        <w:trPr>
          <w:trHeight w:val="201"/>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Repayment of subordinated debt</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paid</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(15,032)</w:t>
            </w:r>
          </w:p>
        </w:tc>
      </w:tr>
      <w:tr>
        <w:trPr>
          <w:trHeight w:val="201"/>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8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Share based compensation withholding obligation</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(1,011)</w:t>
            </w:r>
          </w:p>
        </w:tc>
      </w:tr>
      <w:tr>
        <w:trPr>
          <w:trHeight w:val="193"/>
        </w:trPr>
        <w:tc>
          <w:tcPr>
            <w:tcW w:w="86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Net Cash From (Used in) Financing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96,869</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(62,073)</w:t>
            </w:r>
          </w:p>
        </w:tc>
      </w:tr>
      <w:tr>
        <w:trPr>
          <w:trHeight w:val="179"/>
        </w:trPr>
        <w:tc>
          <w:tcPr>
            <w:tcW w:w="86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88,804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(48,221)</w:t>
            </w:r>
          </w:p>
        </w:tc>
      </w:tr>
      <w:tr>
        <w:trPr>
          <w:trHeight w:val="194"/>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119,882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169,781</w:t>
            </w:r>
          </w:p>
        </w:tc>
      </w:tr>
      <w:tr>
        <w:trPr>
          <w:trHeight w:val="193"/>
        </w:trPr>
        <w:tc>
          <w:tcPr>
            <w:tcW w:w="86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208,686</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121,560</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65"/>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2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r>
      <w:tr>
        <w:trPr>
          <w:trHeight w:val="186"/>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w:t>
            </w: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68,515</w:t>
            </w:r>
          </w:p>
        </w:tc>
        <w:tc>
          <w:tcPr>
            <w:tcW w:w="100" w:type="dxa"/>
            <w:vAlign w:val="bottom"/>
          </w:tcPr>
          <w:p>
            <w:pPr>
              <w:spacing w:after="0"/>
              <w:rPr>
                <w:sz w:val="16"/>
                <w:szCs w:val="16"/>
                <w:color w:val="auto"/>
              </w:rPr>
            </w:pP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78,720</w:t>
            </w:r>
          </w:p>
        </w:tc>
      </w:tr>
      <w:tr>
        <w:trPr>
          <w:trHeight w:val="201"/>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taxes</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11,400</w:t>
            </w:r>
          </w:p>
        </w:tc>
      </w:tr>
      <w:tr>
        <w:trPr>
          <w:trHeight w:val="186"/>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Transfers to other real estate and repossessed assets</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w:t>
            </w:r>
          </w:p>
        </w:tc>
      </w:tr>
      <w:tr>
        <w:trPr>
          <w:trHeight w:val="201"/>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 of use assets obtained in exchange for lease obligations</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2,354</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interim condensed consolidated financial statements (Unaudited)</w:t>
      </w:r>
    </w:p>
    <w:p>
      <w:pPr>
        <w:spacing w:after="0" w:line="34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Condensed Consolidated Statements of Shareholders’ Equity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6"/>
              </w:rPr>
              <w:t>Accumulated</w:t>
            </w:r>
          </w:p>
        </w:tc>
        <w:tc>
          <w:tcPr>
            <w:tcW w:w="220" w:type="dxa"/>
            <w:vAlign w:val="bottom"/>
          </w:tcPr>
          <w:p>
            <w:pPr>
              <w:spacing w:after="0"/>
              <w:rPr>
                <w:sz w:val="13"/>
                <w:szCs w:val="13"/>
                <w:color w:val="auto"/>
              </w:rPr>
            </w:pPr>
          </w:p>
        </w:tc>
        <w:tc>
          <w:tcPr>
            <w:tcW w:w="126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55"/>
        </w:trPr>
        <w:tc>
          <w:tcPr>
            <w:tcW w:w="4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color w:val="auto"/>
                <w:w w:val="99"/>
              </w:rPr>
              <w:t>Common</w:t>
            </w:r>
          </w:p>
        </w:tc>
        <w:tc>
          <w:tcPr>
            <w:tcW w:w="160" w:type="dxa"/>
            <w:vAlign w:val="bottom"/>
          </w:tcPr>
          <w:p>
            <w:pPr>
              <w:spacing w:after="0"/>
              <w:rPr>
                <w:sz w:val="13"/>
                <w:szCs w:val="13"/>
                <w:color w:val="auto"/>
              </w:rPr>
            </w:pPr>
          </w:p>
        </w:tc>
        <w:tc>
          <w:tcPr>
            <w:tcW w:w="1400" w:type="dxa"/>
            <w:vAlign w:val="bottom"/>
            <w:gridSpan w:val="2"/>
          </w:tcPr>
          <w:p>
            <w:pPr>
              <w:ind w:left="340"/>
              <w:spacing w:after="0" w:line="155" w:lineRule="exact"/>
              <w:rPr>
                <w:sz w:val="20"/>
                <w:szCs w:val="20"/>
                <w:color w:val="auto"/>
              </w:rPr>
            </w:pPr>
            <w:r>
              <w:rPr>
                <w:rFonts w:ascii="Times New Roman" w:cs="Times New Roman" w:eastAsia="Times New Roman" w:hAnsi="Times New Roman"/>
                <w:sz w:val="14"/>
                <w:szCs w:val="14"/>
                <w:color w:val="auto"/>
              </w:rPr>
              <w:t>Retained</w:t>
            </w:r>
          </w:p>
        </w:tc>
        <w:tc>
          <w:tcPr>
            <w:tcW w:w="160" w:type="dxa"/>
            <w:vAlign w:val="bottom"/>
          </w:tcPr>
          <w:p>
            <w:pPr>
              <w:spacing w:after="0"/>
              <w:rPr>
                <w:sz w:val="13"/>
                <w:szCs w:val="13"/>
                <w:color w:val="auto"/>
              </w:rPr>
            </w:pPr>
          </w:p>
        </w:tc>
        <w:tc>
          <w:tcPr>
            <w:tcW w:w="152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3"/>
                <w:szCs w:val="13"/>
                <w:color w:val="auto"/>
              </w:rPr>
            </w:pPr>
          </w:p>
        </w:tc>
        <w:tc>
          <w:tcPr>
            <w:tcW w:w="1260" w:type="dxa"/>
            <w:vAlign w:val="bottom"/>
          </w:tcPr>
          <w:p>
            <w:pPr>
              <w:jc w:val="center"/>
              <w:ind w:right="151"/>
              <w:spacing w:after="0" w:line="155" w:lineRule="exact"/>
              <w:rPr>
                <w:sz w:val="20"/>
                <w:szCs w:val="20"/>
                <w:color w:val="auto"/>
              </w:rPr>
            </w:pPr>
            <w:r>
              <w:rPr>
                <w:rFonts w:ascii="Times New Roman" w:cs="Times New Roman" w:eastAsia="Times New Roman" w:hAnsi="Times New Roman"/>
                <w:sz w:val="14"/>
                <w:szCs w:val="14"/>
                <w:color w:val="auto"/>
                <w:w w:val="97"/>
              </w:rPr>
              <w:t>Shareholders’</w:t>
            </w:r>
          </w:p>
        </w:tc>
        <w:tc>
          <w:tcPr>
            <w:tcW w:w="0" w:type="dxa"/>
            <w:vAlign w:val="bottom"/>
          </w:tcPr>
          <w:p>
            <w:pPr>
              <w:spacing w:after="0"/>
              <w:rPr>
                <w:sz w:val="1"/>
                <w:szCs w:val="1"/>
                <w:color w:val="auto"/>
              </w:rPr>
            </w:pPr>
          </w:p>
        </w:tc>
      </w:tr>
      <w:tr>
        <w:trPr>
          <w:trHeight w:val="191"/>
        </w:trPr>
        <w:tc>
          <w:tcPr>
            <w:tcW w:w="4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Stock</w:t>
            </w:r>
          </w:p>
        </w:tc>
        <w:tc>
          <w:tcPr>
            <w:tcW w:w="160" w:type="dxa"/>
            <w:vAlign w:val="bottom"/>
          </w:tcPr>
          <w:p>
            <w:pPr>
              <w:spacing w:after="0"/>
              <w:rPr>
                <w:sz w:val="16"/>
                <w:szCs w:val="16"/>
                <w:color w:val="auto"/>
              </w:rPr>
            </w:pPr>
          </w:p>
        </w:tc>
        <w:tc>
          <w:tcPr>
            <w:tcW w:w="14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Earnings</w:t>
            </w:r>
          </w:p>
        </w:tc>
        <w:tc>
          <w:tcPr>
            <w:tcW w:w="16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8"/>
              </w:rPr>
              <w:t>Comprehensive Loss</w:t>
            </w:r>
          </w:p>
        </w:tc>
        <w:tc>
          <w:tcPr>
            <w:tcW w:w="220" w:type="dxa"/>
            <w:vAlign w:val="bottom"/>
          </w:tcPr>
          <w:p>
            <w:pPr>
              <w:spacing w:after="0"/>
              <w:rPr>
                <w:sz w:val="16"/>
                <w:szCs w:val="16"/>
                <w:color w:val="auto"/>
              </w:rPr>
            </w:pPr>
          </w:p>
        </w:tc>
        <w:tc>
          <w:tcPr>
            <w:tcW w:w="126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w w:val="96"/>
              </w:rPr>
              <w:t>Equity</w:t>
            </w:r>
          </w:p>
        </w:tc>
        <w:tc>
          <w:tcPr>
            <w:tcW w:w="0" w:type="dxa"/>
            <w:vAlign w:val="bottom"/>
          </w:tcPr>
          <w:p>
            <w:pPr>
              <w:spacing w:after="0"/>
              <w:rPr>
                <w:sz w:val="1"/>
                <w:szCs w:val="1"/>
                <w:color w:val="auto"/>
              </w:rPr>
            </w:pPr>
          </w:p>
        </w:tc>
      </w:tr>
      <w:tr>
        <w:trPr>
          <w:trHeight w:val="35"/>
        </w:trPr>
        <w:tc>
          <w:tcPr>
            <w:tcW w:w="49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gridSpan w:val="5"/>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4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8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July 1, 2025</w:t>
            </w:r>
          </w:p>
        </w:tc>
        <w:tc>
          <w:tcPr>
            <w:tcW w:w="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311,653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227,484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(69,887)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469,250</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three months ended September 30, 2025</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17,502</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declared, $0.26 per share</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(5,384)</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13,732 shares of common stock</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based compensation (issuance of 0 shares of common stock)</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0" w:type="dxa"/>
            <w:vAlign w:val="bottom"/>
          </w:tcPr>
          <w:p>
            <w:pPr>
              <w:spacing w:after="0"/>
              <w:rPr>
                <w:sz w:val="1"/>
                <w:szCs w:val="1"/>
                <w:color w:val="auto"/>
              </w:rPr>
            </w:pPr>
          </w:p>
        </w:tc>
      </w:tr>
      <w:tr>
        <w:trPr>
          <w:trHeight w:val="129"/>
        </w:trPr>
        <w:tc>
          <w:tcPr>
            <w:tcW w:w="494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Share based compensation withholding obligation (withholding of 1,237 shares of</w:t>
            </w:r>
          </w:p>
        </w:tc>
        <w:tc>
          <w:tcPr>
            <w:tcW w:w="28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86"/>
        </w:trPr>
        <w:tc>
          <w:tcPr>
            <w:tcW w:w="4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9,257</w:t>
            </w:r>
          </w:p>
        </w:tc>
        <w:tc>
          <w:tcPr>
            <w:tcW w:w="0" w:type="dxa"/>
            <w:vAlign w:val="bottom"/>
          </w:tcPr>
          <w:p>
            <w:pPr>
              <w:spacing w:after="0"/>
              <w:rPr>
                <w:sz w:val="1"/>
                <w:szCs w:val="1"/>
                <w:color w:val="auto"/>
              </w:rPr>
            </w:pPr>
          </w:p>
        </w:tc>
      </w:tr>
      <w:tr>
        <w:trPr>
          <w:trHeight w:val="193"/>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September 30, 2025</w:t>
            </w: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311,770</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239,602</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(60,630)</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490,742</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July 1, 2024</w:t>
            </w: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317,676</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183,611</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(70,828)</w:t>
            </w:r>
          </w:p>
        </w:tc>
        <w:tc>
          <w:tcPr>
            <w:tcW w:w="8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430,459</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three months ended September 30, 2024</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13,810</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dividends declared, $0.24 per share</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(5,016)</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based compensation (issuance of 0 shares of common stock)</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0" w:type="dxa"/>
            <w:vAlign w:val="bottom"/>
          </w:tcPr>
          <w:p>
            <w:pPr>
              <w:spacing w:after="0"/>
              <w:rPr>
                <w:sz w:val="1"/>
                <w:szCs w:val="1"/>
                <w:color w:val="auto"/>
              </w:rPr>
            </w:pPr>
          </w:p>
        </w:tc>
      </w:tr>
      <w:tr>
        <w:trPr>
          <w:trHeight w:val="129"/>
        </w:trPr>
        <w:tc>
          <w:tcPr>
            <w:tcW w:w="494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Share based compensation withholding obligation (withholding of 1,036 shares of</w:t>
            </w:r>
          </w:p>
        </w:tc>
        <w:tc>
          <w:tcPr>
            <w:tcW w:w="28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86"/>
        </w:trPr>
        <w:tc>
          <w:tcPr>
            <w:tcW w:w="4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12,576</w:t>
            </w:r>
          </w:p>
        </w:tc>
        <w:tc>
          <w:tcPr>
            <w:tcW w:w="0" w:type="dxa"/>
            <w:vAlign w:val="bottom"/>
          </w:tcPr>
          <w:p>
            <w:pPr>
              <w:spacing w:after="0"/>
              <w:rPr>
                <w:sz w:val="1"/>
                <w:szCs w:val="1"/>
                <w:color w:val="auto"/>
              </w:rPr>
            </w:pPr>
          </w:p>
        </w:tc>
      </w:tr>
      <w:tr>
        <w:trPr>
          <w:trHeight w:val="193"/>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September 30, 2024</w:t>
            </w: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318,216</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192,405</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(58,252)</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452,369</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January 1, 2025</w:t>
            </w: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318,777</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205,853</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(69,944)</w:t>
            </w:r>
          </w:p>
        </w:tc>
        <w:tc>
          <w:tcPr>
            <w:tcW w:w="8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454,686</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nine months ended September 30, 2025</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49,969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49,969</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dividends declared, $0.78 per share</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(16,220)</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266,008 shares of common stock</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(7,770)</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based compensation (issuance of 94,600 shares of common stock)</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w:t>
            </w:r>
          </w:p>
        </w:tc>
        <w:tc>
          <w:tcPr>
            <w:tcW w:w="0" w:type="dxa"/>
            <w:vAlign w:val="bottom"/>
          </w:tcPr>
          <w:p>
            <w:pPr>
              <w:spacing w:after="0"/>
              <w:rPr>
                <w:sz w:val="1"/>
                <w:szCs w:val="1"/>
                <w:color w:val="auto"/>
              </w:rPr>
            </w:pPr>
          </w:p>
        </w:tc>
      </w:tr>
      <w:tr>
        <w:trPr>
          <w:trHeight w:val="136"/>
        </w:trPr>
        <w:tc>
          <w:tcPr>
            <w:tcW w:w="494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Share based compensation withholding obligation (withholding of 35,495 shares of</w:t>
            </w:r>
          </w:p>
        </w:tc>
        <w:tc>
          <w:tcPr>
            <w:tcW w:w="2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1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w:t>
            </w:r>
          </w:p>
        </w:tc>
        <w:tc>
          <w:tcPr>
            <w:tcW w:w="0" w:type="dxa"/>
            <w:vAlign w:val="bottom"/>
          </w:tcPr>
          <w:p>
            <w:pPr>
              <w:spacing w:after="0"/>
              <w:rPr>
                <w:sz w:val="1"/>
                <w:szCs w:val="1"/>
                <w:color w:val="auto"/>
              </w:rPr>
            </w:pPr>
          </w:p>
        </w:tc>
      </w:tr>
      <w:tr>
        <w:trPr>
          <w:trHeight w:val="193"/>
        </w:trPr>
        <w:tc>
          <w:tcPr>
            <w:tcW w:w="4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9,314</w:t>
            </w:r>
          </w:p>
        </w:tc>
        <w:tc>
          <w:tcPr>
            <w:tcW w:w="0" w:type="dxa"/>
            <w:vAlign w:val="bottom"/>
          </w:tcPr>
          <w:p>
            <w:pPr>
              <w:spacing w:after="0"/>
              <w:rPr>
                <w:sz w:val="1"/>
                <w:szCs w:val="1"/>
                <w:color w:val="auto"/>
              </w:rPr>
            </w:pPr>
          </w:p>
        </w:tc>
      </w:tr>
      <w:tr>
        <w:trPr>
          <w:trHeight w:val="21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September 30, 2025</w:t>
            </w:r>
          </w:p>
        </w:tc>
        <w:tc>
          <w:tcPr>
            <w:tcW w:w="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311,770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239,602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(60,630)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490,742</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2024</w:t>
            </w:r>
          </w:p>
        </w:tc>
        <w:tc>
          <w:tcPr>
            <w:tcW w:w="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317,483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159,108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(72,142)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404,449</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nine months ended September 30, 2024</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48,329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48,329</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declared, $0.72 per share</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(15,032)</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based compensation (issuance of 102,324 shares of common stock)</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0" w:type="dxa"/>
            <w:vAlign w:val="bottom"/>
          </w:tcPr>
          <w:p>
            <w:pPr>
              <w:spacing w:after="0"/>
              <w:rPr>
                <w:sz w:val="1"/>
                <w:szCs w:val="1"/>
                <w:color w:val="auto"/>
              </w:rPr>
            </w:pPr>
          </w:p>
        </w:tc>
      </w:tr>
      <w:tr>
        <w:trPr>
          <w:trHeight w:val="136"/>
        </w:trPr>
        <w:tc>
          <w:tcPr>
            <w:tcW w:w="494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Share based compensation withholding obligation (withholding of 40,986 shares of</w:t>
            </w:r>
          </w:p>
        </w:tc>
        <w:tc>
          <w:tcPr>
            <w:tcW w:w="2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1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0" w:type="dxa"/>
            <w:vAlign w:val="bottom"/>
          </w:tcPr>
          <w:p>
            <w:pPr>
              <w:spacing w:after="0"/>
              <w:rPr>
                <w:sz w:val="1"/>
                <w:szCs w:val="1"/>
                <w:color w:val="auto"/>
              </w:rPr>
            </w:pPr>
          </w:p>
        </w:tc>
      </w:tr>
      <w:tr>
        <w:trPr>
          <w:trHeight w:val="193"/>
        </w:trPr>
        <w:tc>
          <w:tcPr>
            <w:tcW w:w="4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13,890</w:t>
            </w:r>
          </w:p>
        </w:tc>
        <w:tc>
          <w:tcPr>
            <w:tcW w:w="0" w:type="dxa"/>
            <w:vAlign w:val="bottom"/>
          </w:tcPr>
          <w:p>
            <w:pPr>
              <w:spacing w:after="0"/>
              <w:rPr>
                <w:sz w:val="1"/>
                <w:szCs w:val="1"/>
                <w:color w:val="auto"/>
              </w:rPr>
            </w:pPr>
          </w:p>
        </w:tc>
      </w:tr>
      <w:tr>
        <w:trPr>
          <w:trHeight w:val="21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September 30, 2024</w:t>
            </w:r>
          </w:p>
        </w:tc>
        <w:tc>
          <w:tcPr>
            <w:tcW w:w="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318,216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192,405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(58,252)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452,369</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interim condensed consolidated financial statements (Unaudited)</w:t>
      </w: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174" w:lineRule="exact"/>
        <w:rPr>
          <w:sz w:val="20"/>
          <w:szCs w:val="20"/>
          <w:color w:val="auto"/>
        </w:rPr>
      </w:pPr>
    </w:p>
    <w:p>
      <w:pPr>
        <w:ind w:left="300" w:hanging="297"/>
        <w:spacing w:after="0"/>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Preparation of Financial Statements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interim condensed consolidated financial statements have been prepared pursuant to the rules and regulations of the Securities and Exchange Commission. Certain information and note disclosures normally included in annual financial statements prepared in accordance with U.S. generally accepted accounting principles (“GAAP”) have been condensed or omitted pursuant to those rules and regulations, although we believe that the disclosures made are adequate to make the information not misleading. The unaudited interim condensed consolidated financial statements should be read in conjunction with the audited consolidated financial statements and notes for the year ended December 31, 2024 included in our Annual Report on Form 10-K.</w:t>
      </w:r>
    </w:p>
    <w:p>
      <w:pPr>
        <w:spacing w:after="0" w:line="1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our opinion, the accompanying unaudited interim condensed consolidated financial statements contain all the adjustments necessary to present fairly our consolidated financial condition as of September 30, 2025 and December 31, 2024, and the results of operations for the three and nine-month periods ended September 30, 2025 and 2024. The results of operations for the three and nine-month periods ended September 30, 2025, are not necessarily indicative of the results to be expected for the full year. Certain reclassifications have been made in the prior period interim condensed consolidated financial statements to conform to the current period presentation. Our critical accounting policies include the determination of the allowance for credit losses (“ACL”) and the valuation of capitalized mortgage loan servicing rights. Refer to our 2024 Annual Report on Form 10-K for a disclosure of our accounting policies.</w:t>
      </w:r>
    </w:p>
    <w:p>
      <w:pPr>
        <w:spacing w:after="0" w:line="147" w:lineRule="exact"/>
        <w:rPr>
          <w:sz w:val="20"/>
          <w:szCs w:val="20"/>
          <w:color w:val="auto"/>
        </w:rPr>
      </w:pPr>
    </w:p>
    <w:p>
      <w:pPr>
        <w:ind w:left="300" w:hanging="297"/>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New Accounting Standards</w:t>
      </w:r>
    </w:p>
    <w:p>
      <w:pPr>
        <w:spacing w:after="0" w:line="178"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In December, 2023, the Financial Accounting Standards Board ("FASB") issued Accounting Standards Update ("ASU") 2023-09, "Income Taxes (Topic 740): Improvements to Income Tax Disclosures". This ASU modifies the rules on income tax disclosures to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This ASU also requires entities to disclose their income tax payments to international, federal, state and local jurisdictions, among other changes. This ASU takes effect in annual reporting periods beginning after December 15, 2024, with early adoption permitted. The adoption of this ASU on January 1, 2025, did not have a material impact on our interim Condensed Consolidated Financial Statements.</w:t>
      </w:r>
    </w:p>
    <w:p>
      <w:pPr>
        <w:spacing w:after="0" w:line="140"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In December, 2024, the FASB issued ASU 2024-03, "Income Statement - Reporting Comprehensive Income - Expense Disaggregation Disclosures (Subtopic 220-40): Disaggregation of Income Statement Expenses". This ASU requires public business entities to disaggregate certain expense captions into specific categories in disclosures within the footnotes to the consolidated financial statements. This ASU takes effect in annual reporting periods beginning after December 15, 2026, and interim reporting periods within annual reporting periods beginning after December 15, 2027, with early adoption permitted. We do not expect the adoption of this ASU to have a material impact on our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3.  Securities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Securities available for sale (“AFS”) consist of the following:</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Amortized</w:t>
            </w: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7"/>
                <w:szCs w:val="17"/>
                <w:color w:val="auto"/>
              </w:rPr>
              <w:t>Unrealized</w:t>
            </w: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Cost</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7"/>
                <w:szCs w:val="17"/>
                <w:color w:val="auto"/>
              </w:rPr>
              <w:t>Gains</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Losses</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Fair Value</w:t>
            </w:r>
          </w:p>
        </w:tc>
        <w:tc>
          <w:tcPr>
            <w:tcW w:w="0" w:type="dxa"/>
            <w:vAlign w:val="bottom"/>
          </w:tcPr>
          <w:p>
            <w:pPr>
              <w:spacing w:after="0"/>
              <w:rPr>
                <w:sz w:val="1"/>
                <w:szCs w:val="1"/>
                <w:color w:val="auto"/>
              </w:rPr>
            </w:pPr>
          </w:p>
        </w:tc>
      </w:tr>
      <w:tr>
        <w:trPr>
          <w:trHeight w:val="216"/>
        </w:trPr>
        <w:tc>
          <w:tcPr>
            <w:tcW w:w="5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auto"/>
              </w:rPr>
              <w:t>September 30, 2025</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4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8,071</w:t>
            </w:r>
          </w:p>
        </w:tc>
        <w:tc>
          <w:tcPr>
            <w:tcW w:w="0" w:type="dxa"/>
            <w:vAlign w:val="bottom"/>
          </w:tcPr>
          <w:p>
            <w:pPr>
              <w:spacing w:after="0"/>
              <w:rPr>
                <w:sz w:val="1"/>
                <w:szCs w:val="1"/>
                <w:color w:val="auto"/>
              </w:rPr>
            </w:pPr>
          </w:p>
        </w:tc>
      </w:tr>
      <w:tr>
        <w:trPr>
          <w:trHeight w:val="219"/>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78,196</w:t>
            </w:r>
          </w:p>
        </w:tc>
        <w:tc>
          <w:tcPr>
            <w:tcW w:w="0" w:type="dxa"/>
            <w:vAlign w:val="bottom"/>
          </w:tcPr>
          <w:p>
            <w:pPr>
              <w:spacing w:after="0"/>
              <w:rPr>
                <w:sz w:val="1"/>
                <w:szCs w:val="1"/>
                <w:color w:val="auto"/>
              </w:rPr>
            </w:pPr>
          </w:p>
        </w:tc>
      </w:tr>
      <w:tr>
        <w:trPr>
          <w:trHeight w:val="219"/>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7,455</w:t>
            </w:r>
          </w:p>
        </w:tc>
        <w:tc>
          <w:tcPr>
            <w:tcW w:w="0" w:type="dxa"/>
            <w:vAlign w:val="bottom"/>
          </w:tcPr>
          <w:p>
            <w:pPr>
              <w:spacing w:after="0"/>
              <w:rPr>
                <w:sz w:val="1"/>
                <w:szCs w:val="1"/>
                <w:color w:val="auto"/>
              </w:rPr>
            </w:pPr>
          </w:p>
        </w:tc>
      </w:tr>
      <w:tr>
        <w:trPr>
          <w:trHeight w:val="219"/>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41,936</w:t>
            </w:r>
          </w:p>
        </w:tc>
        <w:tc>
          <w:tcPr>
            <w:tcW w:w="0" w:type="dxa"/>
            <w:vAlign w:val="bottom"/>
          </w:tcPr>
          <w:p>
            <w:pPr>
              <w:spacing w:after="0"/>
              <w:rPr>
                <w:sz w:val="1"/>
                <w:szCs w:val="1"/>
                <w:color w:val="auto"/>
              </w:rPr>
            </w:pPr>
          </w:p>
        </w:tc>
      </w:tr>
      <w:tr>
        <w:trPr>
          <w:trHeight w:val="219"/>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asset backed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32,129</w:t>
            </w:r>
          </w:p>
        </w:tc>
        <w:tc>
          <w:tcPr>
            <w:tcW w:w="0" w:type="dxa"/>
            <w:vAlign w:val="bottom"/>
          </w:tcPr>
          <w:p>
            <w:pPr>
              <w:spacing w:after="0"/>
              <w:rPr>
                <w:sz w:val="1"/>
                <w:szCs w:val="1"/>
                <w:color w:val="auto"/>
              </w:rPr>
            </w:pPr>
          </w:p>
        </w:tc>
      </w:tr>
      <w:tr>
        <w:trPr>
          <w:trHeight w:val="219"/>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320,802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41,187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279,615</w:t>
            </w:r>
          </w:p>
        </w:tc>
        <w:tc>
          <w:tcPr>
            <w:tcW w:w="0" w:type="dxa"/>
            <w:vAlign w:val="bottom"/>
          </w:tcPr>
          <w:p>
            <w:pPr>
              <w:spacing w:after="0"/>
              <w:rPr>
                <w:sz w:val="1"/>
                <w:szCs w:val="1"/>
                <w:color w:val="auto"/>
              </w:rPr>
            </w:pPr>
          </w:p>
        </w:tc>
      </w:tr>
      <w:tr>
        <w:trPr>
          <w:trHeight w:val="219"/>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Corporate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54,200</w:t>
            </w:r>
          </w:p>
        </w:tc>
        <w:tc>
          <w:tcPr>
            <w:tcW w:w="0" w:type="dxa"/>
            <w:vAlign w:val="bottom"/>
          </w:tcPr>
          <w:p>
            <w:pPr>
              <w:spacing w:after="0"/>
              <w:rPr>
                <w:sz w:val="1"/>
                <w:szCs w:val="1"/>
                <w:color w:val="auto"/>
              </w:rPr>
            </w:pPr>
          </w:p>
        </w:tc>
      </w:tr>
      <w:tr>
        <w:trPr>
          <w:trHeight w:val="219"/>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Trust preferred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981</w:t>
            </w:r>
          </w:p>
        </w:tc>
        <w:tc>
          <w:tcPr>
            <w:tcW w:w="0" w:type="dxa"/>
            <w:vAlign w:val="bottom"/>
          </w:tcPr>
          <w:p>
            <w:pPr>
              <w:spacing w:after="0"/>
              <w:rPr>
                <w:sz w:val="1"/>
                <w:szCs w:val="1"/>
                <w:color w:val="auto"/>
              </w:rPr>
            </w:pPr>
          </w:p>
        </w:tc>
      </w:tr>
      <w:tr>
        <w:trPr>
          <w:trHeight w:val="237"/>
        </w:trPr>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4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556,662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54,494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502,583</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gridSpan w:val="3"/>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2024</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U.S. agency</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8,858</w:t>
            </w:r>
          </w:p>
        </w:tc>
        <w:tc>
          <w:tcPr>
            <w:tcW w:w="100" w:type="dxa"/>
            <w:vAlign w:val="bottom"/>
          </w:tcPr>
          <w:p>
            <w:pPr>
              <w:spacing w:after="0"/>
              <w:rPr>
                <w:sz w:val="22"/>
                <w:szCs w:val="22"/>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2"/>
                <w:szCs w:val="22"/>
                <w:color w:val="auto"/>
              </w:rPr>
            </w:pPr>
          </w:p>
        </w:tc>
        <w:tc>
          <w:tcPr>
            <w:tcW w:w="48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80" w:type="dxa"/>
            <w:vAlign w:val="bottom"/>
          </w:tcPr>
          <w:p>
            <w:pPr>
              <w:spacing w:after="0"/>
              <w:rPr>
                <w:sz w:val="22"/>
                <w:szCs w:val="22"/>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8,159</w:t>
            </w:r>
          </w:p>
        </w:tc>
        <w:tc>
          <w:tcPr>
            <w:tcW w:w="0" w:type="dxa"/>
            <w:vAlign w:val="bottom"/>
          </w:tcPr>
          <w:p>
            <w:pPr>
              <w:spacing w:after="0"/>
              <w:rPr>
                <w:sz w:val="1"/>
                <w:szCs w:val="1"/>
                <w:color w:val="auto"/>
              </w:rPr>
            </w:pPr>
          </w:p>
        </w:tc>
      </w:tr>
      <w:tr>
        <w:trPr>
          <w:trHeight w:val="258"/>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80,589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71,137</w:t>
            </w:r>
          </w:p>
        </w:tc>
        <w:tc>
          <w:tcPr>
            <w:tcW w:w="0" w:type="dxa"/>
            <w:vAlign w:val="bottom"/>
          </w:tcPr>
          <w:p>
            <w:pPr>
              <w:spacing w:after="0"/>
              <w:rPr>
                <w:sz w:val="1"/>
                <w:szCs w:val="1"/>
                <w:color w:val="auto"/>
              </w:rPr>
            </w:pPr>
          </w:p>
        </w:tc>
      </w:tr>
      <w:tr>
        <w:trPr>
          <w:trHeight w:val="258"/>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12,821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11,641</w:t>
            </w:r>
          </w:p>
        </w:tc>
        <w:tc>
          <w:tcPr>
            <w:tcW w:w="0" w:type="dxa"/>
            <w:vAlign w:val="bottom"/>
          </w:tcPr>
          <w:p>
            <w:pPr>
              <w:spacing w:after="0"/>
              <w:rPr>
                <w:sz w:val="1"/>
                <w:szCs w:val="1"/>
                <w:color w:val="auto"/>
              </w:rPr>
            </w:pPr>
          </w:p>
        </w:tc>
      </w:tr>
      <w:tr>
        <w:trPr>
          <w:trHeight w:val="258"/>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74,268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70,035</w:t>
            </w:r>
          </w:p>
        </w:tc>
        <w:tc>
          <w:tcPr>
            <w:tcW w:w="0" w:type="dxa"/>
            <w:vAlign w:val="bottom"/>
          </w:tcPr>
          <w:p>
            <w:pPr>
              <w:spacing w:after="0"/>
              <w:rPr>
                <w:sz w:val="1"/>
                <w:szCs w:val="1"/>
                <w:color w:val="auto"/>
              </w:rPr>
            </w:pPr>
          </w:p>
        </w:tc>
      </w:tr>
      <w:tr>
        <w:trPr>
          <w:trHeight w:val="258"/>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Other asset backed</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39,232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38,516</w:t>
            </w:r>
          </w:p>
        </w:tc>
        <w:tc>
          <w:tcPr>
            <w:tcW w:w="0" w:type="dxa"/>
            <w:vAlign w:val="bottom"/>
          </w:tcPr>
          <w:p>
            <w:pPr>
              <w:spacing w:after="0"/>
              <w:rPr>
                <w:sz w:val="1"/>
                <w:szCs w:val="1"/>
                <w:color w:val="auto"/>
              </w:rPr>
            </w:pPr>
          </w:p>
        </w:tc>
      </w:tr>
      <w:tr>
        <w:trPr>
          <w:trHeight w:val="258"/>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330,874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42,097</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288,791</w:t>
            </w:r>
          </w:p>
        </w:tc>
        <w:tc>
          <w:tcPr>
            <w:tcW w:w="0" w:type="dxa"/>
            <w:vAlign w:val="bottom"/>
          </w:tcPr>
          <w:p>
            <w:pPr>
              <w:spacing w:after="0"/>
              <w:rPr>
                <w:sz w:val="1"/>
                <w:szCs w:val="1"/>
                <w:color w:val="auto"/>
              </w:rPr>
            </w:pPr>
          </w:p>
        </w:tc>
      </w:tr>
      <w:tr>
        <w:trPr>
          <w:trHeight w:val="258"/>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Corporate</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73,960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69,921</w:t>
            </w:r>
          </w:p>
        </w:tc>
        <w:tc>
          <w:tcPr>
            <w:tcW w:w="0" w:type="dxa"/>
            <w:vAlign w:val="bottom"/>
          </w:tcPr>
          <w:p>
            <w:pPr>
              <w:spacing w:after="0"/>
              <w:rPr>
                <w:sz w:val="1"/>
                <w:szCs w:val="1"/>
                <w:color w:val="auto"/>
              </w:rPr>
            </w:pPr>
          </w:p>
        </w:tc>
      </w:tr>
      <w:tr>
        <w:trPr>
          <w:trHeight w:val="258"/>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Trust preferred</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w:t>
            </w: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621,588</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62,749</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559,182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w w:val="93"/>
              </w:rPr>
              <w:t>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0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held to maturity (“HTM”) consist of the following:</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Transferred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4"/>
            <w:vMerge w:val="restart"/>
          </w:tcPr>
          <w:p>
            <w:pPr>
              <w:ind w:left="580"/>
              <w:spacing w:after="0"/>
              <w:rPr>
                <w:sz w:val="20"/>
                <w:szCs w:val="20"/>
                <w:color w:val="auto"/>
              </w:rPr>
            </w:pPr>
            <w:r>
              <w:rPr>
                <w:rFonts w:ascii="Times New Roman" w:cs="Times New Roman" w:eastAsia="Times New Roman" w:hAnsi="Times New Roman"/>
                <w:sz w:val="17"/>
                <w:szCs w:val="17"/>
                <w:color w:val="auto"/>
              </w:rPr>
              <w:t>Unrealized</w:t>
            </w:r>
          </w:p>
        </w:tc>
        <w:tc>
          <w:tcPr>
            <w:tcW w:w="10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7"/>
                <w:szCs w:val="17"/>
                <w:color w:val="auto"/>
                <w:w w:val="99"/>
              </w:rPr>
              <w:t>Carrying</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7"/>
                <w:szCs w:val="17"/>
                <w:color w:val="auto"/>
                <w:w w:val="99"/>
              </w:rPr>
              <w:t>Unrealized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7"/>
                <w:szCs w:val="17"/>
                <w:color w:val="auto"/>
              </w:rPr>
              <w:t>Amortized</w:t>
            </w: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Value</w:t>
            </w:r>
          </w:p>
        </w:tc>
        <w:tc>
          <w:tcPr>
            <w:tcW w:w="18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Loss (1)</w:t>
            </w:r>
          </w:p>
        </w:tc>
        <w:tc>
          <w:tcPr>
            <w:tcW w:w="240" w:type="dxa"/>
            <w:vAlign w:val="bottom"/>
          </w:tcPr>
          <w:p>
            <w:pPr>
              <w:spacing w:after="0"/>
              <w:rPr>
                <w:sz w:val="19"/>
                <w:szCs w:val="19"/>
                <w:color w:val="auto"/>
              </w:rPr>
            </w:pPr>
          </w:p>
        </w:tc>
        <w:tc>
          <w:tcPr>
            <w:tcW w:w="8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ACL</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Cost</w:t>
            </w:r>
          </w:p>
        </w:tc>
        <w:tc>
          <w:tcPr>
            <w:tcW w:w="220" w:type="dxa"/>
            <w:vAlign w:val="bottom"/>
          </w:tcPr>
          <w:p>
            <w:pPr>
              <w:spacing w:after="0"/>
              <w:rPr>
                <w:sz w:val="19"/>
                <w:szCs w:val="19"/>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Gains</w:t>
            </w:r>
          </w:p>
        </w:tc>
        <w:tc>
          <w:tcPr>
            <w:tcW w:w="220" w:type="dxa"/>
            <w:vAlign w:val="bottom"/>
          </w:tcPr>
          <w:p>
            <w:pPr>
              <w:spacing w:after="0"/>
              <w:rPr>
                <w:sz w:val="19"/>
                <w:szCs w:val="19"/>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Losses</w:t>
            </w:r>
          </w:p>
        </w:tc>
        <w:tc>
          <w:tcPr>
            <w:tcW w:w="140" w:type="dxa"/>
            <w:vAlign w:val="bottom"/>
          </w:tcPr>
          <w:p>
            <w:pPr>
              <w:spacing w:after="0"/>
              <w:rPr>
                <w:sz w:val="19"/>
                <w:szCs w:val="19"/>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Fair Value</w:t>
            </w:r>
          </w:p>
        </w:tc>
        <w:tc>
          <w:tcPr>
            <w:tcW w:w="0" w:type="dxa"/>
            <w:vAlign w:val="bottom"/>
          </w:tcPr>
          <w:p>
            <w:pPr>
              <w:spacing w:after="0"/>
              <w:rPr>
                <w:sz w:val="1"/>
                <w:szCs w:val="1"/>
                <w:color w:val="auto"/>
              </w:rPr>
            </w:pPr>
          </w:p>
        </w:tc>
      </w:tr>
      <w:tr>
        <w:trPr>
          <w:trHeight w:val="25"/>
        </w:trPr>
        <w:tc>
          <w:tcPr>
            <w:tcW w:w="2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September 30, 2025</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(In thousands)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20,470</w:t>
            </w:r>
          </w:p>
        </w:tc>
        <w:tc>
          <w:tcPr>
            <w:tcW w:w="0" w:type="dxa"/>
            <w:vAlign w:val="bottom"/>
          </w:tcPr>
          <w:p>
            <w:pPr>
              <w:spacing w:after="0"/>
              <w:rPr>
                <w:sz w:val="1"/>
                <w:szCs w:val="1"/>
                <w:color w:val="auto"/>
              </w:rPr>
            </w:pPr>
          </w:p>
        </w:tc>
      </w:tr>
      <w:tr>
        <w:trPr>
          <w:trHeight w:val="168"/>
        </w:trPr>
        <w:tc>
          <w:tcPr>
            <w:tcW w:w="256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U.S. agency residential mortgage-</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backed</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94,648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102,564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82,849</w:t>
            </w:r>
          </w:p>
        </w:tc>
        <w:tc>
          <w:tcPr>
            <w:tcW w:w="0" w:type="dxa"/>
            <w:vAlign w:val="bottom"/>
          </w:tcPr>
          <w:p>
            <w:pPr>
              <w:spacing w:after="0"/>
              <w:rPr>
                <w:sz w:val="1"/>
                <w:szCs w:val="1"/>
                <w:color w:val="auto"/>
              </w:rPr>
            </w:pPr>
          </w:p>
        </w:tc>
      </w:tr>
      <w:tr>
        <w:trPr>
          <w:trHeight w:val="168"/>
        </w:trPr>
        <w:tc>
          <w:tcPr>
            <w:tcW w:w="256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U.S. agency commercial</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mortgage-backed</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3,741</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7,103</w:t>
            </w:r>
          </w:p>
        </w:tc>
        <w:tc>
          <w:tcPr>
            <w:tcW w:w="0" w:type="dxa"/>
            <w:vAlign w:val="bottom"/>
          </w:tcPr>
          <w:p>
            <w:pPr>
              <w:spacing w:after="0"/>
              <w:rPr>
                <w:sz w:val="1"/>
                <w:szCs w:val="1"/>
                <w:color w:val="auto"/>
              </w:rPr>
            </w:pPr>
          </w:p>
        </w:tc>
      </w:tr>
      <w:tr>
        <w:trPr>
          <w:trHeight w:val="168"/>
        </w:trPr>
        <w:tc>
          <w:tcPr>
            <w:tcW w:w="256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Obligations of states and political</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subdivisions</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150,784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154,892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15,366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139,569</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Corporate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38,510</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Trust preferred</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12"/>
        </w:trPr>
        <w:tc>
          <w:tcPr>
            <w:tcW w:w="2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321,450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13,766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335,308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42,109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293,242</w:t>
            </w:r>
          </w:p>
        </w:tc>
        <w:tc>
          <w:tcPr>
            <w:tcW w:w="0" w:type="dxa"/>
            <w:vAlign w:val="bottom"/>
          </w:tcPr>
          <w:p>
            <w:pPr>
              <w:spacing w:after="0"/>
              <w:rPr>
                <w:sz w:val="1"/>
                <w:szCs w:val="1"/>
                <w:color w:val="auto"/>
              </w:rPr>
            </w:pPr>
          </w:p>
        </w:tc>
      </w:tr>
      <w:tr>
        <w:trPr>
          <w:trHeight w:val="20"/>
        </w:trPr>
        <w:tc>
          <w:tcPr>
            <w:tcW w:w="2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2024</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20,567</w:t>
            </w:r>
          </w:p>
        </w:tc>
        <w:tc>
          <w:tcPr>
            <w:tcW w:w="0" w:type="dxa"/>
            <w:vAlign w:val="bottom"/>
          </w:tcPr>
          <w:p>
            <w:pPr>
              <w:spacing w:after="0"/>
              <w:rPr>
                <w:sz w:val="1"/>
                <w:szCs w:val="1"/>
                <w:color w:val="auto"/>
              </w:rPr>
            </w:pPr>
          </w:p>
        </w:tc>
      </w:tr>
      <w:tr>
        <w:trPr>
          <w:trHeight w:val="168"/>
        </w:trPr>
        <w:tc>
          <w:tcPr>
            <w:tcW w:w="256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U.S. agency residential mortgage-</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backed</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109,369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84,738</w:t>
            </w:r>
          </w:p>
        </w:tc>
        <w:tc>
          <w:tcPr>
            <w:tcW w:w="0" w:type="dxa"/>
            <w:vAlign w:val="bottom"/>
          </w:tcPr>
          <w:p>
            <w:pPr>
              <w:spacing w:after="0"/>
              <w:rPr>
                <w:sz w:val="1"/>
                <w:szCs w:val="1"/>
                <w:color w:val="auto"/>
              </w:rPr>
            </w:pPr>
          </w:p>
        </w:tc>
      </w:tr>
      <w:tr>
        <w:trPr>
          <w:trHeight w:val="168"/>
        </w:trPr>
        <w:tc>
          <w:tcPr>
            <w:tcW w:w="256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U.S. agency commercial</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mortgage-backed</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3,718</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6,990</w:t>
            </w:r>
          </w:p>
        </w:tc>
        <w:tc>
          <w:tcPr>
            <w:tcW w:w="0" w:type="dxa"/>
            <w:vAlign w:val="bottom"/>
          </w:tcPr>
          <w:p>
            <w:pPr>
              <w:spacing w:after="0"/>
              <w:rPr>
                <w:sz w:val="1"/>
                <w:szCs w:val="1"/>
                <w:color w:val="auto"/>
              </w:rPr>
            </w:pPr>
          </w:p>
        </w:tc>
      </w:tr>
      <w:tr>
        <w:trPr>
          <w:trHeight w:val="168"/>
        </w:trPr>
        <w:tc>
          <w:tcPr>
            <w:tcW w:w="256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Obligations of states and political</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subdivisions</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156,305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161,584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19,461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142,151</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Corporate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42,696</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Trust preferred</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12"/>
        </w:trPr>
        <w:tc>
          <w:tcPr>
            <w:tcW w:w="2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339,436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16,171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355,739</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53,907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301,860</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300" w:hanging="297"/>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remaining unrealized loss to be accreted on securities that were transferred from AFS to HTM on April 1, 2022.</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77" w:lineRule="exact"/>
        <w:rPr>
          <w:rFonts w:ascii="Times New Roman" w:cs="Times New Roman" w:eastAsia="Times New Roman" w:hAnsi="Times New Roman"/>
          <w:sz w:val="17"/>
          <w:szCs w:val="17"/>
          <w:color w:val="auto"/>
        </w:rPr>
      </w:pPr>
    </w:p>
    <w:p>
      <w:pPr>
        <w:ind w:left="57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Our investments' gross unrealized losses and fair values for securities AFS aggregated by investment type and length of time that individual securities have been at a continuous unrealized loss position follows:</w:t>
      </w:r>
    </w:p>
    <w:p>
      <w:pPr>
        <w:spacing w:after="0" w:line="164" w:lineRule="exact"/>
        <w:rPr>
          <w:sz w:val="20"/>
          <w:szCs w:val="20"/>
          <w:color w:val="auto"/>
        </w:rPr>
      </w:pPr>
    </w:p>
    <w:tbl>
      <w:tblPr>
        <w:tblLayout w:type="fixed"/>
        <w:tblInd w:w="2680" w:type="dxa"/>
        <w:tblCellMar>
          <w:top w:w="0" w:type="dxa"/>
          <w:left w:w="0" w:type="dxa"/>
          <w:bottom w:w="0" w:type="dxa"/>
          <w:right w:w="0" w:type="dxa"/>
        </w:tblCellMar>
      </w:tblPr>
      <w:tr>
        <w:trPr>
          <w:trHeight w:val="223"/>
        </w:trPr>
        <w:tc>
          <w:tcPr>
            <w:tcW w:w="286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auto"/>
              </w:rPr>
              <w:t>Less Than Twelve Months</w:t>
            </w:r>
          </w:p>
        </w:tc>
        <w:tc>
          <w:tcPr>
            <w:tcW w:w="2900" w:type="dxa"/>
            <w:vAlign w:val="bottom"/>
            <w:gridSpan w:val="3"/>
          </w:tcPr>
          <w:p>
            <w:pPr>
              <w:ind w:left="560"/>
              <w:spacing w:after="0"/>
              <w:rPr>
                <w:sz w:val="20"/>
                <w:szCs w:val="20"/>
                <w:color w:val="auto"/>
              </w:rPr>
            </w:pPr>
            <w:r>
              <w:rPr>
                <w:rFonts w:ascii="Times New Roman" w:cs="Times New Roman" w:eastAsia="Times New Roman" w:hAnsi="Times New Roman"/>
                <w:sz w:val="17"/>
                <w:szCs w:val="17"/>
                <w:color w:val="auto"/>
              </w:rPr>
              <w:t>Twelve Months or More</w:t>
            </w:r>
          </w:p>
        </w:tc>
        <w:tc>
          <w:tcPr>
            <w:tcW w:w="1120" w:type="dxa"/>
            <w:vAlign w:val="bottom"/>
          </w:tcPr>
          <w:p>
            <w:pPr>
              <w:spacing w:after="0"/>
              <w:rPr>
                <w:sz w:val="19"/>
                <w:szCs w:val="19"/>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w:t>
            </w:r>
          </w:p>
        </w:tc>
      </w:tr>
      <w:tr>
        <w:trPr>
          <w:trHeight w:val="160"/>
        </w:trPr>
        <w:tc>
          <w:tcPr>
            <w:tcW w:w="13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7"/>
                <w:szCs w:val="17"/>
                <w:color w:val="auto"/>
              </w:rPr>
              <w:t>Unrealized</w:t>
            </w:r>
          </w:p>
        </w:tc>
        <w:tc>
          <w:tcPr>
            <w:tcW w:w="80" w:type="dxa"/>
            <w:vAlign w:val="bottom"/>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7"/>
                <w:szCs w:val="17"/>
                <w:color w:val="auto"/>
                <w:w w:val="99"/>
              </w:rPr>
              <w:t>Unrealized</w:t>
            </w:r>
          </w:p>
        </w:tc>
        <w:tc>
          <w:tcPr>
            <w:tcW w:w="10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jc w:val="center"/>
              <w:ind w:left="234"/>
              <w:spacing w:after="0" w:line="161" w:lineRule="exact"/>
              <w:rPr>
                <w:sz w:val="20"/>
                <w:szCs w:val="20"/>
                <w:color w:val="auto"/>
              </w:rPr>
            </w:pPr>
            <w:r>
              <w:rPr>
                <w:rFonts w:ascii="Times New Roman" w:cs="Times New Roman" w:eastAsia="Times New Roman" w:hAnsi="Times New Roman"/>
                <w:sz w:val="17"/>
                <w:szCs w:val="17"/>
                <w:color w:val="auto"/>
              </w:rPr>
              <w:t>Unrealized</w:t>
            </w:r>
          </w:p>
        </w:tc>
      </w:tr>
      <w:tr>
        <w:trPr>
          <w:trHeight w:val="232"/>
        </w:trPr>
        <w:tc>
          <w:tcPr>
            <w:tcW w:w="13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Fair Value</w:t>
            </w:r>
          </w:p>
        </w:tc>
        <w:tc>
          <w:tcPr>
            <w:tcW w:w="148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rPr>
              <w:t>Losses</w:t>
            </w:r>
          </w:p>
        </w:tc>
        <w:tc>
          <w:tcPr>
            <w:tcW w:w="1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Fair Value</w:t>
            </w:r>
          </w:p>
        </w:tc>
        <w:tc>
          <w:tcPr>
            <w:tcW w:w="15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w w:val="99"/>
              </w:rPr>
              <w:t>Losses</w:t>
            </w: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Fair Value</w:t>
            </w:r>
          </w:p>
        </w:tc>
        <w:tc>
          <w:tcPr>
            <w:tcW w:w="1680" w:type="dxa"/>
            <w:vAlign w:val="bottom"/>
          </w:tcPr>
          <w:p>
            <w:pPr>
              <w:jc w:val="center"/>
              <w:ind w:left="234"/>
              <w:spacing w:after="0"/>
              <w:rPr>
                <w:sz w:val="20"/>
                <w:szCs w:val="20"/>
                <w:color w:val="auto"/>
              </w:rPr>
            </w:pPr>
            <w:r>
              <w:rPr>
                <w:rFonts w:ascii="Times New Roman" w:cs="Times New Roman" w:eastAsia="Times New Roman" w:hAnsi="Times New Roman"/>
                <w:sz w:val="17"/>
                <w:szCs w:val="17"/>
                <w:color w:val="auto"/>
              </w:rPr>
              <w:t>Losses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1696720</wp:posOffset>
            </wp:positionH>
            <wp:positionV relativeFrom="paragraph">
              <wp:posOffset>0</wp:posOffset>
            </wp:positionV>
            <wp:extent cx="54438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43855" cy="8255"/>
                    </a:xfrm>
                    <a:prstGeom prst="rect">
                      <a:avLst/>
                    </a:prstGeom>
                    <a:noFill/>
                  </pic:spPr>
                </pic:pic>
              </a:graphicData>
            </a:graphic>
          </wp:anchor>
        </w:drawing>
      </w:r>
    </w:p>
    <w:p>
      <w:pPr>
        <w:ind w:left="6460"/>
        <w:spacing w:after="0"/>
        <w:rPr>
          <w:sz w:val="20"/>
          <w:szCs w:val="20"/>
          <w:color w:val="auto"/>
        </w:rPr>
      </w:pPr>
      <w:r>
        <w:rPr>
          <w:rFonts w:ascii="Times New Roman" w:cs="Times New Roman" w:eastAsia="Times New Roman" w:hAnsi="Times New Roman"/>
          <w:sz w:val="17"/>
          <w:szCs w:val="17"/>
          <w:color w:val="auto"/>
        </w:rPr>
        <w:t>(In thousands)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63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p>
      <w:pPr>
        <w:spacing w:after="0" w:line="33" w:lineRule="exact"/>
        <w:rPr>
          <w:sz w:val="20"/>
          <w:szCs w:val="20"/>
          <w:color w:val="auto"/>
        </w:rPr>
      </w:pPr>
    </w:p>
    <w:p>
      <w:pPr>
        <w:ind w:left="180"/>
        <w:spacing w:after="0"/>
        <w:tabs>
          <w:tab w:leader="none" w:pos="2660" w:val="left"/>
        </w:tabs>
        <w:rPr>
          <w:sz w:val="20"/>
          <w:szCs w:val="20"/>
          <w:color w:val="auto"/>
        </w:rPr>
      </w:pPr>
      <w:r>
        <w:rPr>
          <w:rFonts w:ascii="Times New Roman" w:cs="Times New Roman" w:eastAsia="Times New Roman" w:hAnsi="Times New Roman"/>
          <w:sz w:val="17"/>
          <w:szCs w:val="17"/>
          <w:color w:val="auto"/>
        </w:rPr>
        <w:t>U.S. agency</w:t>
      </w:r>
      <w:r>
        <w:rPr>
          <w:sz w:val="20"/>
          <w:szCs w:val="20"/>
          <w:color w:val="auto"/>
        </w:rPr>
        <w:tab/>
      </w:r>
      <w:r>
        <w:rPr>
          <w:rFonts w:ascii="Times New Roman" w:cs="Times New Roman" w:eastAsia="Times New Roman" w:hAnsi="Times New Roman"/>
          <w:sz w:val="17"/>
          <w:szCs w:val="17"/>
          <w:color w:val="auto"/>
        </w:rPr>
        <w:t>$</w:t>
      </w:r>
    </w:p>
    <w:p>
      <w:pPr>
        <w:spacing w:after="0" w:line="62" w:lineRule="exact"/>
        <w:rPr>
          <w:sz w:val="20"/>
          <w:szCs w:val="20"/>
          <w:color w:val="auto"/>
        </w:rPr>
      </w:pPr>
    </w:p>
    <w:p>
      <w:pPr>
        <w:ind w:left="320" w:right="320" w:hanging="154"/>
        <w:spacing w:after="0" w:line="284" w:lineRule="auto"/>
        <w:rPr>
          <w:sz w:val="20"/>
          <w:szCs w:val="20"/>
          <w:color w:val="auto"/>
        </w:rPr>
      </w:pPr>
      <w:r>
        <w:rPr>
          <w:rFonts w:ascii="Times New Roman" w:cs="Times New Roman" w:eastAsia="Times New Roman" w:hAnsi="Times New Roman"/>
          <w:sz w:val="17"/>
          <w:szCs w:val="17"/>
          <w:color w:val="auto"/>
        </w:rPr>
        <w:t>U.S. agency residential mortgage-backed</w:t>
      </w:r>
    </w:p>
    <w:p>
      <w:pPr>
        <w:spacing w:after="0" w:line="1" w:lineRule="exact"/>
        <w:rPr>
          <w:sz w:val="20"/>
          <w:szCs w:val="20"/>
          <w:color w:val="auto"/>
        </w:rPr>
      </w:pPr>
    </w:p>
    <w:p>
      <w:pPr>
        <w:ind w:left="320" w:right="220" w:hanging="154"/>
        <w:spacing w:after="0" w:line="284" w:lineRule="auto"/>
        <w:rPr>
          <w:sz w:val="20"/>
          <w:szCs w:val="20"/>
          <w:color w:val="auto"/>
        </w:rPr>
      </w:pPr>
      <w:r>
        <w:rPr>
          <w:rFonts w:ascii="Times New Roman" w:cs="Times New Roman" w:eastAsia="Times New Roman" w:hAnsi="Times New Roman"/>
          <w:sz w:val="17"/>
          <w:szCs w:val="17"/>
          <w:color w:val="auto"/>
        </w:rPr>
        <w:t>U.S. agency commercial mortgage-backed</w:t>
      </w:r>
    </w:p>
    <w:p>
      <w:pPr>
        <w:spacing w:after="0" w:line="1" w:lineRule="exact"/>
        <w:rPr>
          <w:sz w:val="20"/>
          <w:szCs w:val="20"/>
          <w:color w:val="auto"/>
        </w:rPr>
      </w:pPr>
    </w:p>
    <w:p>
      <w:pPr>
        <w:ind w:left="180" w:right="560"/>
        <w:spacing w:after="0" w:line="316" w:lineRule="auto"/>
        <w:rPr>
          <w:sz w:val="20"/>
          <w:szCs w:val="20"/>
          <w:color w:val="auto"/>
        </w:rPr>
      </w:pPr>
      <w:r>
        <w:rPr>
          <w:rFonts w:ascii="Times New Roman" w:cs="Times New Roman" w:eastAsia="Times New Roman" w:hAnsi="Times New Roman"/>
          <w:sz w:val="17"/>
          <w:szCs w:val="17"/>
          <w:color w:val="auto"/>
        </w:rPr>
        <w:t>Private label mortgage-backed Other asset backed</w:t>
      </w:r>
    </w:p>
    <w:p>
      <w:pPr>
        <w:spacing w:after="0" w:line="1" w:lineRule="exact"/>
        <w:rPr>
          <w:sz w:val="20"/>
          <w:szCs w:val="20"/>
          <w:color w:val="auto"/>
        </w:rPr>
      </w:pPr>
    </w:p>
    <w:p>
      <w:pPr>
        <w:ind w:left="320" w:right="360" w:hanging="154"/>
        <w:spacing w:after="0" w:line="284" w:lineRule="auto"/>
        <w:rPr>
          <w:sz w:val="20"/>
          <w:szCs w:val="20"/>
          <w:color w:val="auto"/>
        </w:rPr>
      </w:pPr>
      <w:r>
        <w:rPr>
          <w:rFonts w:ascii="Times New Roman" w:cs="Times New Roman" w:eastAsia="Times New Roman" w:hAnsi="Times New Roman"/>
          <w:sz w:val="17"/>
          <w:szCs w:val="17"/>
          <w:color w:val="auto"/>
        </w:rPr>
        <w:t>Obligations of states and political subdivisions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Corporate</w:t>
      </w:r>
    </w:p>
    <w:p>
      <w:pPr>
        <w:spacing w:after="0" w:line="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Trust preferred</w:t>
      </w:r>
    </w:p>
    <w:p>
      <w:pPr>
        <w:spacing w:after="0" w:line="62" w:lineRule="exact"/>
        <w:rPr>
          <w:sz w:val="20"/>
          <w:szCs w:val="20"/>
          <w:color w:val="auto"/>
        </w:rPr>
      </w:pPr>
    </w:p>
    <w:p>
      <w:pPr>
        <w:jc w:val="both"/>
        <w:ind w:left="320"/>
        <w:spacing w:after="0"/>
        <w:tabs>
          <w:tab w:leader="none" w:pos="2660" w:val="left"/>
        </w:tabs>
        <w:rPr>
          <w:sz w:val="20"/>
          <w:szCs w:val="20"/>
          <w:color w:val="auto"/>
        </w:rPr>
      </w:pPr>
      <w:r>
        <w:rPr>
          <w:rFonts w:ascii="Times New Roman" w:cs="Times New Roman" w:eastAsia="Times New Roman" w:hAnsi="Times New Roman"/>
          <w:sz w:val="17"/>
          <w:szCs w:val="17"/>
          <w:color w:val="auto"/>
        </w:rPr>
        <w:t>Total</w:t>
      </w:r>
      <w:r>
        <w:rPr>
          <w:sz w:val="20"/>
          <w:szCs w:val="20"/>
          <w:color w:val="auto"/>
        </w:rPr>
        <w:tab/>
      </w:r>
      <w:r>
        <w:rPr>
          <w:rFonts w:ascii="Times New Roman" w:cs="Times New Roman" w:eastAsia="Times New Roman" w:hAnsi="Times New Roman"/>
          <w:sz w:val="17"/>
          <w:szCs w:val="17"/>
          <w:color w:val="auto"/>
        </w:rPr>
        <w:t>$</w:t>
      </w: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December 31, 2024</w:t>
      </w:r>
    </w:p>
    <w:p>
      <w:pPr>
        <w:spacing w:after="0" w:line="37" w:lineRule="exact"/>
        <w:rPr>
          <w:sz w:val="20"/>
          <w:szCs w:val="20"/>
          <w:color w:val="auto"/>
        </w:rPr>
      </w:pPr>
    </w:p>
    <w:p>
      <w:pPr>
        <w:ind w:left="180"/>
        <w:spacing w:after="0"/>
        <w:tabs>
          <w:tab w:leader="none" w:pos="2660" w:val="left"/>
        </w:tabs>
        <w:rPr>
          <w:sz w:val="20"/>
          <w:szCs w:val="20"/>
          <w:color w:val="auto"/>
        </w:rPr>
      </w:pPr>
      <w:r>
        <w:rPr>
          <w:rFonts w:ascii="Times New Roman" w:cs="Times New Roman" w:eastAsia="Times New Roman" w:hAnsi="Times New Roman"/>
          <w:sz w:val="17"/>
          <w:szCs w:val="17"/>
          <w:color w:val="auto"/>
        </w:rPr>
        <w:t>U.S. agency</w:t>
      </w:r>
      <w:r>
        <w:rPr>
          <w:sz w:val="20"/>
          <w:szCs w:val="20"/>
          <w:color w:val="auto"/>
        </w:rPr>
        <w:tab/>
      </w:r>
      <w:r>
        <w:rPr>
          <w:rFonts w:ascii="Times New Roman" w:cs="Times New Roman" w:eastAsia="Times New Roman" w:hAnsi="Times New Roman"/>
          <w:sz w:val="17"/>
          <w:szCs w:val="17"/>
          <w:color w:val="auto"/>
        </w:rPr>
        <w:t>$</w:t>
      </w:r>
    </w:p>
    <w:p>
      <w:pPr>
        <w:spacing w:after="0" w:line="62" w:lineRule="exact"/>
        <w:rPr>
          <w:sz w:val="20"/>
          <w:szCs w:val="20"/>
          <w:color w:val="auto"/>
        </w:rPr>
      </w:pPr>
    </w:p>
    <w:p>
      <w:pPr>
        <w:ind w:left="320" w:right="320" w:hanging="154"/>
        <w:spacing w:after="0" w:line="284" w:lineRule="auto"/>
        <w:rPr>
          <w:sz w:val="20"/>
          <w:szCs w:val="20"/>
          <w:color w:val="auto"/>
        </w:rPr>
      </w:pPr>
      <w:r>
        <w:rPr>
          <w:rFonts w:ascii="Times New Roman" w:cs="Times New Roman" w:eastAsia="Times New Roman" w:hAnsi="Times New Roman"/>
          <w:sz w:val="17"/>
          <w:szCs w:val="17"/>
          <w:color w:val="auto"/>
        </w:rPr>
        <w:t>U.S. agency residential mortgage-backed</w:t>
      </w:r>
    </w:p>
    <w:p>
      <w:pPr>
        <w:spacing w:after="0" w:line="1" w:lineRule="exact"/>
        <w:rPr>
          <w:sz w:val="20"/>
          <w:szCs w:val="20"/>
          <w:color w:val="auto"/>
        </w:rPr>
      </w:pPr>
    </w:p>
    <w:p>
      <w:pPr>
        <w:ind w:left="320" w:right="220" w:hanging="154"/>
        <w:spacing w:after="0" w:line="284" w:lineRule="auto"/>
        <w:rPr>
          <w:sz w:val="20"/>
          <w:szCs w:val="20"/>
          <w:color w:val="auto"/>
        </w:rPr>
      </w:pPr>
      <w:r>
        <w:rPr>
          <w:rFonts w:ascii="Times New Roman" w:cs="Times New Roman" w:eastAsia="Times New Roman" w:hAnsi="Times New Roman"/>
          <w:sz w:val="17"/>
          <w:szCs w:val="17"/>
          <w:color w:val="auto"/>
        </w:rPr>
        <w:t>U.S. agency commercial mortgage-backed</w:t>
      </w:r>
    </w:p>
    <w:p>
      <w:pPr>
        <w:spacing w:after="0" w:line="1" w:lineRule="exact"/>
        <w:rPr>
          <w:sz w:val="20"/>
          <w:szCs w:val="20"/>
          <w:color w:val="auto"/>
        </w:rPr>
      </w:pPr>
    </w:p>
    <w:p>
      <w:pPr>
        <w:ind w:left="180" w:right="560"/>
        <w:spacing w:after="0" w:line="316" w:lineRule="auto"/>
        <w:rPr>
          <w:sz w:val="20"/>
          <w:szCs w:val="20"/>
          <w:color w:val="auto"/>
        </w:rPr>
      </w:pPr>
      <w:r>
        <w:rPr>
          <w:rFonts w:ascii="Times New Roman" w:cs="Times New Roman" w:eastAsia="Times New Roman" w:hAnsi="Times New Roman"/>
          <w:sz w:val="17"/>
          <w:szCs w:val="17"/>
          <w:color w:val="auto"/>
        </w:rPr>
        <w:t>Private label mortgage-backed Other asset backed</w:t>
      </w:r>
    </w:p>
    <w:p>
      <w:pPr>
        <w:spacing w:after="0" w:line="1" w:lineRule="exact"/>
        <w:rPr>
          <w:sz w:val="20"/>
          <w:szCs w:val="20"/>
          <w:color w:val="auto"/>
        </w:rPr>
      </w:pPr>
    </w:p>
    <w:p>
      <w:pPr>
        <w:ind w:left="320" w:right="360" w:hanging="154"/>
        <w:spacing w:after="0" w:line="284" w:lineRule="auto"/>
        <w:rPr>
          <w:sz w:val="20"/>
          <w:szCs w:val="20"/>
          <w:color w:val="auto"/>
        </w:rPr>
      </w:pPr>
      <w:r>
        <w:rPr>
          <w:rFonts w:ascii="Times New Roman" w:cs="Times New Roman" w:eastAsia="Times New Roman" w:hAnsi="Times New Roman"/>
          <w:sz w:val="17"/>
          <w:szCs w:val="17"/>
          <w:color w:val="auto"/>
        </w:rPr>
        <w:t>Obligations of states and political subdivisions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Corporate</w:t>
      </w:r>
    </w:p>
    <w:p>
      <w:pPr>
        <w:spacing w:after="0" w:line="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Trust preferred</w:t>
      </w:r>
    </w:p>
    <w:p>
      <w:pPr>
        <w:spacing w:after="0" w:line="62" w:lineRule="exact"/>
        <w:rPr>
          <w:sz w:val="20"/>
          <w:szCs w:val="20"/>
          <w:color w:val="auto"/>
        </w:rPr>
      </w:pPr>
    </w:p>
    <w:p>
      <w:pPr>
        <w:jc w:val="both"/>
        <w:ind w:left="320"/>
        <w:spacing w:after="0"/>
        <w:tabs>
          <w:tab w:leader="none" w:pos="2660" w:val="left"/>
        </w:tabs>
        <w:rPr>
          <w:sz w:val="20"/>
          <w:szCs w:val="20"/>
          <w:color w:val="auto"/>
        </w:rPr>
      </w:pPr>
      <w:r>
        <w:rPr>
          <w:rFonts w:ascii="Times New Roman" w:cs="Times New Roman" w:eastAsia="Times New Roman" w:hAnsi="Times New Roman"/>
          <w:sz w:val="17"/>
          <w:szCs w:val="17"/>
          <w:color w:val="auto"/>
        </w:rPr>
        <w:t>Total</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5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1,232</w:t>
            </w:r>
          </w:p>
        </w:tc>
        <w:tc>
          <w:tcPr>
            <w:tcW w:w="62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6,710</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7,942</w:t>
            </w:r>
          </w:p>
        </w:tc>
        <w:tc>
          <w:tcPr>
            <w:tcW w:w="10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w:t>
            </w:r>
          </w:p>
        </w:tc>
      </w:tr>
      <w:tr>
        <w:trPr>
          <w:trHeight w:val="464"/>
        </w:trPr>
        <w:tc>
          <w:tcPr>
            <w:tcW w:w="5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6,395</w:t>
            </w:r>
          </w:p>
        </w:tc>
        <w:tc>
          <w:tcPr>
            <w:tcW w:w="6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50,236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56,631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6,935</w:t>
            </w:r>
          </w:p>
        </w:tc>
      </w:tr>
      <w:tr>
        <w:trPr>
          <w:trHeight w:val="464"/>
        </w:trPr>
        <w:tc>
          <w:tcPr>
            <w:tcW w:w="5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907</w:t>
            </w:r>
          </w:p>
        </w:tc>
      </w:tr>
      <w:tr>
        <w:trPr>
          <w:trHeight w:val="258"/>
        </w:trPr>
        <w:tc>
          <w:tcPr>
            <w:tcW w:w="5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40,298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40,298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2,684</w:t>
            </w:r>
          </w:p>
        </w:tc>
      </w:tr>
      <w:tr>
        <w:trPr>
          <w:trHeight w:val="258"/>
        </w:trPr>
        <w:tc>
          <w:tcPr>
            <w:tcW w:w="5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1,021</w:t>
            </w:r>
          </w:p>
        </w:tc>
        <w:tc>
          <w:tcPr>
            <w:tcW w:w="6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25,368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26,389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w:t>
            </w:r>
          </w:p>
        </w:tc>
      </w:tr>
      <w:tr>
        <w:trPr>
          <w:trHeight w:val="464"/>
        </w:trPr>
        <w:tc>
          <w:tcPr>
            <w:tcW w:w="5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155</w:t>
            </w:r>
          </w:p>
        </w:tc>
        <w:tc>
          <w:tcPr>
            <w:tcW w:w="6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279,299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41,177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279,454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41,187</w:t>
            </w:r>
          </w:p>
        </w:tc>
      </w:tr>
      <w:tr>
        <w:trPr>
          <w:trHeight w:val="258"/>
        </w:trPr>
        <w:tc>
          <w:tcPr>
            <w:tcW w:w="5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52,503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52,503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1,891</w:t>
            </w:r>
          </w:p>
        </w:tc>
      </w:tr>
      <w:tr>
        <w:trPr>
          <w:trHeight w:val="257"/>
        </w:trPr>
        <w:tc>
          <w:tcPr>
            <w:tcW w:w="5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2"/>
        </w:trPr>
        <w:tc>
          <w:tcPr>
            <w:tcW w:w="5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8,803</w:t>
            </w:r>
          </w:p>
        </w:tc>
        <w:tc>
          <w:tcPr>
            <w:tcW w:w="6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462,852</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54,462</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471,655</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54,494</w:t>
            </w:r>
          </w:p>
        </w:tc>
      </w:tr>
      <w:tr>
        <w:trPr>
          <w:trHeight w:val="20"/>
        </w:trPr>
        <w:tc>
          <w:tcPr>
            <w:tcW w:w="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701"/>
        </w:trPr>
        <w:tc>
          <w:tcPr>
            <w:tcW w:w="5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324</w:t>
            </w:r>
          </w:p>
        </w:tc>
        <w:tc>
          <w:tcPr>
            <w:tcW w:w="62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4"/>
                <w:szCs w:val="24"/>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7,565</w:t>
            </w:r>
          </w:p>
        </w:tc>
        <w:tc>
          <w:tcPr>
            <w:tcW w:w="100" w:type="dxa"/>
            <w:vAlign w:val="bottom"/>
          </w:tcPr>
          <w:p>
            <w:pPr>
              <w:spacing w:after="0"/>
              <w:rPr>
                <w:sz w:val="24"/>
                <w:szCs w:val="24"/>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w:t>
            </w:r>
          </w:p>
        </w:tc>
        <w:tc>
          <w:tcPr>
            <w:tcW w:w="100" w:type="dxa"/>
            <w:vAlign w:val="bottom"/>
          </w:tcPr>
          <w:p>
            <w:pPr>
              <w:spacing w:after="0"/>
              <w:rPr>
                <w:sz w:val="24"/>
                <w:szCs w:val="24"/>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7,889</w:t>
            </w:r>
          </w:p>
        </w:tc>
        <w:tc>
          <w:tcPr>
            <w:tcW w:w="100" w:type="dxa"/>
            <w:vAlign w:val="bottom"/>
          </w:tcPr>
          <w:p>
            <w:pPr>
              <w:spacing w:after="0"/>
              <w:rPr>
                <w:sz w:val="24"/>
                <w:szCs w:val="24"/>
                <w:color w:val="auto"/>
              </w:rPr>
            </w:pP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w:t>
            </w:r>
          </w:p>
        </w:tc>
      </w:tr>
      <w:tr>
        <w:trPr>
          <w:trHeight w:val="464"/>
        </w:trPr>
        <w:tc>
          <w:tcPr>
            <w:tcW w:w="5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147</w:t>
            </w:r>
          </w:p>
        </w:tc>
        <w:tc>
          <w:tcPr>
            <w:tcW w:w="6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61,219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61,366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9,499</w:t>
            </w:r>
          </w:p>
        </w:tc>
      </w:tr>
      <w:tr>
        <w:trPr>
          <w:trHeight w:val="464"/>
        </w:trPr>
        <w:tc>
          <w:tcPr>
            <w:tcW w:w="5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11,641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11,641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1,180</w:t>
            </w:r>
          </w:p>
        </w:tc>
      </w:tr>
      <w:tr>
        <w:trPr>
          <w:trHeight w:val="258"/>
        </w:trPr>
        <w:tc>
          <w:tcPr>
            <w:tcW w:w="5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2,551</w:t>
            </w:r>
          </w:p>
        </w:tc>
        <w:tc>
          <w:tcPr>
            <w:tcW w:w="6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66,411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68,962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4,496</w:t>
            </w:r>
          </w:p>
        </w:tc>
      </w:tr>
      <w:tr>
        <w:trPr>
          <w:trHeight w:val="258"/>
        </w:trPr>
        <w:tc>
          <w:tcPr>
            <w:tcW w:w="5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3,984</w:t>
            </w:r>
          </w:p>
        </w:tc>
        <w:tc>
          <w:tcPr>
            <w:tcW w:w="6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27,052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31,036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w:t>
            </w:r>
          </w:p>
        </w:tc>
      </w:tr>
      <w:tr>
        <w:trPr>
          <w:trHeight w:val="464"/>
        </w:trPr>
        <w:tc>
          <w:tcPr>
            <w:tcW w:w="5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221</w:t>
            </w:r>
          </w:p>
        </w:tc>
        <w:tc>
          <w:tcPr>
            <w:tcW w:w="6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288,570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42,096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288,791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42,097</w:t>
            </w:r>
          </w:p>
        </w:tc>
      </w:tr>
      <w:tr>
        <w:trPr>
          <w:trHeight w:val="258"/>
        </w:trPr>
        <w:tc>
          <w:tcPr>
            <w:tcW w:w="5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1,473</w:t>
            </w:r>
          </w:p>
        </w:tc>
        <w:tc>
          <w:tcPr>
            <w:tcW w:w="6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68,448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69,921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4,039</w:t>
            </w:r>
          </w:p>
        </w:tc>
      </w:tr>
      <w:tr>
        <w:trPr>
          <w:trHeight w:val="257"/>
        </w:trPr>
        <w:tc>
          <w:tcPr>
            <w:tcW w:w="5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2"/>
        </w:trPr>
        <w:tc>
          <w:tcPr>
            <w:tcW w:w="5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8,700</w:t>
            </w:r>
          </w:p>
        </w:tc>
        <w:tc>
          <w:tcPr>
            <w:tcW w:w="6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531,888</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62,697</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540,588</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62,749</w:t>
            </w:r>
          </w:p>
        </w:tc>
      </w:tr>
      <w:tr>
        <w:trPr>
          <w:trHeight w:val="20"/>
        </w:trPr>
        <w:tc>
          <w:tcPr>
            <w:tcW w:w="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-2258060</wp:posOffset>
            </wp:positionH>
            <wp:positionV relativeFrom="paragraph">
              <wp:posOffset>-3593465</wp:posOffset>
            </wp:positionV>
            <wp:extent cx="7138670" cy="294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8670" cy="294640"/>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-3134995</wp:posOffset>
            </wp:positionV>
            <wp:extent cx="7138670" cy="163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-2676525</wp:posOffset>
            </wp:positionV>
            <wp:extent cx="7138670" cy="163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-2021205</wp:posOffset>
            </wp:positionV>
            <wp:extent cx="7138670" cy="1390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-1718310</wp:posOffset>
            </wp:positionV>
            <wp:extent cx="7138670" cy="294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8670" cy="294640"/>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-1129030</wp:posOffset>
            </wp:positionV>
            <wp:extent cx="7138670" cy="163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-801370</wp:posOffset>
            </wp:positionV>
            <wp:extent cx="7138670" cy="294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8670" cy="294640"/>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-342900</wp:posOffset>
            </wp:positionV>
            <wp:extent cx="7138670" cy="3435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8670" cy="343535"/>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-2348865</wp:posOffset>
            </wp:positionV>
            <wp:extent cx="7138670" cy="1803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867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720"/>
            <w:col w:w="7680"/>
          </w:cols>
          <w:pgMar w:left="320" w:top="119" w:right="339" w:bottom="1440" w:gutter="0" w:footer="0" w:header="0"/>
          <w:type w:val="continuous"/>
        </w:sectPr>
      </w:pPr>
    </w:p>
    <w:p>
      <w:pPr>
        <w:spacing w:after="0" w:line="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Securities AFS in unrealized loss positions are evaluated quarterly for impairment related to credit losses. For securities AFS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No securities AFS met these two criteria during the periods presented. For securities AFS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net of applicable taxes. No ACL for securities AFS was needed at September 30, 2025 and December 31, 2024. Accrued interest receivable on securities AFS totaled $3.1 million and $3.9</w:t>
      </w:r>
    </w:p>
    <w:p>
      <w:pPr>
        <w:spacing w:after="0" w:line="200" w:lineRule="exact"/>
        <w:rPr>
          <w:sz w:val="20"/>
          <w:szCs w:val="20"/>
          <w:color w:val="auto"/>
        </w:rPr>
      </w:pPr>
    </w:p>
    <w:p>
      <w:pPr>
        <w:spacing w:after="0" w:line="34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million at September 30, 2025 and December 31, 2024, respectively, and is excluded from the estimate of credit losses and is included in accrued income and other assets in the interim Condensed Consolidated Statements of Financial Condition.</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U.S. agency, U.S. agency residential mortgage-backed and U.S. agency commercial mortgage-backed securities — at September 30, 2025, we had 29 U.S. agency, 88 U.S. agency residential mortgage-backed and 9 U.S. agency commercial mortgage-backed securities whose fair value is less than amortized cost. These securities are either explicitly or implicitly guaranteed by the U.S. government, are highly rated by major credit rating agencies, and have a long history of no credit losses. The unrealized losses are largely attributed to widening spreads to Treasury bonds and/or an increase in interest rates since acquisition.</w:t>
      </w:r>
    </w:p>
    <w:p>
      <w:pPr>
        <w:spacing w:after="0" w:line="1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Private label mortgage backed, other asset backed and corporate securities — at September 30, 2025, we had 50 private label mortgage backed, 37 other asset backed, and 58 corporate securities whose fair value is less than amortized cost. The unrealized losses are primarily due to credit spread widening and/or an increase in interest rates since acquisition.</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Obligations of states and political subdivisions — at September 30, 2025, we had 290 municipal securities whose fair value is less than amortized cost. The unrealized losses are primarily due to an increase in interest rates since acquisition.</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Trust preferred securities — at September 30, 2025, we had one trust preferred security whose fair value is less than amortized cost. This trust preferred security is a single issue security issued by a trust subsidiary of a bank holding company. The pricing of trust preferred securities has suffered from credit spread widening. This security is rated by a major rating agency as investment grade.</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At September 30, 2025 management does not intend to liquidate any of the securities discussed above and it is more likely than not that we will not be required to sell these securities prior to recovery of these unrealized losses.</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recorded no credit related charges in our interim Condensed Consolidated Statements of Operations related to securities AFS during the three and nine month periods ended September 30, 2025 and 2024, respectively.</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ACL on securities HTM is a contra asset valuation account that is deducted from the carrying amount of securities HTM to present the net amount expected to be collected. Securities HTM are charged off against the ACL when deemed uncollectible. Adjustments to the ACL are reported in our interim Condensed Consolidated Statements of Operations in provision for credit losses. We measure expected credit losses on securities HTM on a collective basis by major security type with each type sharing similar risk characteristics, and consider historical credit loss information. Accrued interest receivable on securities HTM totaled $1.7 million at both September 30, 2025 and December 31, 2024, respectively and is excluded from the estimate of credit losses and is included in accrued income and other assets in the interim Condensed Consolidated Statements of Financial Condition. With regard to U.S. Government-sponsored agency and mortgage-backed securities (residential and commercial), all these securities are issued by a U.S. government-sponsored entity and have an implicit or explicit government guarantee; therefore, no allowance for credit losses has been recorded for these securities. With regard to obligations of states and political subdivisions, private label-mortgage-backed, corporate and trust preferred securities HTM, we consider (1) issuer bond ratings, (2) historical loss rates for given bond ratings, (3) the financial condition of the issuer, and (4) whether issuers continue to make timely principal and interest payments under the contractual terms of the securities. Historical loss rates associated with securities having similar grades as those in our portfolio have been insignificant. During the first quarter of 2023, one corporate security (Signature Bank) defaulted resulting in a full charge-off. Subsequent to this security's charge-off, a portion of its fair value had recovered and was subsequently sold during the first quarter of 2024 for $1.1 million during which period we recorded that amount as a recovery to the ACL. Despite this lone security loss, the long-term historical loss rates associated with securities having similar grades as those in our portfolio have been insignificant. Furthermore, as of September 30, 2025 and December 31, 2024, there were no past due principal and interest payments associated with these securities. At those same dates an allowance for credit losses of $92,000 and $132,000, respectively was recorded on non U.S. agency securities HTM based on applying the long-term historical credit loss rate, as published by credit rating agencies, for similarly rated securities.</w:t>
      </w:r>
    </w:p>
    <w:p>
      <w:pPr>
        <w:spacing w:after="0" w:line="200" w:lineRule="exact"/>
        <w:rPr>
          <w:sz w:val="20"/>
          <w:szCs w:val="20"/>
          <w:color w:val="auto"/>
        </w:rPr>
      </w:pPr>
    </w:p>
    <w:p>
      <w:pPr>
        <w:spacing w:after="0" w:line="34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On a quarterly basis, we monitor the credit quality of securities HTM through the use of credit ratings. The carrying value of securities HTM aggregated by credit quality follow: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Private</w:t>
            </w:r>
          </w:p>
        </w:tc>
        <w:tc>
          <w:tcPr>
            <w:tcW w:w="20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Obligations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8"/>
              </w:rPr>
              <w:t>Label</w:t>
            </w:r>
          </w:p>
        </w:tc>
        <w:tc>
          <w:tcPr>
            <w:tcW w:w="20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of States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w w:val="99"/>
              </w:rPr>
              <w:t>Carrying</w:t>
            </w: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Mortgage-</w:t>
            </w:r>
          </w:p>
        </w:tc>
        <w:tc>
          <w:tcPr>
            <w:tcW w:w="20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and Political</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w w:val="94"/>
              </w:rPr>
              <w:t>Trust</w:t>
            </w:r>
          </w:p>
        </w:tc>
        <w:tc>
          <w:tcPr>
            <w:tcW w:w="280" w:type="dxa"/>
            <w:vAlign w:val="bottom"/>
          </w:tcPr>
          <w:p>
            <w:pPr>
              <w:spacing w:after="0"/>
              <w:rPr>
                <w:sz w:val="17"/>
                <w:szCs w:val="17"/>
                <w:color w:val="auto"/>
              </w:rPr>
            </w:pPr>
          </w:p>
        </w:tc>
        <w:tc>
          <w:tcPr>
            <w:tcW w:w="120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w w:val="98"/>
              </w:rPr>
              <w:t>Value</w:t>
            </w:r>
          </w:p>
        </w:tc>
      </w:tr>
      <w:tr>
        <w:trPr>
          <w:trHeight w:val="248"/>
        </w:trPr>
        <w:tc>
          <w:tcPr>
            <w:tcW w:w="35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7"/>
              </w:rPr>
              <w:t>Backed</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Subdivisions</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Corporate</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Preferred</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 thousands)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September 30, 2025</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3500" w:type="dxa"/>
            <w:vAlign w:val="bottom"/>
          </w:tcPr>
          <w:p>
            <w:pPr>
              <w:jc w:val="center"/>
              <w:ind w:right="2254"/>
              <w:spacing w:after="0"/>
              <w:rPr>
                <w:sz w:val="20"/>
                <w:szCs w:val="20"/>
                <w:color w:val="auto"/>
              </w:rPr>
            </w:pPr>
            <w:r>
              <w:rPr>
                <w:rFonts w:ascii="Times New Roman" w:cs="Times New Roman" w:eastAsia="Times New Roman" w:hAnsi="Times New Roman"/>
                <w:sz w:val="17"/>
                <w:szCs w:val="17"/>
                <w:color w:val="auto"/>
              </w:rPr>
              <w:t>Credit rating:</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9"/>
        </w:trPr>
        <w:tc>
          <w:tcPr>
            <w:tcW w:w="3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AAA</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25,074</w:t>
            </w:r>
          </w:p>
        </w:tc>
      </w:tr>
      <w:tr>
        <w:trPr>
          <w:trHeight w:val="219"/>
        </w:trPr>
        <w:tc>
          <w:tcPr>
            <w:tcW w:w="35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AA</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117,374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117,374</w:t>
            </w:r>
          </w:p>
        </w:tc>
      </w:tr>
      <w:tr>
        <w:trPr>
          <w:trHeight w:val="219"/>
        </w:trPr>
        <w:tc>
          <w:tcPr>
            <w:tcW w:w="3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6,889</w:t>
            </w:r>
          </w:p>
        </w:tc>
      </w:tr>
      <w:tr>
        <w:trPr>
          <w:trHeight w:val="219"/>
        </w:trPr>
        <w:tc>
          <w:tcPr>
            <w:tcW w:w="35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BBB</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30,751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31,194</w:t>
            </w:r>
          </w:p>
        </w:tc>
      </w:tr>
      <w:tr>
        <w:trPr>
          <w:trHeight w:val="219"/>
        </w:trPr>
        <w:tc>
          <w:tcPr>
            <w:tcW w:w="3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BB</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1,979</w:t>
            </w:r>
          </w:p>
        </w:tc>
      </w:tr>
      <w:tr>
        <w:trPr>
          <w:trHeight w:val="219"/>
        </w:trPr>
        <w:tc>
          <w:tcPr>
            <w:tcW w:w="35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Non-rated</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17,247</w:t>
            </w:r>
          </w:p>
        </w:tc>
      </w:tr>
      <w:tr>
        <w:trPr>
          <w:trHeight w:val="237"/>
        </w:trPr>
        <w:tc>
          <w:tcPr>
            <w:tcW w:w="3500" w:type="dxa"/>
            <w:vAlign w:val="bottom"/>
            <w:tcBorders>
              <w:top w:val="single" w:sz="8" w:color="CCEEFF"/>
              <w:bottom w:val="single" w:sz="8" w:color="CCEEFF"/>
            </w:tcBorders>
            <w:shd w:val="clear" w:color="auto" w:fill="CCEEFF"/>
          </w:tcPr>
          <w:p>
            <w:pPr>
              <w:jc w:val="center"/>
              <w:ind w:right="2194"/>
              <w:spacing w:after="0"/>
              <w:rPr>
                <w:sz w:val="20"/>
                <w:szCs w:val="20"/>
                <w:color w:val="auto"/>
              </w:rPr>
            </w:pPr>
            <w:r>
              <w:rPr>
                <w:rFonts w:ascii="Times New Roman" w:cs="Times New Roman" w:eastAsia="Times New Roman" w:hAnsi="Times New Roman"/>
                <w:sz w:val="17"/>
                <w:szCs w:val="17"/>
                <w:color w:val="auto"/>
                <w:w w:val="94"/>
              </w:rPr>
              <w:t>Total</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150,784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40,706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199,757</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2024</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3500" w:type="dxa"/>
            <w:vAlign w:val="bottom"/>
          </w:tcPr>
          <w:p>
            <w:pPr>
              <w:jc w:val="center"/>
              <w:ind w:right="2254"/>
              <w:spacing w:after="0"/>
              <w:rPr>
                <w:sz w:val="20"/>
                <w:szCs w:val="20"/>
                <w:color w:val="auto"/>
              </w:rPr>
            </w:pPr>
            <w:r>
              <w:rPr>
                <w:rFonts w:ascii="Times New Roman" w:cs="Times New Roman" w:eastAsia="Times New Roman" w:hAnsi="Times New Roman"/>
                <w:sz w:val="17"/>
                <w:szCs w:val="17"/>
                <w:color w:val="auto"/>
              </w:rPr>
              <w:t>Credit rating:</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AAA</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34,973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42,323</w:t>
            </w:r>
          </w:p>
        </w:tc>
      </w:tr>
      <w:tr>
        <w:trPr>
          <w:trHeight w:val="219"/>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AA</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101,112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101,112</w:t>
            </w:r>
          </w:p>
        </w:tc>
      </w:tr>
      <w:tr>
        <w:trPr>
          <w:trHeight w:val="21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8,478</w:t>
            </w:r>
          </w:p>
        </w:tc>
      </w:tr>
      <w:tr>
        <w:trPr>
          <w:trHeight w:val="219"/>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BBB</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36,045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36,697</w:t>
            </w:r>
          </w:p>
        </w:tc>
      </w:tr>
      <w:tr>
        <w:trPr>
          <w:trHeight w:val="21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BB</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w:t>
            </w:r>
          </w:p>
        </w:tc>
      </w:tr>
      <w:tr>
        <w:trPr>
          <w:trHeight w:val="219"/>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Non-rated</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16,095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w:t>
            </w:r>
          </w:p>
        </w:tc>
      </w:tr>
      <w:tr>
        <w:trPr>
          <w:trHeight w:val="237"/>
        </w:trPr>
        <w:tc>
          <w:tcPr>
            <w:tcW w:w="35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156,305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45,964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210,573</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823"/>
        </w:trPr>
        <w:tc>
          <w:tcPr>
            <w:tcW w:w="3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w w:val="93"/>
              </w:rPr>
              <w:t>13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08"/>
        </w:trPr>
        <w:tc>
          <w:tcPr>
            <w:tcW w:w="35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analysis of the allowance for credit losses by security HTM type for the three months ended September 30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w w:val="99"/>
              </w:rPr>
              <w:t>Private</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Obligations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Label</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of States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Mortgage-</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and Political</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Trust</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500" w:type="dxa"/>
            <w:vAlign w:val="bottom"/>
          </w:tcPr>
          <w:p>
            <w:pPr>
              <w:spacing w:after="0"/>
              <w:rPr>
                <w:sz w:val="21"/>
                <w:szCs w:val="21"/>
                <w:color w:val="auto"/>
              </w:rPr>
            </w:pPr>
          </w:p>
        </w:tc>
        <w:tc>
          <w:tcPr>
            <w:tcW w:w="1180" w:type="dxa"/>
            <w:vAlign w:val="bottom"/>
            <w:tcBorders>
              <w:bottom w:val="single" w:sz="8" w:color="auto"/>
            </w:tcBorders>
          </w:tcPr>
          <w:p>
            <w:pPr>
              <w:jc w:val="center"/>
              <w:ind w:left="214"/>
              <w:spacing w:after="0"/>
              <w:rPr>
                <w:sz w:val="20"/>
                <w:szCs w:val="20"/>
                <w:color w:val="auto"/>
              </w:rPr>
            </w:pPr>
            <w:r>
              <w:rPr>
                <w:rFonts w:ascii="Times New Roman" w:cs="Times New Roman" w:eastAsia="Times New Roman" w:hAnsi="Times New Roman"/>
                <w:sz w:val="17"/>
                <w:szCs w:val="17"/>
                <w:color w:val="auto"/>
              </w:rPr>
              <w:t>Backed</w:t>
            </w:r>
          </w:p>
        </w:tc>
        <w:tc>
          <w:tcPr>
            <w:tcW w:w="3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Subdivisions</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Corporate</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Preferred</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16"/>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18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0" w:type="dxa"/>
            <w:vAlign w:val="bottom"/>
          </w:tcPr>
          <w:p>
            <w:pPr>
              <w:spacing w:after="0"/>
              <w:rPr>
                <w:sz w:val="1"/>
                <w:szCs w:val="1"/>
                <w:color w:val="auto"/>
              </w:rPr>
            </w:pPr>
          </w:p>
        </w:tc>
      </w:tr>
      <w:tr>
        <w:trPr>
          <w:trHeight w:val="232"/>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Additions (deductions)</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18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1180" w:type="dxa"/>
            <w:vAlign w:val="bottom"/>
          </w:tcPr>
          <w:p>
            <w:pPr>
              <w:spacing w:after="0"/>
              <w:rPr>
                <w:sz w:val="22"/>
                <w:szCs w:val="2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Securities HTM charged against the</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allowance</w:t>
            </w:r>
          </w:p>
        </w:tc>
        <w:tc>
          <w:tcPr>
            <w:tcW w:w="11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1180" w:type="dxa"/>
            <w:vAlign w:val="bottom"/>
            <w:tcBorders>
              <w:top w:val="single" w:sz="8" w:color="auto"/>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18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0" w:type="dxa"/>
            <w:vAlign w:val="bottom"/>
          </w:tcPr>
          <w:p>
            <w:pPr>
              <w:spacing w:after="0"/>
              <w:rPr>
                <w:sz w:val="1"/>
                <w:szCs w:val="1"/>
                <w:color w:val="auto"/>
              </w:rPr>
            </w:pPr>
          </w:p>
        </w:tc>
      </w:tr>
      <w:tr>
        <w:trPr>
          <w:trHeight w:val="232"/>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Additions (deductions)</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18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1180" w:type="dxa"/>
            <w:vAlign w:val="bottom"/>
          </w:tcPr>
          <w:p>
            <w:pPr>
              <w:spacing w:after="0"/>
              <w:rPr>
                <w:sz w:val="22"/>
                <w:szCs w:val="2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Securities HTM charged against the</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allowance</w:t>
            </w:r>
          </w:p>
        </w:tc>
        <w:tc>
          <w:tcPr>
            <w:tcW w:w="11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1180" w:type="dxa"/>
            <w:vAlign w:val="bottom"/>
            <w:tcBorders>
              <w:top w:val="single" w:sz="8" w:color="auto"/>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analysis of the allowance for credit losses by security HTM type for the nine months ended September 30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w w:val="99"/>
              </w:rPr>
              <w:t>Private</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Obligations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Label</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of States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Mortgage-</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and Political</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Trust</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500" w:type="dxa"/>
            <w:vAlign w:val="bottom"/>
          </w:tcPr>
          <w:p>
            <w:pPr>
              <w:spacing w:after="0"/>
              <w:rPr>
                <w:sz w:val="21"/>
                <w:szCs w:val="21"/>
                <w:color w:val="auto"/>
              </w:rPr>
            </w:pPr>
          </w:p>
        </w:tc>
        <w:tc>
          <w:tcPr>
            <w:tcW w:w="1180" w:type="dxa"/>
            <w:vAlign w:val="bottom"/>
            <w:tcBorders>
              <w:bottom w:val="single" w:sz="8" w:color="auto"/>
            </w:tcBorders>
          </w:tcPr>
          <w:p>
            <w:pPr>
              <w:jc w:val="center"/>
              <w:ind w:left="214"/>
              <w:spacing w:after="0"/>
              <w:rPr>
                <w:sz w:val="20"/>
                <w:szCs w:val="20"/>
                <w:color w:val="auto"/>
              </w:rPr>
            </w:pPr>
            <w:r>
              <w:rPr>
                <w:rFonts w:ascii="Times New Roman" w:cs="Times New Roman" w:eastAsia="Times New Roman" w:hAnsi="Times New Roman"/>
                <w:sz w:val="17"/>
                <w:szCs w:val="17"/>
                <w:color w:val="auto"/>
              </w:rPr>
              <w:t>Backed</w:t>
            </w:r>
          </w:p>
        </w:tc>
        <w:tc>
          <w:tcPr>
            <w:tcW w:w="3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Subdivisions</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Corporate</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Preferred</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16"/>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18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0" w:type="dxa"/>
            <w:vAlign w:val="bottom"/>
          </w:tcPr>
          <w:p>
            <w:pPr>
              <w:spacing w:after="0"/>
              <w:rPr>
                <w:sz w:val="1"/>
                <w:szCs w:val="1"/>
                <w:color w:val="auto"/>
              </w:rPr>
            </w:pPr>
          </w:p>
        </w:tc>
      </w:tr>
      <w:tr>
        <w:trPr>
          <w:trHeight w:val="232"/>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Additions (deductions)</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18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1180" w:type="dxa"/>
            <w:vAlign w:val="bottom"/>
          </w:tcPr>
          <w:p>
            <w:pPr>
              <w:spacing w:after="0"/>
              <w:rPr>
                <w:sz w:val="22"/>
                <w:szCs w:val="2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Securities HTM charged against the</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allowance</w:t>
            </w:r>
          </w:p>
        </w:tc>
        <w:tc>
          <w:tcPr>
            <w:tcW w:w="11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1180" w:type="dxa"/>
            <w:vAlign w:val="bottom"/>
            <w:tcBorders>
              <w:top w:val="single" w:sz="8" w:color="auto"/>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18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0" w:type="dxa"/>
            <w:vAlign w:val="bottom"/>
          </w:tcPr>
          <w:p>
            <w:pPr>
              <w:spacing w:after="0"/>
              <w:rPr>
                <w:sz w:val="1"/>
                <w:szCs w:val="1"/>
                <w:color w:val="auto"/>
              </w:rPr>
            </w:pPr>
          </w:p>
        </w:tc>
      </w:tr>
      <w:tr>
        <w:trPr>
          <w:trHeight w:val="232"/>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Additions (deductions)</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18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1180" w:type="dxa"/>
            <w:vAlign w:val="bottom"/>
          </w:tcPr>
          <w:p>
            <w:pPr>
              <w:spacing w:after="0"/>
              <w:rPr>
                <w:sz w:val="22"/>
                <w:szCs w:val="2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Securities HTM charged against the</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allowance</w:t>
            </w:r>
          </w:p>
        </w:tc>
        <w:tc>
          <w:tcPr>
            <w:tcW w:w="11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1180" w:type="dxa"/>
            <w:vAlign w:val="bottom"/>
            <w:tcBorders>
              <w:top w:val="single" w:sz="8" w:color="auto"/>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amortized cost and fair value of securities AFS and securities HTM at September 30, 2025, by contractual maturity, follow: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Securities AFS</w:t>
            </w:r>
          </w:p>
        </w:tc>
        <w:tc>
          <w:tcPr>
            <w:tcW w:w="9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Securities HTM</w:t>
            </w:r>
          </w:p>
        </w:tc>
        <w:tc>
          <w:tcPr>
            <w:tcW w:w="960" w:type="dxa"/>
            <w:vAlign w:val="bottom"/>
            <w:tcBorders>
              <w:bottom w:val="single" w:sz="8" w:color="auto"/>
            </w:tcBorders>
          </w:tcPr>
          <w:p>
            <w:pPr>
              <w:spacing w:after="0"/>
              <w:rPr>
                <w:sz w:val="19"/>
                <w:szCs w:val="19"/>
                <w:color w:val="auto"/>
              </w:rPr>
            </w:pPr>
          </w:p>
        </w:tc>
      </w:tr>
      <w:tr>
        <w:trPr>
          <w:trHeight w:val="160"/>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20"/>
              <w:spacing w:after="0" w:line="161" w:lineRule="exact"/>
              <w:rPr>
                <w:sz w:val="20"/>
                <w:szCs w:val="20"/>
                <w:color w:val="auto"/>
              </w:rPr>
            </w:pPr>
            <w:r>
              <w:rPr>
                <w:rFonts w:ascii="Times New Roman" w:cs="Times New Roman" w:eastAsia="Times New Roman" w:hAnsi="Times New Roman"/>
                <w:sz w:val="17"/>
                <w:szCs w:val="17"/>
                <w:color w:val="auto"/>
              </w:rPr>
              <w:t>Amortized</w:t>
            </w:r>
          </w:p>
        </w:tc>
        <w:tc>
          <w:tcPr>
            <w:tcW w:w="500" w:type="dxa"/>
            <w:vAlign w:val="bottom"/>
          </w:tcPr>
          <w:p>
            <w:pPr>
              <w:spacing w:after="0"/>
              <w:rPr>
                <w:sz w:val="13"/>
                <w:szCs w:val="13"/>
                <w:color w:val="auto"/>
              </w:rPr>
            </w:pPr>
          </w:p>
        </w:tc>
        <w:tc>
          <w:tcPr>
            <w:tcW w:w="980" w:type="dxa"/>
            <w:vAlign w:val="bottom"/>
          </w:tcPr>
          <w:p>
            <w:pPr>
              <w:jc w:val="center"/>
              <w:ind w:right="414"/>
              <w:spacing w:after="0" w:line="161" w:lineRule="exact"/>
              <w:rPr>
                <w:sz w:val="20"/>
                <w:szCs w:val="20"/>
                <w:color w:val="auto"/>
              </w:rPr>
            </w:pPr>
            <w:r>
              <w:rPr>
                <w:rFonts w:ascii="Times New Roman" w:cs="Times New Roman" w:eastAsia="Times New Roman" w:hAnsi="Times New Roman"/>
                <w:sz w:val="17"/>
                <w:szCs w:val="17"/>
                <w:color w:val="auto"/>
              </w:rPr>
              <w:t>Fair</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20"/>
              <w:spacing w:after="0" w:line="161" w:lineRule="exact"/>
              <w:rPr>
                <w:sz w:val="20"/>
                <w:szCs w:val="20"/>
                <w:color w:val="auto"/>
              </w:rPr>
            </w:pPr>
            <w:r>
              <w:rPr>
                <w:rFonts w:ascii="Times New Roman" w:cs="Times New Roman" w:eastAsia="Times New Roman" w:hAnsi="Times New Roman"/>
                <w:sz w:val="17"/>
                <w:szCs w:val="17"/>
                <w:color w:val="auto"/>
              </w:rPr>
              <w:t>Amortized</w:t>
            </w:r>
          </w:p>
        </w:tc>
        <w:tc>
          <w:tcPr>
            <w:tcW w:w="520" w:type="dxa"/>
            <w:vAlign w:val="bottom"/>
          </w:tcPr>
          <w:p>
            <w:pPr>
              <w:spacing w:after="0"/>
              <w:rPr>
                <w:sz w:val="13"/>
                <w:szCs w:val="13"/>
                <w:color w:val="auto"/>
              </w:rPr>
            </w:pPr>
          </w:p>
        </w:tc>
        <w:tc>
          <w:tcPr>
            <w:tcW w:w="960" w:type="dxa"/>
            <w:vAlign w:val="bottom"/>
          </w:tcPr>
          <w:p>
            <w:pPr>
              <w:jc w:val="right"/>
              <w:ind w:right="514"/>
              <w:spacing w:after="0" w:line="161" w:lineRule="exact"/>
              <w:rPr>
                <w:sz w:val="20"/>
                <w:szCs w:val="20"/>
                <w:color w:val="auto"/>
              </w:rPr>
            </w:pPr>
            <w:r>
              <w:rPr>
                <w:rFonts w:ascii="Times New Roman" w:cs="Times New Roman" w:eastAsia="Times New Roman" w:hAnsi="Times New Roman"/>
                <w:sz w:val="17"/>
                <w:szCs w:val="17"/>
                <w:color w:val="auto"/>
              </w:rPr>
              <w:t>Fair</w:t>
            </w:r>
          </w:p>
        </w:tc>
      </w:tr>
      <w:tr>
        <w:trPr>
          <w:trHeight w:val="228"/>
        </w:trPr>
        <w:tc>
          <w:tcPr>
            <w:tcW w:w="5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Cost</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7"/>
                <w:szCs w:val="17"/>
                <w:color w:val="auto"/>
                <w:w w:val="98"/>
              </w:rPr>
              <w:t>Value</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6"/>
              </w:rPr>
              <w:t>Cost</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w w:val="98"/>
              </w:rPr>
              <w:t>Value</w:t>
            </w:r>
          </w:p>
        </w:tc>
      </w:tr>
      <w:tr>
        <w:trPr>
          <w:trHeight w:val="217"/>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40" w:type="dxa"/>
            <w:vAlign w:val="bottom"/>
            <w:gridSpan w:val="5"/>
          </w:tcPr>
          <w:p>
            <w:pPr>
              <w:ind w:left="540"/>
              <w:spacing w:after="0"/>
              <w:rPr>
                <w:sz w:val="20"/>
                <w:szCs w:val="20"/>
                <w:color w:val="auto"/>
              </w:rPr>
            </w:pPr>
            <w:r>
              <w:rPr>
                <w:rFonts w:ascii="Times New Roman" w:cs="Times New Roman" w:eastAsia="Times New Roman" w:hAnsi="Times New Roman"/>
                <w:sz w:val="17"/>
                <w:szCs w:val="17"/>
                <w:color w:val="auto"/>
              </w:rPr>
              <w:t>(In thousands)</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Maturing within one year</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24,490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24,216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13,117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12,967</w:t>
            </w:r>
          </w:p>
        </w:tc>
      </w:tr>
      <w:tr>
        <w:trPr>
          <w:trHeight w:val="21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Maturing after one year but within five years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127,044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120,736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48,794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46,630</w:t>
            </w: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Maturing after five years but within ten years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42,007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38,417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91,368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82,613</w:t>
            </w:r>
          </w:p>
        </w:tc>
      </w:tr>
      <w:tr>
        <w:trPr>
          <w:trHeight w:val="219"/>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Maturing after ten years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192,839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159,498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68,045</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57,339</w:t>
            </w:r>
          </w:p>
        </w:tc>
      </w:tr>
      <w:tr>
        <w:trPr>
          <w:trHeight w:val="212"/>
        </w:trPr>
        <w:tc>
          <w:tcPr>
            <w:tcW w:w="5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386,380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342,867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221,324</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199,549</w:t>
            </w:r>
          </w:p>
        </w:tc>
      </w:tr>
      <w:tr>
        <w:trPr>
          <w:trHeight w:val="21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78,196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102,564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82,849</w:t>
            </w: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3,741</w:t>
            </w:r>
          </w:p>
        </w:tc>
      </w:tr>
      <w:tr>
        <w:trPr>
          <w:trHeight w:val="21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44,358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41,936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7,103</w:t>
            </w: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 backed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32,548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32,129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556,662</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502,583</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335,308</w:t>
            </w: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293,242</w:t>
            </w: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actual maturity may differ from the contractual maturity because issuers may have the right to call or prepay obligations with or without call or prepayment penalties.</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Gains and losses realized on the sale of securities AFS are determined using the specific identification method and are recognized on a trade-date basis. A summary of proceeds from the sale of securities AFS and gains and losses for the nine month periods ending September 30,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ind w:left="1060"/>
              <w:spacing w:after="0"/>
              <w:rPr>
                <w:sz w:val="20"/>
                <w:szCs w:val="20"/>
                <w:color w:val="auto"/>
              </w:rPr>
            </w:pPr>
            <w:r>
              <w:rPr>
                <w:rFonts w:ascii="Times New Roman" w:cs="Times New Roman" w:eastAsia="Times New Roman" w:hAnsi="Times New Roman"/>
                <w:sz w:val="17"/>
                <w:szCs w:val="17"/>
                <w:color w:val="auto"/>
              </w:rPr>
              <w:t>Realized</w:t>
            </w:r>
          </w:p>
        </w:tc>
        <w:tc>
          <w:tcPr>
            <w:tcW w:w="1100" w:type="dxa"/>
            <w:vAlign w:val="bottom"/>
            <w:tcBorders>
              <w:bottom w:val="single" w:sz="8" w:color="auto"/>
            </w:tcBorders>
          </w:tcPr>
          <w:p>
            <w:pPr>
              <w:spacing w:after="0"/>
              <w:rPr>
                <w:sz w:val="19"/>
                <w:szCs w:val="19"/>
                <w:color w:val="auto"/>
              </w:rPr>
            </w:pPr>
          </w:p>
        </w:tc>
      </w:tr>
      <w:tr>
        <w:trPr>
          <w:trHeight w:val="212"/>
        </w:trPr>
        <w:tc>
          <w:tcPr>
            <w:tcW w:w="6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Proceeds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color w:val="auto"/>
              </w:rPr>
              <w:t>Gains</w:t>
            </w: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Losses</w:t>
            </w:r>
          </w:p>
        </w:tc>
      </w:tr>
      <w:tr>
        <w:trPr>
          <w:trHeight w:val="212"/>
        </w:trPr>
        <w:tc>
          <w:tcPr>
            <w:tcW w:w="6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(In thousands)</w:t>
            </w: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6620" w:type="dxa"/>
            <w:vAlign w:val="bottom"/>
            <w:shd w:val="clear" w:color="auto" w:fill="CCEEFF"/>
          </w:tcPr>
          <w:p>
            <w:pPr>
              <w:jc w:val="right"/>
              <w:ind w:right="6174"/>
              <w:spacing w:after="0"/>
              <w:rPr>
                <w:sz w:val="20"/>
                <w:szCs w:val="20"/>
                <w:color w:val="auto"/>
              </w:rPr>
            </w:pPr>
            <w:r>
              <w:rPr>
                <w:rFonts w:ascii="Times New Roman" w:cs="Times New Roman" w:eastAsia="Times New Roman" w:hAnsi="Times New Roman"/>
                <w:sz w:val="17"/>
                <w:szCs w:val="17"/>
                <w:color w:val="auto"/>
                <w:w w:val="99"/>
              </w:rPr>
              <w:t>2025</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30,581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37</w:t>
            </w:r>
          </w:p>
        </w:tc>
        <w:tc>
          <w:tcPr>
            <w:tcW w:w="4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w:t>
            </w:r>
          </w:p>
        </w:tc>
      </w:tr>
      <w:tr>
        <w:trPr>
          <w:trHeight w:val="223"/>
        </w:trPr>
        <w:tc>
          <w:tcPr>
            <w:tcW w:w="6620" w:type="dxa"/>
            <w:vAlign w:val="bottom"/>
          </w:tcPr>
          <w:p>
            <w:pPr>
              <w:jc w:val="right"/>
              <w:ind w:right="6174"/>
              <w:spacing w:after="0"/>
              <w:rPr>
                <w:sz w:val="20"/>
                <w:szCs w:val="20"/>
                <w:color w:val="auto"/>
              </w:rPr>
            </w:pPr>
            <w:r>
              <w:rPr>
                <w:rFonts w:ascii="Times New Roman" w:cs="Times New Roman" w:eastAsia="Times New Roman" w:hAnsi="Times New Roman"/>
                <w:sz w:val="17"/>
                <w:szCs w:val="17"/>
                <w:color w:val="auto"/>
                <w:w w:val="99"/>
              </w:rPr>
              <w:t>2024</w:t>
            </w:r>
          </w:p>
        </w:tc>
        <w:tc>
          <w:tcPr>
            <w:tcW w:w="260" w:type="dxa"/>
            <w:vAlign w:val="bottom"/>
          </w:tcPr>
          <w:p>
            <w:pPr>
              <w:spacing w:after="0"/>
              <w:rPr>
                <w:sz w:val="19"/>
                <w:szCs w:val="19"/>
                <w:color w:val="auto"/>
              </w:rPr>
            </w:pPr>
          </w:p>
        </w:tc>
        <w:tc>
          <w:tcPr>
            <w:tcW w:w="13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39,431</w:t>
            </w:r>
          </w:p>
        </w:tc>
        <w:tc>
          <w:tcPr>
            <w:tcW w:w="180" w:type="dxa"/>
            <w:vAlign w:val="bottom"/>
          </w:tcPr>
          <w:p>
            <w:pPr>
              <w:spacing w:after="0"/>
              <w:rPr>
                <w:sz w:val="19"/>
                <w:szCs w:val="19"/>
                <w:color w:val="auto"/>
              </w:rPr>
            </w:pPr>
          </w:p>
        </w:tc>
        <w:tc>
          <w:tcPr>
            <w:tcW w:w="134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14</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w:t>
            </w:r>
          </w:p>
        </w:tc>
      </w:tr>
    </w:tbl>
    <w:p>
      <w:pPr>
        <w:spacing w:after="0" w:line="2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During the second quarter of 2024 we acquired certain securities classified as equity securities at fair value consisting of Visa Inc. Class C common stock. These securities were all sold during the second and third quarters of 2024. During both the three and nine months ended September 30, 2024, we recognized gains (losses) on these equity securities of $(0.01) million and $2.7 million, respectively that are included in net gains on equity securities at fair value in the interim Condensed Consolidated Statements of Operations. We had no equity securities at fair value during the same periods in 2025. See note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ind w:left="300" w:hanging="297"/>
        <w:spacing w:after="0"/>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Loans</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estimate the ACL based on relevant available information from both internal and external sources, including historical loss trends, current conditions and forecasts, specific analysis of individual loans, and other relevant and appropriate factors. The ACL process is designed to provide for expected future losses based on our reasonable and supportable (“R&amp;S”) forecast as of the reporting date. Our ACL process is administered by our Risk Management group utilizing a third party software solution, with significant input and ultimate approval from our Executive Enterprise Risk Committee. Further, we have established a current expected credit loss ("CECL") Forecast Committee, which includes a cross discipline structure with membership from Executive Management, Risk Management, Credit Administration and Accounting, which approves ACL model assumptions each quarter. Our ACL is comprised of three principal elements: (i) specific analysis of individual loans identified during the review of the loan portfolio, (ii) pooled analysis of loans with similar risk characteristics based on historical experience, adjusted for current conditions, R&amp;S forecasts, and expected prepayments, and (iii) additional allowances based on subjective factors, including local and general economic business factors and trends, portfolio concentrations and changes in the size and/or the general terms of the loan portfolio.</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first ACL element (specific allocations) includes loans that do not share similar risk characteristics and are evaluated on an individual basis. We will typically evaluate on an individual basis loans that are on nonaccrual; commercial loans that have been modified resulting in a concession, for which the borrower is experiencing financial difficulties, and which are considered loan modifications or with well defined weaknesses; and severely delinquent mortgage and installment loans. When we determine that foreclosure is probable or when repayment is expected to be provided substantially through the operation or sale of underlying collateral, expected credit losses are based on the fair value of the collateral at the reporting date, adjusted for estimated selling costs. For loans evaluated on an individual basis that are not determined to be collateral dependent, a discounted cash flow analysis is performed to determine expected credit losses.</w:t>
      </w:r>
    </w:p>
    <w:p>
      <w:pPr>
        <w:spacing w:after="0" w:line="3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second ACL element (pooled analysis) includes loans with similar risk characteristics, which are broken down by segment, class, and risk metric. The Bank’s primary segments of commercial, mortgage, and installment loans are further classified by other relevant attributes, such as collateral type, lien position, occupancy status, amortization method, and balance size. Commercial classes are additionally segmented by risk rating, and mortgage and installment loan classes by credit score tier, which are updated at least semi-annually.</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utilize a discounted cash flow (“DCF”) model to estimate expected future losses for pooled loans. Expected future cash flows are developed from payment schedules over the contractual term, adjusted for forecasted default (probability of default), loss, and prepayment assumptions. We are not required to develop forecasts over the full contractual term of the financial asset or group of financial assets. Rather, for periods beyond which we are able to make or obtain R&amp;S forecasts of expected credit losses, we revert to the long term average on a straight line or immediate basis, as determined by our CECL Forecast Committee, and which may vary depending on the economic outlook and uncertainty.</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DCF model for the mortgage and installment pooled loan segments includes using probability of default (“PD”) assumptions that are derived through regression analysis with forecasted US unemployment levels by credit score tier. We review a composite forecast of approximately 50 analysts as well as the Federal Open Market Committee (“FOMC”) projections in setting the unemployment forecast for the R&amp;S period. The current ACL utilizes a one year R&amp;S forecast followed by immediate reversion to the 75 year average unemployment rate. PD assumptions for the remaining segments are based primarily on historical rates by risk metric as defaults were not strongly correlated with any economic indicator. Loss given default (“LGD”) assumptions for the mortgage loan segment are based on a two years forecast followed by a two year straight line reversion period to the longer term average, while LGD rates for the remaining segments are the historical average for the entire period. Prepayment assumptions represent average rates per segment for a period determined by the CECL Forecast Committee and as calculated through the Bank’s Asset and Liability Management program.</w:t>
      </w:r>
    </w:p>
    <w:p>
      <w:pPr>
        <w:spacing w:after="0" w:line="1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Pooled reserves for the commercial loan segment are calculated using the DCF model with assumptions generally based on historical averages by class and risk rating. Effective risk rating practices allow for strong predictability of defaults and losses over the portfolio’s expected shorter duration, relative to mortgage and installment loans. Our rating system is similar to those employed by state and federal banking regulators.</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third ACL element (additional allocations based on subjective factors) is based on factors that cannot be associated with a specific credit or loan category and reflects our attempt to ensure that the overall ACL appropriately reflects a margin for the imprecision necessarily inherent in the estimates of expected credit losses. We adjust our quantitative model for certain qualitative factors to reflect the extent to which management expects current conditions and R&amp;S forecasts to differ from the conditions that existed for the period over which historical information was evaluated. The qualitative</w:t>
      </w:r>
    </w:p>
    <w:p>
      <w:pPr>
        <w:spacing w:after="0" w:line="30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framework reflects changes related to relevant data, such as changes in asset quality trends, portfolio growth and composition, national and local economic factors, credit policy and administration and other factors not considered in the base quantitative model. We utilize a survey completed by business unit management throughout the Bank, as well as discussion with the CECL Forecast Committee to establish reserves under the qualitative framework.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analysis of the allowance for credit losses by portfolio segment for the three months ended September 30,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Subjective</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color w:val="auto"/>
              </w:rPr>
              <w:t>Commercial</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Mortgage</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Installment</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Allocation</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16"/>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 thousands)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25,890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20,752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61,157</w:t>
            </w:r>
          </w:p>
        </w:tc>
        <w:tc>
          <w:tcPr>
            <w:tcW w:w="0" w:type="dxa"/>
            <w:vAlign w:val="bottom"/>
          </w:tcPr>
          <w:p>
            <w:pPr>
              <w:spacing w:after="0"/>
              <w:rPr>
                <w:sz w:val="1"/>
                <w:szCs w:val="1"/>
                <w:color w:val="auto"/>
              </w:rPr>
            </w:pPr>
          </w:p>
        </w:tc>
      </w:tr>
      <w:tr>
        <w:trPr>
          <w:trHeight w:val="21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Additions (deductions)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2,032</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charged against the allowance</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(1,193)</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(1,203)</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28,484</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20,546</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2,723</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10,706</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62,459</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18,979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20,731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56,241</w:t>
            </w:r>
          </w:p>
        </w:tc>
        <w:tc>
          <w:tcPr>
            <w:tcW w:w="0" w:type="dxa"/>
            <w:vAlign w:val="bottom"/>
          </w:tcPr>
          <w:p>
            <w:pPr>
              <w:spacing w:after="0"/>
              <w:rPr>
                <w:sz w:val="1"/>
                <w:szCs w:val="1"/>
                <w:color w:val="auto"/>
              </w:rPr>
            </w:pPr>
          </w:p>
        </w:tc>
      </w:tr>
      <w:tr>
        <w:trPr>
          <w:trHeight w:val="21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Additions (deductions)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charged against the allowance</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(1,018)</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20,162</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19,832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4,544</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12,906</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57,444</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analysis of the ACL by portfolio segment for the nine months ended September 30,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Subjective</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color w:val="auto"/>
              </w:rPr>
              <w:t>Commercial</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Mortgage</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Installment</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Allocation</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16"/>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 thousands)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22,872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22,317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59,379</w:t>
            </w:r>
          </w:p>
        </w:tc>
        <w:tc>
          <w:tcPr>
            <w:tcW w:w="0" w:type="dxa"/>
            <w:vAlign w:val="bottom"/>
          </w:tcPr>
          <w:p>
            <w:pPr>
              <w:spacing w:after="0"/>
              <w:rPr>
                <w:sz w:val="1"/>
                <w:szCs w:val="1"/>
                <w:color w:val="auto"/>
              </w:rPr>
            </w:pPr>
          </w:p>
        </w:tc>
      </w:tr>
      <w:tr>
        <w:trPr>
          <w:trHeight w:val="23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Additions (deductions)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4,252</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1,604</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charged against the allowance</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(2,572)</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(2,776)</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28,484</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20,546</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2,723</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10,706</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62,459</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16,724</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21,386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54,658</w:t>
            </w:r>
          </w:p>
        </w:tc>
        <w:tc>
          <w:tcPr>
            <w:tcW w:w="0" w:type="dxa"/>
            <w:vAlign w:val="bottom"/>
          </w:tcPr>
          <w:p>
            <w:pPr>
              <w:spacing w:after="0"/>
              <w:rPr>
                <w:sz w:val="1"/>
                <w:szCs w:val="1"/>
                <w:color w:val="auto"/>
              </w:rPr>
            </w:pPr>
          </w:p>
        </w:tc>
      </w:tr>
      <w:tr>
        <w:trPr>
          <w:trHeight w:val="23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Additions (deductions)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3,400</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2,106</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charged against the allowance</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(2,720)</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20,162</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19,832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4,544</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12,906</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57,444</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1"/>
        </w:trPr>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5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Loans on non-accrual status and past due more than 90 days (“Non-performing Loans”) follow: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Non-</w:t>
            </w: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7"/>
              </w:rPr>
              <w:t>Non-</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Accrual</w:t>
            </w: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Accrual</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with no</w:t>
            </w: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8"/>
              </w:rPr>
              <w:t>with an</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Allowance</w:t>
            </w:r>
          </w:p>
        </w:tc>
        <w:tc>
          <w:tcPr>
            <w:tcW w:w="2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Allowance</w:t>
            </w:r>
          </w:p>
        </w:tc>
        <w:tc>
          <w:tcPr>
            <w:tcW w:w="18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90+ and</w:t>
            </w:r>
          </w:p>
        </w:tc>
        <w:tc>
          <w:tcPr>
            <w:tcW w:w="220" w:type="dxa"/>
            <w:vAlign w:val="bottom"/>
          </w:tcPr>
          <w:p>
            <w:pPr>
              <w:spacing w:after="0"/>
              <w:rPr>
                <w:sz w:val="17"/>
                <w:szCs w:val="17"/>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w w:val="98"/>
              </w:rPr>
              <w:t>Total Non-</w:t>
            </w: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for Credit</w:t>
            </w:r>
          </w:p>
        </w:tc>
        <w:tc>
          <w:tcPr>
            <w:tcW w:w="2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w w:val="99"/>
              </w:rPr>
              <w:t>for Credit</w:t>
            </w:r>
          </w:p>
        </w:tc>
        <w:tc>
          <w:tcPr>
            <w:tcW w:w="18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Non-</w:t>
            </w: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8"/>
              </w:rPr>
              <w:t>Still</w:t>
            </w:r>
          </w:p>
        </w:tc>
        <w:tc>
          <w:tcPr>
            <w:tcW w:w="220" w:type="dxa"/>
            <w:vAlign w:val="bottom"/>
          </w:tcPr>
          <w:p>
            <w:pPr>
              <w:spacing w:after="0"/>
              <w:rPr>
                <w:sz w:val="17"/>
                <w:szCs w:val="17"/>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Performing</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9"/>
              </w:rPr>
              <w:t>Loss</w:t>
            </w:r>
          </w:p>
        </w:tc>
        <w:tc>
          <w:tcPr>
            <w:tcW w:w="24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Loss</w:t>
            </w:r>
          </w:p>
        </w:tc>
        <w:tc>
          <w:tcPr>
            <w:tcW w:w="18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Accrual</w:t>
            </w:r>
          </w:p>
        </w:tc>
        <w:tc>
          <w:tcPr>
            <w:tcW w:w="26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Accruing</w:t>
            </w:r>
          </w:p>
        </w:tc>
        <w:tc>
          <w:tcPr>
            <w:tcW w:w="220" w:type="dxa"/>
            <w:vAlign w:val="bottom"/>
          </w:tcPr>
          <w:p>
            <w:pPr>
              <w:spacing w:after="0"/>
              <w:rPr>
                <w:sz w:val="19"/>
                <w:szCs w:val="19"/>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Loans</w:t>
            </w: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September 30, 2025</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 (1)</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13,825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13,825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13,825</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 (2)</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2,377</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1,484</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1,484</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0" w:type="dxa"/>
            <w:vAlign w:val="bottom"/>
          </w:tcPr>
          <w:p>
            <w:pPr>
              <w:spacing w:after="0"/>
              <w:rPr>
                <w:sz w:val="1"/>
                <w:szCs w:val="1"/>
                <w:color w:val="auto"/>
              </w:rPr>
            </w:pPr>
          </w:p>
        </w:tc>
      </w:tr>
      <w:tr>
        <w:trPr>
          <w:trHeight w:val="237"/>
        </w:trPr>
        <w:tc>
          <w:tcPr>
            <w:tcW w:w="35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16,352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20,355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20,355</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2024</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 (1)</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 (2)</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2,425</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0" w:type="dxa"/>
            <w:vAlign w:val="bottom"/>
          </w:tcPr>
          <w:p>
            <w:pPr>
              <w:spacing w:after="0"/>
              <w:rPr>
                <w:sz w:val="1"/>
                <w:szCs w:val="1"/>
                <w:color w:val="auto"/>
              </w:rPr>
            </w:pPr>
          </w:p>
        </w:tc>
      </w:tr>
      <w:tr>
        <w:trPr>
          <w:trHeight w:val="237"/>
        </w:trPr>
        <w:tc>
          <w:tcPr>
            <w:tcW w:w="35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6,002</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320" w:hanging="317"/>
        <w:spacing w:after="0" w:line="263" w:lineRule="auto"/>
        <w:tabs>
          <w:tab w:leader="none" w:pos="31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Non-performing commercial and industrial loans exclude zero and $0.005 million of government guaranteed loans at September 30, 2025 and December 31, 2024, respectively.</w:t>
      </w:r>
    </w:p>
    <w:p>
      <w:pPr>
        <w:ind w:left="320" w:hanging="317"/>
        <w:spacing w:after="0" w:line="266" w:lineRule="auto"/>
        <w:tabs>
          <w:tab w:leader="none" w:pos="31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Non-performing 1-4 family owner occupied – non jumbo loans exclude $2.243 million and $1.785 million of government guaranteed loans at September 30, 2025 and December 31, 2024, respectively.</w:t>
      </w:r>
    </w:p>
    <w:p>
      <w:pPr>
        <w:spacing w:after="0" w:line="29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following table provides collateral information by class of loan for collateral-dependent loans with specific allocations of the ACL. A loan is considered to be collateral dependent when the borrower is experiencing financial difficulty and the repayment is expected to be provided substantially through the operation or sale of collateral.</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The amortized cost of collateral-dependent loans by class follows: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6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gridSpan w:val="4"/>
          </w:tcPr>
          <w:p>
            <w:pPr>
              <w:jc w:val="right"/>
              <w:ind w:right="914"/>
              <w:spacing w:after="0"/>
              <w:rPr>
                <w:sz w:val="20"/>
                <w:szCs w:val="20"/>
                <w:color w:val="auto"/>
              </w:rPr>
            </w:pPr>
            <w:r>
              <w:rPr>
                <w:rFonts w:ascii="Times New Roman" w:cs="Times New Roman" w:eastAsia="Times New Roman" w:hAnsi="Times New Roman"/>
                <w:sz w:val="17"/>
                <w:szCs w:val="17"/>
                <w:color w:val="auto"/>
              </w:rPr>
              <w:t>Collateral Type</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Allowance</w:t>
            </w:r>
          </w:p>
        </w:tc>
        <w:tc>
          <w:tcPr>
            <w:tcW w:w="0" w:type="dxa"/>
            <w:vAlign w:val="bottom"/>
          </w:tcPr>
          <w:p>
            <w:pPr>
              <w:spacing w:after="0"/>
              <w:rPr>
                <w:sz w:val="1"/>
                <w:szCs w:val="1"/>
                <w:color w:val="auto"/>
              </w:rPr>
            </w:pPr>
          </w:p>
        </w:tc>
      </w:tr>
      <w:tr>
        <w:trPr>
          <w:trHeight w:val="42"/>
        </w:trPr>
        <w:tc>
          <w:tcPr>
            <w:tcW w:w="66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vMerge w:val="restart"/>
          </w:tcPr>
          <w:p>
            <w:pPr>
              <w:jc w:val="right"/>
              <w:ind w:right="554"/>
              <w:spacing w:after="0"/>
              <w:rPr>
                <w:sz w:val="20"/>
                <w:szCs w:val="20"/>
                <w:color w:val="auto"/>
              </w:rPr>
            </w:pPr>
            <w:r>
              <w:rPr>
                <w:rFonts w:ascii="Times New Roman" w:cs="Times New Roman" w:eastAsia="Times New Roman" w:hAnsi="Times New Roman"/>
                <w:sz w:val="17"/>
                <w:szCs w:val="17"/>
                <w:color w:val="auto"/>
              </w:rPr>
              <w:t>for</w:t>
            </w:r>
          </w:p>
        </w:tc>
        <w:tc>
          <w:tcPr>
            <w:tcW w:w="0" w:type="dxa"/>
            <w:vAlign w:val="bottom"/>
          </w:tcPr>
          <w:p>
            <w:pPr>
              <w:spacing w:after="0"/>
              <w:rPr>
                <w:sz w:val="1"/>
                <w:szCs w:val="1"/>
                <w:color w:val="auto"/>
              </w:rPr>
            </w:pPr>
          </w:p>
        </w:tc>
      </w:tr>
      <w:tr>
        <w:trPr>
          <w:trHeight w:val="160"/>
        </w:trPr>
        <w:tc>
          <w:tcPr>
            <w:tcW w:w="6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jc w:val="center"/>
              <w:ind w:right="400"/>
              <w:spacing w:after="0" w:line="161" w:lineRule="exact"/>
              <w:rPr>
                <w:sz w:val="20"/>
                <w:szCs w:val="20"/>
                <w:color w:val="auto"/>
              </w:rPr>
            </w:pPr>
            <w:r>
              <w:rPr>
                <w:rFonts w:ascii="Times New Roman" w:cs="Times New Roman" w:eastAsia="Times New Roman" w:hAnsi="Times New Roman"/>
                <w:sz w:val="17"/>
                <w:szCs w:val="17"/>
                <w:color w:val="auto"/>
              </w:rPr>
              <w:t>Real</w:t>
            </w: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6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7"/>
                <w:szCs w:val="17"/>
                <w:color w:val="auto"/>
              </w:rPr>
              <w:t>Estate</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Other (1)</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Credit Losses</w:t>
            </w:r>
          </w:p>
        </w:tc>
        <w:tc>
          <w:tcPr>
            <w:tcW w:w="0" w:type="dxa"/>
            <w:vAlign w:val="bottom"/>
          </w:tcPr>
          <w:p>
            <w:pPr>
              <w:spacing w:after="0"/>
              <w:rPr>
                <w:sz w:val="1"/>
                <w:szCs w:val="1"/>
                <w:color w:val="auto"/>
              </w:rPr>
            </w:pPr>
          </w:p>
        </w:tc>
      </w:tr>
      <w:tr>
        <w:trPr>
          <w:trHeight w:val="216"/>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September 30, 2025</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(In thousands)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1,481</w:t>
            </w: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15,012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3,459</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3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3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37"/>
        </w:trPr>
        <w:tc>
          <w:tcPr>
            <w:tcW w:w="66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21,110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December 31, 2024</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6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1,647</w:t>
            </w: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3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3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3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37"/>
        </w:trPr>
        <w:tc>
          <w:tcPr>
            <w:tcW w:w="66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5700" w:right="2520" w:hanging="5697"/>
        <w:spacing w:after="0" w:line="698" w:lineRule="auto"/>
        <w:tabs>
          <w:tab w:leader="none" w:pos="25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 and industrial loan collateral generally includes machinery and equipment, accounts receivable, and inventory.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-183515</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An aging analysis of loans by class follows: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3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7"/>
                <w:szCs w:val="17"/>
                <w:color w:val="auto"/>
              </w:rPr>
              <w:t>Loans Past Due</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Loans not</w:t>
            </w:r>
          </w:p>
        </w:tc>
        <w:tc>
          <w:tcPr>
            <w:tcW w:w="260" w:type="dxa"/>
            <w:vAlign w:val="bottom"/>
          </w:tcPr>
          <w:p>
            <w:pPr>
              <w:spacing w:after="0"/>
              <w:rPr>
                <w:sz w:val="24"/>
                <w:szCs w:val="24"/>
                <w:color w:val="auto"/>
              </w:rPr>
            </w:pPr>
          </w:p>
        </w:tc>
        <w:tc>
          <w:tcPr>
            <w:tcW w:w="98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38"/>
        </w:trPr>
        <w:tc>
          <w:tcPr>
            <w:tcW w:w="3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30-59 days</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60-89 days</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color w:val="auto"/>
              </w:rPr>
              <w:t>90+ days</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Past Due</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Loans</w:t>
            </w:r>
          </w:p>
        </w:tc>
        <w:tc>
          <w:tcPr>
            <w:tcW w:w="0" w:type="dxa"/>
            <w:vAlign w:val="bottom"/>
          </w:tcPr>
          <w:p>
            <w:pPr>
              <w:spacing w:after="0"/>
              <w:rPr>
                <w:sz w:val="1"/>
                <w:szCs w:val="1"/>
                <w:color w:val="auto"/>
              </w:rPr>
            </w:pPr>
          </w:p>
        </w:tc>
      </w:tr>
      <w:tr>
        <w:trPr>
          <w:trHeight w:val="216"/>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September 30, 2025</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5"/>
          </w:tcPr>
          <w:p>
            <w:pPr>
              <w:ind w:left="600"/>
              <w:spacing w:after="0"/>
              <w:rPr>
                <w:sz w:val="20"/>
                <w:szCs w:val="20"/>
                <w:color w:val="auto"/>
              </w:rPr>
            </w:pPr>
            <w:r>
              <w:rPr>
                <w:rFonts w:ascii="Times New Roman" w:cs="Times New Roman" w:eastAsia="Times New Roman" w:hAnsi="Times New Roman"/>
                <w:sz w:val="17"/>
                <w:szCs w:val="17"/>
                <w:color w:val="auto"/>
              </w:rPr>
              <w:t>(In thousands)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1,118,967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1,118,967</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1,006,086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1,006,086</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875,248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878,803</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284,743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288,620</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169,001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169,238</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151,749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153,190</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27,633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27,805</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278,853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279,405</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199,274</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200,344</w:t>
            </w:r>
          </w:p>
        </w:tc>
        <w:tc>
          <w:tcPr>
            <w:tcW w:w="0" w:type="dxa"/>
            <w:vAlign w:val="bottom"/>
          </w:tcPr>
          <w:p>
            <w:pPr>
              <w:spacing w:after="0"/>
              <w:rPr>
                <w:sz w:val="1"/>
                <w:szCs w:val="1"/>
                <w:color w:val="auto"/>
              </w:rPr>
            </w:pPr>
          </w:p>
        </w:tc>
      </w:tr>
      <w:tr>
        <w:trPr>
          <w:trHeight w:val="258"/>
        </w:trPr>
        <w:tc>
          <w:tcPr>
            <w:tcW w:w="34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75,276</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75,825</w:t>
            </w:r>
          </w:p>
        </w:tc>
        <w:tc>
          <w:tcPr>
            <w:tcW w:w="0" w:type="dxa"/>
            <w:vAlign w:val="bottom"/>
          </w:tcPr>
          <w:p>
            <w:pPr>
              <w:spacing w:after="0"/>
              <w:rPr>
                <w:sz w:val="1"/>
                <w:szCs w:val="1"/>
                <w:color w:val="auto"/>
              </w:rPr>
            </w:pPr>
          </w:p>
        </w:tc>
      </w:tr>
      <w:tr>
        <w:trPr>
          <w:trHeight w:val="237"/>
        </w:trPr>
        <w:tc>
          <w:tcPr>
            <w:tcW w:w="3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11,453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4,186,830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4,198,283</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14,089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14,157</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December 31, 2024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1,001,197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1,001,329</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936,035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936,035</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872,652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875,551</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292,893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299,142</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176,621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176,950</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132,888</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133,947</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30,993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31,136</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263,874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264,341</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223,330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224,537</w:t>
            </w:r>
          </w:p>
        </w:tc>
        <w:tc>
          <w:tcPr>
            <w:tcW w:w="0" w:type="dxa"/>
            <w:vAlign w:val="bottom"/>
          </w:tcPr>
          <w:p>
            <w:pPr>
              <w:spacing w:after="0"/>
              <w:rPr>
                <w:sz w:val="1"/>
                <w:szCs w:val="1"/>
                <w:color w:val="auto"/>
              </w:rPr>
            </w:pPr>
          </w:p>
        </w:tc>
      </w:tr>
      <w:tr>
        <w:trPr>
          <w:trHeight w:val="258"/>
        </w:trPr>
        <w:tc>
          <w:tcPr>
            <w:tcW w:w="34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95,443</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95,857</w:t>
            </w:r>
          </w:p>
        </w:tc>
        <w:tc>
          <w:tcPr>
            <w:tcW w:w="0" w:type="dxa"/>
            <w:vAlign w:val="bottom"/>
          </w:tcPr>
          <w:p>
            <w:pPr>
              <w:spacing w:after="0"/>
              <w:rPr>
                <w:sz w:val="1"/>
                <w:szCs w:val="1"/>
                <w:color w:val="auto"/>
              </w:rPr>
            </w:pPr>
          </w:p>
        </w:tc>
      </w:tr>
      <w:tr>
        <w:trPr>
          <w:trHeight w:val="237"/>
        </w:trPr>
        <w:tc>
          <w:tcPr>
            <w:tcW w:w="3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12,899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4,025,926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4,038,825</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40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Accrued interest excluded from total</w:t>
            </w:r>
          </w:p>
        </w:tc>
        <w:tc>
          <w:tcPr>
            <w:tcW w:w="1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65</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44</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13,352</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54"/>
              <w:spacing w:after="0" w:line="191"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13,461</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three months ended September 30, 2025 there were no loans modified to a borrower experiencing financial difficulty.</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During the nine months ended September 30, 2025 there were two mortgage - 1-4 family owner occupied - non-jumbo loans modified to borrowers experiencing financial difficulty totaling $0.10 million (0.1% of the total loan class). Both of the loan modifications to borrowers experiencing financial difficulty during the nine months ended September 30, 2025 related to term extensions and added a weighted average 12.0 years to the life of the loans. One of the loans modified during the nine months ended September 30, 2025 also received a 4.75% interest rate reduction. Both of the loans modified during the nine months ended September 30, 2025 were on non-accrual status.</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the three months ended September 30, 2024 there was one mortgage - 1-4 family owner occupied - non-jumbo loan modification to a borrower experiencing financial difficulty totaling $0.08 million (0.1% of the total loan class). The modification during the three months ended September 30, 2024 related to a term extension that added a weighted average 2.1 years to the life of the loan.</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During the nine months ended September 30, 2024 there were five mortgage - 1-4 family owner occupied - non-jumbo loans, one mortgage 1-4 family - 2nd lien loan, and one installment - other loan modified to borrowers experiencing financial difficulty totaling $0.51 million (0.1% of the total loan class), $0.07 million (0.1% of the total loan class), and $0.01 million (0.1% of the total loan class), respectively. All of the loan modifications to borrowers experiencing financial difficulty during the nine months ended September 30, 2024 related to term extensions and added a weighted average 2.1 years to the life of the loans. All of the loans modified during the nine months ended September 30, 2024 were on non-accrual status.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September 30, 2025, none of the loans that were modified to borrowers experiencing financial difficulty within the past 12 months have subsequently defaulted.</w:t>
      </w:r>
    </w:p>
    <w:p>
      <w:pPr>
        <w:spacing w:after="0" w:line="1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 loan is generally considered to be in payment default once it is 90 days contractually past due under the modified terms for commercial loans and installment loans and when four consecutive payments are missed for mortgage loans.</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1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Credit Quality Indicators </w:t>
      </w:r>
      <w:r>
        <w:rPr>
          <w:rFonts w:ascii="Times New Roman" w:cs="Times New Roman" w:eastAsia="Times New Roman" w:hAnsi="Times New Roman"/>
          <w:sz w:val="17"/>
          <w:szCs w:val="17"/>
          <w:color w:val="auto"/>
        </w:rPr>
        <w:t>– As part of our on-going monitoring of the credit quality of our loan portfolios, we track certain credit quality indicators including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risk grade of commercial loans, (b) the level of classified commercial loans, (c) credit scores of mortgage and installment loan borrowers, and (d) delinquency history and non-performing loans.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commercial loans, we use a loan rating system that is similar to those employed by state and federal banking regulators. Loans are graded on a scale of 1 to 12.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description of the general characteristics of the ratings follows:</w:t>
      </w:r>
    </w:p>
    <w:p>
      <w:pPr>
        <w:spacing w:after="0" w:line="15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Rating 1 through 6</w:t>
      </w:r>
      <w:r>
        <w:rPr>
          <w:rFonts w:ascii="Times New Roman" w:cs="Times New Roman" w:eastAsia="Times New Roman" w:hAnsi="Times New Roman"/>
          <w:sz w:val="17"/>
          <w:szCs w:val="17"/>
          <w:color w:val="auto"/>
        </w:rPr>
        <w:t>: These loans are generally referred to as our “non-watch” commercial credits that include very high or exceptional credit fundamentals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acceptable credit fundamentals.</w:t>
      </w:r>
    </w:p>
    <w:p>
      <w:pPr>
        <w:spacing w:after="0" w:line="10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Rating 7 and 8</w:t>
      </w:r>
      <w:r>
        <w:rPr>
          <w:rFonts w:ascii="Times New Roman" w:cs="Times New Roman" w:eastAsia="Times New Roman" w:hAnsi="Times New Roman"/>
          <w:sz w:val="17"/>
          <w:szCs w:val="17"/>
          <w:color w:val="auto"/>
        </w:rPr>
        <w:t>: These loans are generally referred to as our “watch” commercial credits. These ratings include loans to borrowers that exhibit potential credit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weakness or downward trends. If not checked or cured these trends could weaken our asset or credit position. While potentially weak, no loss of principal or interest is envisioned with these ratings.</w:t>
      </w:r>
    </w:p>
    <w:p>
      <w:pPr>
        <w:spacing w:after="0" w:line="13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Rating 9</w:t>
      </w:r>
      <w:r>
        <w:rPr>
          <w:rFonts w:ascii="Times New Roman" w:cs="Times New Roman" w:eastAsia="Times New Roman" w:hAnsi="Times New Roman"/>
          <w:sz w:val="17"/>
          <w:szCs w:val="17"/>
          <w:color w:val="auto"/>
        </w:rPr>
        <w:t>: These loans are generally referred to as our “substandard accruing” commercial credits. This rating includes loans to borrowers that exhibit a well-defined weakness where payment default is probable and loss is possible if deficiencies are not corrected. Generally, loans with this rating are considered collectible as to both principal and interest primarily due to collateral coverage.</w:t>
      </w:r>
    </w:p>
    <w:p>
      <w:pPr>
        <w:spacing w:after="0" w:line="12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Rating 10 and 11</w:t>
      </w:r>
      <w:r>
        <w:rPr>
          <w:rFonts w:ascii="Times New Roman" w:cs="Times New Roman" w:eastAsia="Times New Roman" w:hAnsi="Times New Roman"/>
          <w:sz w:val="17"/>
          <w:szCs w:val="17"/>
          <w:color w:val="auto"/>
        </w:rPr>
        <w:t>: These loans are generally referred to as our ‘‘substandard - non-accrual’’ and ‘‘doubtful’’ commercial credits. These ratings include loans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borrowers with weaknesses that make collection of the loan in full, on the basis of current facts, conditions and values at best questionable and at worst improbable. All of these loans are placed in non-accrual.</w:t>
      </w:r>
    </w:p>
    <w:p>
      <w:pPr>
        <w:spacing w:after="0" w:line="12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Rating 12</w:t>
      </w:r>
      <w:r>
        <w:rPr>
          <w:rFonts w:ascii="Times New Roman" w:cs="Times New Roman" w:eastAsia="Times New Roman" w:hAnsi="Times New Roman"/>
          <w:sz w:val="17"/>
          <w:szCs w:val="17"/>
          <w:color w:val="auto"/>
        </w:rPr>
        <w:t>: These loans are generally referred to as our “loss” commercial credits. This rating includes loans to borrowers that are deemed incapable of repayment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are charged-off.</w:t>
      </w:r>
    </w:p>
    <w:p>
      <w:pPr>
        <w:spacing w:after="0" w:line="27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summarize loan ratings by loan class for our commercial portfolio loan segment at September 30, 2025 and December 31, 2024:</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color w:val="auto"/>
                <w:w w:val="98"/>
              </w:rPr>
              <w:t>Commercial</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6"/>
        </w:trPr>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5"/>
              </w:rPr>
              <w:t>Revolving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60" w:type="dxa"/>
            <w:vAlign w:val="bottom"/>
            <w:gridSpan w:val="11"/>
            <w:vMerge w:val="restart"/>
          </w:tcPr>
          <w:p>
            <w:pPr>
              <w:ind w:left="24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3"/>
              </w:rPr>
              <w:t>Loans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760" w:type="dxa"/>
            <w:vAlign w:val="bottom"/>
            <w:gridSpan w:val="11"/>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Amortized</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Prior</w:t>
            </w: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Cost Basis</w:t>
            </w:r>
          </w:p>
        </w:tc>
        <w:tc>
          <w:tcPr>
            <w:tcW w:w="220" w:type="dxa"/>
            <w:vAlign w:val="bottom"/>
          </w:tcPr>
          <w:p>
            <w:pPr>
              <w:spacing w:after="0"/>
              <w:rPr>
                <w:sz w:val="16"/>
                <w:szCs w:val="16"/>
                <w:color w:val="auto"/>
              </w:rPr>
            </w:pP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5"/>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color w:val="auto"/>
                <w:w w:val="96"/>
              </w:rPr>
              <w:t>(In thousands)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30, 2025</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134,978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193,874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137,933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115,430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59,345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151,690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297,535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1,090,785</w:t>
            </w: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18,316</w:t>
            </w:r>
          </w:p>
        </w:tc>
        <w:tc>
          <w:tcPr>
            <w:tcW w:w="0" w:type="dxa"/>
            <w:vAlign w:val="bottom"/>
          </w:tcPr>
          <w:p>
            <w:pPr>
              <w:spacing w:after="0"/>
              <w:rPr>
                <w:sz w:val="1"/>
                <w:szCs w:val="1"/>
                <w:color w:val="auto"/>
              </w:rPr>
            </w:pP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9,866</w:t>
            </w: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33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140,781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116,365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158,920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308,609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1,118,967</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3,657</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real estate</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133,658</w:t>
            </w:r>
          </w:p>
        </w:tc>
        <w:tc>
          <w:tcPr>
            <w:tcW w:w="10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165,637</w:t>
            </w:r>
          </w:p>
        </w:tc>
        <w:tc>
          <w:tcPr>
            <w:tcW w:w="10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171,323</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165,496</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70,317</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185,779</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59,315</w:t>
            </w:r>
          </w:p>
        </w:tc>
        <w:tc>
          <w:tcPr>
            <w:tcW w:w="8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951,525</w:t>
            </w:r>
          </w:p>
        </w:tc>
        <w:tc>
          <w:tcPr>
            <w:tcW w:w="0" w:type="dxa"/>
            <w:vAlign w:val="bottom"/>
          </w:tcPr>
          <w:p>
            <w:pPr>
              <w:spacing w:after="0"/>
              <w:rPr>
                <w:sz w:val="1"/>
                <w:szCs w:val="1"/>
                <w:color w:val="auto"/>
              </w:rPr>
            </w:pP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39,546</w:t>
            </w: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0" w:type="dxa"/>
            <w:vAlign w:val="bottom"/>
          </w:tcPr>
          <w:p>
            <w:pPr>
              <w:spacing w:after="0"/>
              <w:rPr>
                <w:sz w:val="1"/>
                <w:szCs w:val="1"/>
                <w:color w:val="auto"/>
              </w:rPr>
            </w:pPr>
          </w:p>
        </w:tc>
      </w:tr>
      <w:tr>
        <w:trPr>
          <w:trHeight w:val="194"/>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13,825</w:t>
            </w:r>
          </w:p>
        </w:tc>
        <w:tc>
          <w:tcPr>
            <w:tcW w:w="0" w:type="dxa"/>
            <w:vAlign w:val="bottom"/>
          </w:tcPr>
          <w:p>
            <w:pPr>
              <w:spacing w:after="0"/>
              <w:rPr>
                <w:sz w:val="1"/>
                <w:szCs w:val="1"/>
                <w:color w:val="auto"/>
              </w:rPr>
            </w:pPr>
          </w:p>
        </w:tc>
      </w:tr>
      <w:tr>
        <w:trPr>
          <w:trHeight w:val="193"/>
        </w:trPr>
        <w:tc>
          <w:tcPr>
            <w:tcW w:w="33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141,890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166,954</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193,645</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182,084</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70,446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191,406</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59,661</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1,006,086</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3,195</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268,636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359,511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309,256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280,926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129,662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337,469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356,850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2,042,310</w:t>
            </w: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57,862</w:t>
            </w:r>
          </w:p>
        </w:tc>
        <w:tc>
          <w:tcPr>
            <w:tcW w:w="0" w:type="dxa"/>
            <w:vAlign w:val="bottom"/>
          </w:tcPr>
          <w:p>
            <w:pPr>
              <w:spacing w:after="0"/>
              <w:rPr>
                <w:sz w:val="1"/>
                <w:szCs w:val="1"/>
                <w:color w:val="auto"/>
              </w:rPr>
            </w:pP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11,056</w:t>
            </w: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13,825</w:t>
            </w:r>
          </w:p>
        </w:tc>
        <w:tc>
          <w:tcPr>
            <w:tcW w:w="0" w:type="dxa"/>
            <w:vAlign w:val="bottom"/>
          </w:tcPr>
          <w:p>
            <w:pPr>
              <w:spacing w:after="0"/>
              <w:rPr>
                <w:sz w:val="1"/>
                <w:szCs w:val="1"/>
                <w:color w:val="auto"/>
              </w:rPr>
            </w:pPr>
          </w:p>
        </w:tc>
      </w:tr>
      <w:tr>
        <w:trPr>
          <w:trHeight w:val="218"/>
        </w:trPr>
        <w:tc>
          <w:tcPr>
            <w:tcW w:w="33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277,014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364,626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334,426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298,449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350,326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368,270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2,125,053</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1,422</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6,852</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3300" w:type="dxa"/>
        <w:tblCellMar>
          <w:top w:w="0" w:type="dxa"/>
          <w:left w:w="0" w:type="dxa"/>
          <w:bottom w:w="0" w:type="dxa"/>
          <w:right w:w="0" w:type="dxa"/>
        </w:tblCellMar>
      </w:tblPr>
      <w:tr>
        <w:trPr>
          <w:trHeight w:val="168"/>
        </w:trPr>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Revolving</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40" w:type="dxa"/>
            <w:vAlign w:val="bottom"/>
          </w:tcPr>
          <w:p>
            <w:pPr>
              <w:spacing w:after="0"/>
              <w:rPr>
                <w:sz w:val="14"/>
                <w:szCs w:val="14"/>
                <w:color w:val="auto"/>
              </w:rPr>
            </w:pPr>
          </w:p>
        </w:tc>
        <w:tc>
          <w:tcPr>
            <w:tcW w:w="3960" w:type="dxa"/>
            <w:vAlign w:val="bottom"/>
            <w:gridSpan w:val="4"/>
            <w:vMerge w:val="restart"/>
          </w:tcPr>
          <w:p>
            <w:pPr>
              <w:jc w:val="right"/>
              <w:ind w:right="391"/>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9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Loans</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4"/>
            <w:vMerge w:val="continue"/>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Amortized</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4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2024</w:t>
            </w:r>
          </w:p>
        </w:tc>
        <w:tc>
          <w:tcPr>
            <w:tcW w:w="98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2023</w:t>
            </w:r>
          </w:p>
        </w:tc>
        <w:tc>
          <w:tcPr>
            <w:tcW w:w="100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2022</w:t>
            </w:r>
          </w:p>
        </w:tc>
        <w:tc>
          <w:tcPr>
            <w:tcW w:w="98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2021</w:t>
            </w:r>
          </w:p>
        </w:tc>
        <w:tc>
          <w:tcPr>
            <w:tcW w:w="100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2020</w:t>
            </w:r>
          </w:p>
        </w:tc>
        <w:tc>
          <w:tcPr>
            <w:tcW w:w="9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Prior</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Cost Basis</w:t>
            </w:r>
          </w:p>
        </w:tc>
        <w:tc>
          <w:tcPr>
            <w:tcW w:w="60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87"/>
              </w:rPr>
              <w:t>Total</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20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84"/>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2"/>
        </w:trPr>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6"/>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183,261</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137,270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142,630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71,225</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72,928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106,086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242,573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955,973</w:t>
            </w:r>
          </w:p>
        </w:tc>
      </w:tr>
      <w:tr>
        <w:trPr>
          <w:trHeight w:val="184"/>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31,732</w:t>
            </w:r>
          </w:p>
        </w:tc>
      </w:tr>
      <w:tr>
        <w:trPr>
          <w:trHeight w:val="22"/>
        </w:trPr>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6"/>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13,570</w:t>
            </w:r>
          </w:p>
        </w:tc>
      </w:tr>
      <w:tr>
        <w:trPr>
          <w:trHeight w:val="184"/>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22"/>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1"/>
        </w:trPr>
        <w:tc>
          <w:tcPr>
            <w:tcW w:w="33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196,302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142,377</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145,523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82,482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78,831</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106,624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249,190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1,001,329</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3,310</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86"/>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real estate</w:t>
            </w: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r>
      <w:tr>
        <w:trPr>
          <w:trHeight w:val="184"/>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142,154</w:t>
            </w:r>
          </w:p>
        </w:tc>
        <w:tc>
          <w:tcPr>
            <w:tcW w:w="8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236,390</w:t>
            </w:r>
          </w:p>
        </w:tc>
        <w:tc>
          <w:tcPr>
            <w:tcW w:w="8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153,321</w:t>
            </w:r>
          </w:p>
        </w:tc>
        <w:tc>
          <w:tcPr>
            <w:tcW w:w="10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75,053</w:t>
            </w:r>
          </w:p>
        </w:tc>
        <w:tc>
          <w:tcPr>
            <w:tcW w:w="80" w:type="dxa"/>
            <w:vAlign w:val="bottom"/>
          </w:tcPr>
          <w:p>
            <w:pPr>
              <w:spacing w:after="0"/>
              <w:rPr>
                <w:sz w:val="15"/>
                <w:szCs w:val="15"/>
                <w:color w:val="auto"/>
              </w:rPr>
            </w:pP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49,969</w:t>
            </w:r>
          </w:p>
        </w:tc>
        <w:tc>
          <w:tcPr>
            <w:tcW w:w="8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166,966</w:t>
            </w:r>
          </w:p>
        </w:tc>
        <w:tc>
          <w:tcPr>
            <w:tcW w:w="10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72,879</w:t>
            </w:r>
          </w:p>
        </w:tc>
        <w:tc>
          <w:tcPr>
            <w:tcW w:w="80" w:type="dxa"/>
            <w:vAlign w:val="bottom"/>
          </w:tcPr>
          <w:p>
            <w:pPr>
              <w:spacing w:after="0"/>
              <w:rPr>
                <w:sz w:val="15"/>
                <w:szCs w:val="15"/>
                <w:color w:val="auto"/>
              </w:rPr>
            </w:pPr>
          </w:p>
        </w:tc>
        <w:tc>
          <w:tcPr>
            <w:tcW w:w="2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896,732</w:t>
            </w:r>
          </w:p>
        </w:tc>
      </w:tr>
      <w:tr>
        <w:trPr>
          <w:trHeight w:val="22"/>
        </w:trPr>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6"/>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38,486</w:t>
            </w:r>
          </w:p>
        </w:tc>
      </w:tr>
      <w:tr>
        <w:trPr>
          <w:trHeight w:val="184"/>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w:t>
            </w:r>
          </w:p>
        </w:tc>
      </w:tr>
      <w:tr>
        <w:trPr>
          <w:trHeight w:val="22"/>
        </w:trPr>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6"/>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33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142,154</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236,390</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169,328</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75,188</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49,969</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172,048</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90,958</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936,035</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3,186</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r>
        <w:trPr>
          <w:trHeight w:val="165"/>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4"/>
        </w:trPr>
        <w:tc>
          <w:tcPr>
            <w:tcW w:w="3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186"/>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325,415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373,660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295,951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146,278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122,897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273,052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315,452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1,852,705</w:t>
            </w: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17,258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70,218</w:t>
            </w: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14,387</w:t>
            </w: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2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218"/>
        </w:trPr>
        <w:tc>
          <w:tcPr>
            <w:tcW w:w="33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338,456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378,767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314,851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157,670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278,672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340,148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1,937,364</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1,322</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6,496</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each of our mortgage and installment portfolio segment classes, we generally monitor credit quality based on the credit scores of the borrowers. These credit scores are generally updated semi-annually.</w:t>
      </w:r>
    </w:p>
    <w:p>
      <w:pPr>
        <w:spacing w:after="0" w:line="2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The following tables summarize credit scores by loan class for our mortgage and installment loan portfolio segments at September 30, 2025 and December 31, 2024:</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ind w:left="620"/>
              <w:spacing w:after="0"/>
              <w:rPr>
                <w:sz w:val="20"/>
                <w:szCs w:val="20"/>
                <w:color w:val="auto"/>
              </w:rPr>
            </w:pPr>
            <w:r>
              <w:rPr>
                <w:rFonts w:ascii="Times New Roman" w:cs="Times New Roman" w:eastAsia="Times New Roman" w:hAnsi="Times New Roman"/>
                <w:sz w:val="14"/>
                <w:szCs w:val="14"/>
                <w:color w:val="auto"/>
              </w:rPr>
              <w:t>Mortgage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3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4"/>
                <w:szCs w:val="14"/>
                <w:color w:val="auto"/>
                <w:w w:val="99"/>
              </w:rPr>
              <w:t>Revolving</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40" w:type="dxa"/>
            <w:vAlign w:val="bottom"/>
            <w:gridSpan w:val="11"/>
            <w:vMerge w:val="restart"/>
          </w:tcPr>
          <w:p>
            <w:pPr>
              <w:ind w:left="22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color w:val="auto"/>
                <w:w w:val="99"/>
              </w:rPr>
              <w:t>Loans</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3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740" w:type="dxa"/>
            <w:vAlign w:val="bottom"/>
            <w:gridSpan w:val="11"/>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vMerge w:val="restart"/>
          </w:tcPr>
          <w:p>
            <w:pPr>
              <w:jc w:val="center"/>
              <w:ind w:right="280"/>
              <w:spacing w:after="0" w:line="116" w:lineRule="exact"/>
              <w:rPr>
                <w:sz w:val="20"/>
                <w:szCs w:val="20"/>
                <w:color w:val="auto"/>
              </w:rPr>
            </w:pPr>
            <w:r>
              <w:rPr>
                <w:rFonts w:ascii="Times New Roman" w:cs="Times New Roman" w:eastAsia="Times New Roman" w:hAnsi="Times New Roman"/>
                <w:sz w:val="13"/>
                <w:szCs w:val="13"/>
                <w:color w:val="auto"/>
              </w:rPr>
              <w:t>Amortized</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30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7"/>
              </w:rPr>
              <w:t>Cost Basis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8"/>
        </w:trPr>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30, 2025</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owner occupied - jumbo</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39,616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59,830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31,923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156,977</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33,679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89,609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184,279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453,844</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16,074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40,329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54,308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31,822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172,664</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15,332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64,435</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18,558</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8,237</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3,365</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0" w:type="dxa"/>
            <w:vAlign w:val="bottom"/>
          </w:tcPr>
          <w:p>
            <w:pPr>
              <w:spacing w:after="0"/>
              <w:rPr>
                <w:sz w:val="1"/>
                <w:szCs w:val="1"/>
                <w:color w:val="auto"/>
              </w:rPr>
            </w:pPr>
          </w:p>
        </w:tc>
      </w:tr>
      <w:tr>
        <w:trPr>
          <w:trHeight w:val="194"/>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0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58,120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62,539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69,784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195,129</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316,489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172,391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4,351</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878,803</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2,734</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owner occupied - non-jumbo</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50,609</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29,361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14,934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119,801</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26,194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60,456</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28,498</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10,733</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9,440</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6,845</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2,238</w:t>
            </w:r>
          </w:p>
        </w:tc>
        <w:tc>
          <w:tcPr>
            <w:tcW w:w="0" w:type="dxa"/>
            <w:vAlign w:val="bottom"/>
          </w:tcPr>
          <w:p>
            <w:pPr>
              <w:spacing w:after="0"/>
              <w:rPr>
                <w:sz w:val="1"/>
                <w:szCs w:val="1"/>
                <w:color w:val="auto"/>
              </w:rPr>
            </w:pPr>
          </w:p>
        </w:tc>
      </w:tr>
      <w:tr>
        <w:trPr>
          <w:trHeight w:val="194"/>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0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14,044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15,436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22,188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59,520</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46,204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105,452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25,776</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288,620</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non-owner occupied</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34,591</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25,707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90,744</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29,476</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10,987</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194"/>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0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12,252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18,669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16,126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24,720</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44,803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48,548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4,120</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169,238</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center"/>
              <w:ind w:left="51"/>
              <w:spacing w:after="0"/>
              <w:rPr>
                <w:sz w:val="20"/>
                <w:szCs w:val="20"/>
                <w:color w:val="auto"/>
              </w:rPr>
            </w:pPr>
            <w:r>
              <w:rPr>
                <w:rFonts w:ascii="Times New Roman" w:cs="Times New Roman" w:eastAsia="Times New Roman" w:hAnsi="Times New Roman"/>
                <w:sz w:val="14"/>
                <w:szCs w:val="14"/>
                <w:color w:val="auto"/>
                <w:w w:val="97"/>
              </w:rPr>
              <w:t>Mortgage - continued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3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20"/>
              <w:spacing w:after="0" w:line="127" w:lineRule="exact"/>
              <w:rPr>
                <w:sz w:val="20"/>
                <w:szCs w:val="20"/>
                <w:color w:val="auto"/>
              </w:rPr>
            </w:pPr>
            <w:r>
              <w:rPr>
                <w:rFonts w:ascii="Times New Roman" w:cs="Times New Roman" w:eastAsia="Times New Roman" w:hAnsi="Times New Roman"/>
                <w:sz w:val="14"/>
                <w:szCs w:val="14"/>
                <w:color w:val="auto"/>
                <w:w w:val="95"/>
              </w:rPr>
              <w:t>Revolving</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60" w:type="dxa"/>
            <w:vAlign w:val="bottom"/>
            <w:gridSpan w:val="11"/>
            <w:vMerge w:val="restart"/>
          </w:tcPr>
          <w:p>
            <w:pPr>
              <w:ind w:left="22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color w:val="auto"/>
                <w:w w:val="93"/>
              </w:rPr>
              <w:t>Loans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760" w:type="dxa"/>
            <w:vAlign w:val="bottom"/>
            <w:gridSpan w:val="11"/>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jc w:val="center"/>
              <w:ind w:right="320"/>
              <w:spacing w:after="0" w:line="116" w:lineRule="exact"/>
              <w:rPr>
                <w:sz w:val="20"/>
                <w:szCs w:val="20"/>
                <w:color w:val="auto"/>
              </w:rPr>
            </w:pPr>
            <w:r>
              <w:rPr>
                <w:rFonts w:ascii="Times New Roman" w:cs="Times New Roman" w:eastAsia="Times New Roman" w:hAnsi="Times New Roman"/>
                <w:sz w:val="13"/>
                <w:szCs w:val="13"/>
                <w:color w:val="auto"/>
              </w:rPr>
              <w:t>Amortized</w:t>
            </w: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9"/>
        </w:trPr>
        <w:tc>
          <w:tcPr>
            <w:tcW w:w="3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Prior</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Cost Basis</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center"/>
              <w:ind w:left="51"/>
              <w:spacing w:after="0"/>
              <w:rPr>
                <w:sz w:val="20"/>
                <w:szCs w:val="20"/>
                <w:color w:val="auto"/>
              </w:rPr>
            </w:pPr>
            <w:r>
              <w:rPr>
                <w:rFonts w:ascii="Times New Roman" w:cs="Times New Roman" w:eastAsia="Times New Roman" w:hAnsi="Times New Roman"/>
                <w:sz w:val="14"/>
                <w:szCs w:val="14"/>
                <w:color w:val="auto"/>
                <w:w w:val="96"/>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30, 2025 - continued</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1-4 family - 2nd lien</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2,067</w:t>
            </w:r>
          </w:p>
        </w:tc>
        <w:tc>
          <w:tcPr>
            <w:tcW w:w="10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16,098</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21,972</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54,000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70,738</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29,196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37,465</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14,881</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3,485</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2,152</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1,984</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30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114,398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153,190</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Resort lending</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3,326</w:t>
            </w:r>
          </w:p>
        </w:tc>
        <w:tc>
          <w:tcPr>
            <w:tcW w:w="10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3,760</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13,963</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4,391</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4,748</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30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27,805</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Mortgage</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15,662</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9,477</w:t>
            </w:r>
          </w:p>
        </w:tc>
        <w:tc>
          <w:tcPr>
            <w:tcW w:w="10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17,462</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57,615</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82,415</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63,323</w:t>
            </w:r>
          </w:p>
        </w:tc>
        <w:tc>
          <w:tcPr>
            <w:tcW w:w="10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21,955</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267,909</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46,370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58,064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57,434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134,401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234,844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146,179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71,798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749,090</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18,607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25,987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57,352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74,486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37,554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304,452</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20,972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20,631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44,876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123,549</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13,453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35,387</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20,872</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12,741</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3,656</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30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284,756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413,830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364,370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148,645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1,517,656</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5,687</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ind w:left="600"/>
              <w:spacing w:after="0"/>
              <w:rPr>
                <w:sz w:val="20"/>
                <w:szCs w:val="20"/>
                <w:color w:val="auto"/>
              </w:rPr>
            </w:pPr>
            <w:r>
              <w:rPr>
                <w:rFonts w:ascii="Times New Roman" w:cs="Times New Roman" w:eastAsia="Times New Roman" w:hAnsi="Times New Roman"/>
                <w:sz w:val="14"/>
                <w:szCs w:val="14"/>
                <w:color w:val="auto"/>
              </w:rPr>
              <w:t>Mortgage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2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color w:val="auto"/>
                <w:w w:val="99"/>
              </w:rPr>
              <w:t>Revolving</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60" w:type="dxa"/>
            <w:vAlign w:val="bottom"/>
            <w:gridSpan w:val="11"/>
            <w:vMerge w:val="restart"/>
          </w:tcPr>
          <w:p>
            <w:pPr>
              <w:ind w:left="22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color w:val="auto"/>
                <w:w w:val="99"/>
              </w:rPr>
              <w:t>Loans</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760" w:type="dxa"/>
            <w:vAlign w:val="bottom"/>
            <w:gridSpan w:val="11"/>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vMerge w:val="restart"/>
          </w:tcPr>
          <w:p>
            <w:pPr>
              <w:jc w:val="center"/>
              <w:ind w:right="280"/>
              <w:spacing w:after="0" w:line="116" w:lineRule="exact"/>
              <w:rPr>
                <w:sz w:val="20"/>
                <w:szCs w:val="20"/>
                <w:color w:val="auto"/>
              </w:rPr>
            </w:pPr>
            <w:r>
              <w:rPr>
                <w:rFonts w:ascii="Times New Roman" w:cs="Times New Roman" w:eastAsia="Times New Roman" w:hAnsi="Times New Roman"/>
                <w:sz w:val="13"/>
                <w:szCs w:val="13"/>
                <w:color w:val="auto"/>
              </w:rPr>
              <w:t>Amortized</w:t>
            </w: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9"/>
        </w:trPr>
        <w:tc>
          <w:tcPr>
            <w:tcW w:w="2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Prior</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7"/>
              </w:rPr>
              <w:t>Cost Basis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owner occupied - jumbo</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37,147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51,242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22,126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142,007</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33,118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43,013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194,725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472,315</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40,219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68,687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166,160</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64,917</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20,336</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7,049</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9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57,391</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81,843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215,052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333,112</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111,309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73,619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3,225</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875,551</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1-4 family owner occupied - non-jumbo</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14,018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43,271</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21,548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119,072</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68,860</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38,417</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11,967</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5,846</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8,616</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3,093</w:t>
            </w: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9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31,345</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22,924</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61,708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47,561</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29,256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85,554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20,794</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299,142</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non-owner occupied</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37,980</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25,543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94,634</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28,791</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12,303</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9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19,943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18,075</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30,352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48,867</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18,394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35,371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5,948</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176,950</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ind w:left="280"/>
              <w:spacing w:after="0"/>
              <w:rPr>
                <w:sz w:val="20"/>
                <w:szCs w:val="20"/>
                <w:color w:val="auto"/>
              </w:rPr>
            </w:pPr>
            <w:r>
              <w:rPr>
                <w:rFonts w:ascii="Times New Roman" w:cs="Times New Roman" w:eastAsia="Times New Roman" w:hAnsi="Times New Roman"/>
                <w:sz w:val="14"/>
                <w:szCs w:val="14"/>
                <w:color w:val="auto"/>
              </w:rPr>
              <w:t>Mortgage - continued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4"/>
                <w:szCs w:val="14"/>
                <w:color w:val="auto"/>
                <w:w w:val="99"/>
              </w:rPr>
              <w:t>Revolving</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60" w:type="dxa"/>
            <w:vAlign w:val="bottom"/>
            <w:gridSpan w:val="11"/>
            <w:vMerge w:val="restart"/>
          </w:tcPr>
          <w:p>
            <w:pPr>
              <w:ind w:left="22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color w:val="auto"/>
                <w:w w:val="99"/>
              </w:rPr>
              <w:t>Loans</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760" w:type="dxa"/>
            <w:vAlign w:val="bottom"/>
            <w:gridSpan w:val="11"/>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vMerge w:val="restart"/>
          </w:tcPr>
          <w:p>
            <w:pPr>
              <w:jc w:val="center"/>
              <w:ind w:right="280"/>
              <w:spacing w:after="0" w:line="116" w:lineRule="exact"/>
              <w:rPr>
                <w:sz w:val="20"/>
                <w:szCs w:val="20"/>
                <w:color w:val="auto"/>
              </w:rPr>
            </w:pPr>
            <w:r>
              <w:rPr>
                <w:rFonts w:ascii="Times New Roman" w:cs="Times New Roman" w:eastAsia="Times New Roman" w:hAnsi="Times New Roman"/>
                <w:sz w:val="13"/>
                <w:szCs w:val="13"/>
                <w:color w:val="auto"/>
              </w:rPr>
              <w:t>Amortized</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7"/>
              </w:rPr>
              <w:t>Cost Basis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8"/>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2024 - (continued)</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1-4 family - 2nd lien</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12,245</w:t>
            </w:r>
          </w:p>
        </w:tc>
        <w:tc>
          <w:tcPr>
            <w:tcW w:w="8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15,669</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44,896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61,606</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26,687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35,179</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14,301</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3,621</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1,942</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98,327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133,947</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Resort lending</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4,079</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4,613</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14,987</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5,331</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4,976</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31,136</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Mortgage</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11,801</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16,111</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58,852</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73,646</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30,580</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35,342</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17,208</w:t>
            </w:r>
          </w:p>
        </w:tc>
        <w:tc>
          <w:tcPr>
            <w:tcW w:w="8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243,540</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60,232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69,204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151,641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245,621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84,979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59,139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762,614</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26,638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24,872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33,440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304,321</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25,049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28,942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134,914</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38,423</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15,198</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12,849</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4,867</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114,265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127,634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313,443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435,959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232,606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128,294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1,516,726</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5,357</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Credit scores have been updated within the last twelve months.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6"/>
              </w:rPr>
              <w:t>Installment (1)</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gridSpan w:val="8"/>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9"/>
        </w:trPr>
        <w:tc>
          <w:tcPr>
            <w:tcW w:w="2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4"/>
                <w:szCs w:val="14"/>
                <w:color w:val="auto"/>
                <w:w w:val="97"/>
              </w:rPr>
              <w:t>Term Loans Amortized Cost Basis by Origination Year</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86"/>
        </w:trPr>
        <w:tc>
          <w:tcPr>
            <w:tcW w:w="2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color w:val="auto"/>
              </w:rPr>
              <w:t>Prior</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Total</w:t>
            </w:r>
          </w:p>
        </w:tc>
      </w:tr>
      <w:tr>
        <w:trPr>
          <w:trHeight w:val="178"/>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(In thousands)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30, 2025</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3"/>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Boat lending</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3"/>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45,126</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22,955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22,194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30,864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154,050</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60,929</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13,610</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3,255</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r>
      <w:tr>
        <w:trPr>
          <w:trHeight w:val="194"/>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800" w:type="dxa"/>
            <w:vAlign w:val="bottom"/>
          </w:tcPr>
          <w:p>
            <w:pPr>
              <w:jc w:val="center"/>
              <w:ind w:right="149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50,732</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40,999</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43,358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45,590</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40,490</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58,236</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279,405</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9"/>
        </w:trPr>
        <w:tc>
          <w:tcPr>
            <w:tcW w:w="2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6"/>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Recreational vehicle lending</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31,227</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30,951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28,395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99,935</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45,478</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14,745</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4,212</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2,648</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r>
      <w:tr>
        <w:trPr>
          <w:trHeight w:val="194"/>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800" w:type="dxa"/>
            <w:vAlign w:val="bottom"/>
          </w:tcPr>
          <w:p>
            <w:pPr>
              <w:jc w:val="center"/>
              <w:ind w:right="149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5,723</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15,632</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20,550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59,109</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59,764</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39,566</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200,344</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891</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9"/>
        </w:trPr>
        <w:tc>
          <w:tcPr>
            <w:tcW w:w="2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6"/>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6,409</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33,836</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22,687</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8,147</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2,076</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r>
      <w:tr>
        <w:trPr>
          <w:trHeight w:val="194"/>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w:t>
            </w:r>
          </w:p>
        </w:tc>
      </w:tr>
      <w:tr>
        <w:trPr>
          <w:trHeight w:val="193"/>
        </w:trPr>
        <w:tc>
          <w:tcPr>
            <w:tcW w:w="2800" w:type="dxa"/>
            <w:vAlign w:val="bottom"/>
          </w:tcPr>
          <w:p>
            <w:pPr>
              <w:jc w:val="center"/>
              <w:ind w:right="149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18,402</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14,973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12,310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11,370</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7,070</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11,700</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75,825</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1,314</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9"/>
        </w:trPr>
        <w:tc>
          <w:tcPr>
            <w:tcW w:w="2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6"/>
        </w:trPr>
        <w:tc>
          <w:tcPr>
            <w:tcW w:w="2800" w:type="dxa"/>
            <w:vAlign w:val="bottom"/>
          </w:tcPr>
          <w:p>
            <w:pPr>
              <w:jc w:val="center"/>
              <w:ind w:right="1451"/>
              <w:spacing w:after="0"/>
              <w:rPr>
                <w:sz w:val="20"/>
                <w:szCs w:val="20"/>
                <w:color w:val="auto"/>
              </w:rPr>
            </w:pPr>
            <w:r>
              <w:rPr>
                <w:rFonts w:ascii="Times New Roman" w:cs="Times New Roman" w:eastAsia="Times New Roman" w:hAnsi="Times New Roman"/>
                <w:sz w:val="14"/>
                <w:szCs w:val="14"/>
                <w:color w:val="auto"/>
                <w:w w:val="96"/>
              </w:rPr>
              <w:t>Total installment</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82,762</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58,930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53,547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54,365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287,821</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26,651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25,846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129,094</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36,502</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9,543</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5,197</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3,030</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w:t>
            </w:r>
          </w:p>
        </w:tc>
      </w:tr>
      <w:tr>
        <w:trPr>
          <w:trHeight w:val="194"/>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w:t>
            </w:r>
          </w:p>
        </w:tc>
      </w:tr>
      <w:tr>
        <w:trPr>
          <w:trHeight w:val="193"/>
        </w:trPr>
        <w:tc>
          <w:tcPr>
            <w:tcW w:w="2800" w:type="dxa"/>
            <w:vAlign w:val="bottom"/>
          </w:tcPr>
          <w:p>
            <w:pPr>
              <w:jc w:val="center"/>
              <w:ind w:right="149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74,857</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71,604</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76,218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116,069</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107,324</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109,502</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555,574</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2,572</w:t>
            </w:r>
          </w:p>
        </w:tc>
      </w:tr>
      <w:tr>
        <w:trPr>
          <w:trHeight w:val="20"/>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gridSpan w:val="6"/>
          </w:tcPr>
          <w:p>
            <w:pPr>
              <w:jc w:val="right"/>
              <w:ind w:right="91"/>
              <w:spacing w:after="0"/>
              <w:rPr>
                <w:sz w:val="20"/>
                <w:szCs w:val="20"/>
                <w:color w:val="auto"/>
              </w:rPr>
            </w:pPr>
            <w:r>
              <w:rPr>
                <w:rFonts w:ascii="Times New Roman" w:cs="Times New Roman" w:eastAsia="Times New Roman" w:hAnsi="Times New Roman"/>
                <w:sz w:val="14"/>
                <w:szCs w:val="14"/>
                <w:color w:val="auto"/>
              </w:rPr>
              <w:t>Installment - continued (1)</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
        </w:trPr>
        <w:tc>
          <w:tcPr>
            <w:tcW w:w="2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gridSpan w:val="8"/>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9"/>
        </w:trPr>
        <w:tc>
          <w:tcPr>
            <w:tcW w:w="2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4"/>
                <w:szCs w:val="14"/>
                <w:color w:val="auto"/>
                <w:w w:val="97"/>
              </w:rPr>
              <w:t>Term Loans Amortized Cost Basis by Origination Year</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86"/>
        </w:trPr>
        <w:tc>
          <w:tcPr>
            <w:tcW w:w="2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4"/>
                <w:szCs w:val="14"/>
                <w:color w:val="auto"/>
                <w:w w:val="99"/>
              </w:rPr>
              <w:t>2021</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color w:val="auto"/>
              </w:rPr>
              <w:t>Prior</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Total</w:t>
            </w:r>
          </w:p>
        </w:tc>
      </w:tr>
      <w:tr>
        <w:trPr>
          <w:trHeight w:val="178"/>
        </w:trPr>
        <w:tc>
          <w:tcPr>
            <w:tcW w:w="2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(In thousands)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3"/>
        </w:trPr>
        <w:tc>
          <w:tcPr>
            <w:tcW w:w="2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Boat lending</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
        </w:trPr>
        <w:tc>
          <w:tcPr>
            <w:tcW w:w="2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3"/>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41,141</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24,858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26,792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147,355</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55,347</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14,847</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3,333</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r>
      <w:tr>
        <w:trPr>
          <w:trHeight w:val="194"/>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780" w:type="dxa"/>
            <w:vAlign w:val="bottom"/>
          </w:tcPr>
          <w:p>
            <w:pPr>
              <w:jc w:val="center"/>
              <w:ind w:right="147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47,095</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48,938</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52,414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45,533</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20,848</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49,513</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264,341</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9"/>
        </w:trPr>
        <w:tc>
          <w:tcPr>
            <w:tcW w:w="2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6"/>
        </w:trPr>
        <w:tc>
          <w:tcPr>
            <w:tcW w:w="2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Recreational vehicle lending</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37,776</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32,266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111,161</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49,738</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15,634</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5,451</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2,292</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r>
      <w:tr>
        <w:trPr>
          <w:trHeight w:val="194"/>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780" w:type="dxa"/>
            <w:vAlign w:val="bottom"/>
          </w:tcPr>
          <w:p>
            <w:pPr>
              <w:jc w:val="center"/>
              <w:ind w:right="147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18,619</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23,741</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65,682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67,126</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18,928</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30,441</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224,537</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9"/>
        </w:trPr>
        <w:tc>
          <w:tcPr>
            <w:tcW w:w="2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6"/>
        </w:trPr>
        <w:tc>
          <w:tcPr>
            <w:tcW w:w="2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6,861</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36,295</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31,084</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16,575</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r>
      <w:tr>
        <w:trPr>
          <w:trHeight w:val="194"/>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r>
      <w:tr>
        <w:trPr>
          <w:trHeight w:val="193"/>
        </w:trPr>
        <w:tc>
          <w:tcPr>
            <w:tcW w:w="2780" w:type="dxa"/>
            <w:vAlign w:val="bottom"/>
          </w:tcPr>
          <w:p>
            <w:pPr>
              <w:jc w:val="center"/>
              <w:ind w:right="147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37,652</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16,779</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16,069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10,260</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4,549</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10,548</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95,857</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1,327</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1,604</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9"/>
        </w:trPr>
        <w:tc>
          <w:tcPr>
            <w:tcW w:w="2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6"/>
        </w:trPr>
        <w:tc>
          <w:tcPr>
            <w:tcW w:w="2780" w:type="dxa"/>
            <w:vAlign w:val="bottom"/>
          </w:tcPr>
          <w:p>
            <w:pPr>
              <w:jc w:val="center"/>
              <w:ind w:right="1431"/>
              <w:spacing w:after="0"/>
              <w:rPr>
                <w:sz w:val="20"/>
                <w:szCs w:val="20"/>
                <w:color w:val="auto"/>
              </w:rPr>
            </w:pPr>
            <w:r>
              <w:rPr>
                <w:rFonts w:ascii="Times New Roman" w:cs="Times New Roman" w:eastAsia="Times New Roman" w:hAnsi="Times New Roman"/>
                <w:sz w:val="14"/>
                <w:szCs w:val="14"/>
                <w:color w:val="auto"/>
                <w:w w:val="96"/>
              </w:rPr>
              <w:t>Total installment</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85,778</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46,786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68,956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61,856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23,015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294,811</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31,311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19,658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27,972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136,169</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47,056</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11,090</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4,745</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3,576</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w:t>
            </w:r>
          </w:p>
        </w:tc>
      </w:tr>
      <w:tr>
        <w:trPr>
          <w:trHeight w:val="194"/>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r>
      <w:tr>
        <w:trPr>
          <w:trHeight w:val="193"/>
        </w:trPr>
        <w:tc>
          <w:tcPr>
            <w:tcW w:w="2780" w:type="dxa"/>
            <w:vAlign w:val="bottom"/>
          </w:tcPr>
          <w:p>
            <w:pPr>
              <w:jc w:val="center"/>
              <w:ind w:right="147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103,366</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89,458</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134,165</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122,919</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44,325</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90,502</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584,735</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1,327</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2,420</w:t>
            </w:r>
          </w:p>
        </w:tc>
      </w:tr>
      <w:tr>
        <w:trPr>
          <w:trHeight w:val="20"/>
        </w:trPr>
        <w:tc>
          <w:tcPr>
            <w:tcW w:w="2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Credit scores have been updated within the last twelve months.</w:t>
      </w:r>
    </w:p>
    <w:p>
      <w:pPr>
        <w:sectPr>
          <w:pgSz w:w="11900" w:h="16838" w:orient="portrait"/>
          <w:cols w:equalWidth="0" w:num="1">
            <w:col w:w="11240"/>
          </w:cols>
          <w:pgMar w:left="320" w:top="119" w:right="339" w:bottom="1440" w:gutter="0" w:footer="0" w:header="0"/>
        </w:sectPr>
      </w:pP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Foreclosed residential real estate properties included in other real estate and repossessed assets, net on our interim Condensed Consolidated Statements of Financial Condition totaled $0.3 million and $0.9 million at September 30, 2025 and December 31, 2024, respectively. Retail mortgage loans secured by residential real estate properties for which formal foreclosure proceedings are in process according to local requirements totaled $2.4 million and $2.0 million at September 30, 2025 and December 31, 2024,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three and nine month periods ended September 30, 2025, we sold $4.5 million and $19.9 million, respectively, of portfolio residential mortgage loans</w:t>
      </w:r>
    </w:p>
    <w:p>
      <w:pPr>
        <w:spacing w:after="0" w:line="2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7"/>
          <w:szCs w:val="17"/>
          <w:color w:val="auto"/>
        </w:rPr>
        <w:t xml:space="preserve">servicing retained and recognized a gain on sale of $0.07 million </w:t>
      </w:r>
      <w:r>
        <w:rPr>
          <w:rFonts w:ascii="Times New Roman" w:cs="Times New Roman" w:eastAsia="Times New Roman" w:hAnsi="Times New Roman"/>
          <w:sz w:val="20"/>
          <w:szCs w:val="20"/>
          <w:color w:val="auto"/>
        </w:rPr>
        <w:t>and</w:t>
      </w:r>
      <w:r>
        <w:rPr>
          <w:rFonts w:ascii="Times New Roman" w:cs="Times New Roman" w:eastAsia="Times New Roman" w:hAnsi="Times New Roman"/>
          <w:sz w:val="17"/>
          <w:szCs w:val="17"/>
          <w:color w:val="auto"/>
        </w:rPr>
        <w:t xml:space="preserve"> $0.37 million, respectively. During the three and nine month periods ended September 30, 2024, we sold $6.6 million and $14.7 million, respectively, of portfolio residential mortgage loans servicing retained and recognized a gain on sale of $0.12 million and $0.25 million, respectively. These gains are included in net gains (losses) on assets - mortgage loans on our interim Condensed Consolidated Statements of Operations. These transactions were done primarily for asset/liability management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ind w:left="300" w:hanging="297"/>
        <w:spacing w:after="0"/>
        <w:tabs>
          <w:tab w:leader="none" w:pos="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Shareholders’ Equity and Earnings Per Common Share</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December 17, 2024, our Board of Directors authorized a share repurchase plan (the “Repurchase Plan”) to buy back up to 1,100,000 shares of our outstanding common stock through December 31, 2025. Shares would be repurchased through open market transactions, though we could execute repurchases through other means, such as privately negotiated transactions. The timing and amount of any share repurchases will depend on a variety of factors, including, among others, securities law restrictions, the trading price of our common stock, regulatory requirements, potential alternative uses for capital, and our financial performance. During the three and nine month periods ended September 30, 2025 we repurchased 13,732 and 266,008 shares of common stock, respectively for an aggregate purchase price of $0.41 million and $7.77 million, respectively. During the nine month period ended September 30, 2024 there were no shares of common stock repurchased.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of basic and diluted net income per common share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7"/>
                <w:szCs w:val="17"/>
                <w:color w:val="auto"/>
              </w:rPr>
            </w:pPr>
          </w:p>
        </w:tc>
        <w:tc>
          <w:tcPr>
            <w:tcW w:w="3140" w:type="dxa"/>
            <w:vAlign w:val="bottom"/>
            <w:gridSpan w:val="6"/>
          </w:tcPr>
          <w:p>
            <w:pPr>
              <w:ind w:left="800"/>
              <w:spacing w:after="0"/>
              <w:rPr>
                <w:sz w:val="20"/>
                <w:szCs w:val="20"/>
                <w:color w:val="auto"/>
              </w:rPr>
            </w:pPr>
            <w:r>
              <w:rPr>
                <w:rFonts w:ascii="Times New Roman" w:cs="Times New Roman" w:eastAsia="Times New Roman" w:hAnsi="Times New Roman"/>
                <w:sz w:val="17"/>
                <w:szCs w:val="17"/>
                <w:color w:val="auto"/>
              </w:rPr>
              <w:t>Three Months Ended</w:t>
            </w:r>
          </w:p>
        </w:tc>
        <w:tc>
          <w:tcPr>
            <w:tcW w:w="520" w:type="dxa"/>
            <w:vAlign w:val="bottom"/>
          </w:tcPr>
          <w:p>
            <w:pPr>
              <w:spacing w:after="0"/>
              <w:rPr>
                <w:sz w:val="17"/>
                <w:szCs w:val="17"/>
                <w:color w:val="auto"/>
              </w:rPr>
            </w:pPr>
          </w:p>
        </w:tc>
        <w:tc>
          <w:tcPr>
            <w:tcW w:w="2540" w:type="dxa"/>
            <w:vAlign w:val="bottom"/>
            <w:gridSpan w:val="4"/>
          </w:tcPr>
          <w:p>
            <w:pPr>
              <w:jc w:val="right"/>
              <w:ind w:right="754"/>
              <w:spacing w:after="0"/>
              <w:rPr>
                <w:sz w:val="20"/>
                <w:szCs w:val="20"/>
                <w:color w:val="auto"/>
              </w:rPr>
            </w:pPr>
            <w:r>
              <w:rPr>
                <w:rFonts w:ascii="Times New Roman" w:cs="Times New Roman" w:eastAsia="Times New Roman" w:hAnsi="Times New Roman"/>
                <w:sz w:val="17"/>
                <w:szCs w:val="17"/>
                <w:color w:val="auto"/>
              </w:rPr>
              <w:t>Nine Months Ended</w:t>
            </w:r>
          </w:p>
        </w:tc>
        <w:tc>
          <w:tcPr>
            <w:tcW w:w="0" w:type="dxa"/>
            <w:vAlign w:val="bottom"/>
          </w:tcPr>
          <w:p>
            <w:pPr>
              <w:spacing w:after="0"/>
              <w:rPr>
                <w:sz w:val="1"/>
                <w:szCs w:val="1"/>
                <w:color w:val="auto"/>
              </w:rPr>
            </w:pPr>
          </w:p>
        </w:tc>
      </w:tr>
      <w:tr>
        <w:trPr>
          <w:trHeight w:val="219"/>
        </w:trPr>
        <w:tc>
          <w:tcPr>
            <w:tcW w:w="5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September 30,</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September 30,</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c>
          <w:tcPr>
            <w:tcW w:w="0" w:type="dxa"/>
            <w:vAlign w:val="bottom"/>
          </w:tcPr>
          <w:p>
            <w:pPr>
              <w:spacing w:after="0"/>
              <w:rPr>
                <w:sz w:val="1"/>
                <w:szCs w:val="1"/>
                <w:color w:val="auto"/>
              </w:rPr>
            </w:pPr>
          </w:p>
        </w:tc>
      </w:tr>
      <w:tr>
        <w:trPr>
          <w:trHeight w:val="170"/>
        </w:trPr>
        <w:tc>
          <w:tcPr>
            <w:tcW w:w="5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40" w:type="dxa"/>
            <w:vAlign w:val="bottom"/>
            <w:gridSpan w:val="5"/>
          </w:tcPr>
          <w:p>
            <w:pPr>
              <w:ind w:left="300"/>
              <w:spacing w:after="0" w:line="170" w:lineRule="exact"/>
              <w:rPr>
                <w:sz w:val="20"/>
                <w:szCs w:val="20"/>
                <w:color w:val="auto"/>
              </w:rPr>
            </w:pPr>
            <w:r>
              <w:rPr>
                <w:rFonts w:ascii="Times New Roman" w:cs="Times New Roman" w:eastAsia="Times New Roman" w:hAnsi="Times New Roman"/>
                <w:sz w:val="17"/>
                <w:szCs w:val="17"/>
                <w:color w:val="auto"/>
              </w:rPr>
              <w:t>(In thousands, except</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per share data)</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17,502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13,810</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49,969</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48,329</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(1)</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20,702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20,896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20,797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20,892</w:t>
            </w:r>
          </w:p>
        </w:tc>
        <w:tc>
          <w:tcPr>
            <w:tcW w:w="0" w:type="dxa"/>
            <w:vAlign w:val="bottom"/>
          </w:tcPr>
          <w:p>
            <w:pPr>
              <w:spacing w:after="0"/>
              <w:rPr>
                <w:sz w:val="1"/>
                <w:szCs w:val="1"/>
                <w:color w:val="auto"/>
              </w:rPr>
            </w:pPr>
          </w:p>
        </w:tc>
      </w:tr>
      <w:tr>
        <w:trPr>
          <w:trHeight w:val="177"/>
        </w:trPr>
        <w:tc>
          <w:tcPr>
            <w:tcW w:w="5040" w:type="dxa"/>
            <w:vAlign w:val="bottom"/>
          </w:tcPr>
          <w:p>
            <w:pPr>
              <w:ind w:left="180"/>
              <w:spacing w:after="0" w:line="177" w:lineRule="exact"/>
              <w:rPr>
                <w:sz w:val="20"/>
                <w:szCs w:val="20"/>
                <w:color w:val="auto"/>
              </w:rPr>
            </w:pPr>
            <w:r>
              <w:rPr>
                <w:rFonts w:ascii="Times New Roman" w:cs="Times New Roman" w:eastAsia="Times New Roman" w:hAnsi="Times New Roman"/>
                <w:sz w:val="17"/>
                <w:szCs w:val="17"/>
                <w:color w:val="auto"/>
              </w:rPr>
              <w:t>Stock units for deferred compensation plan for non-employee</w:t>
            </w: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directors</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Performance share units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19"/>
        </w:trPr>
        <w:tc>
          <w:tcPr>
            <w:tcW w:w="5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Effect of stock options</w:t>
            </w: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157"/>
        </w:trPr>
        <w:tc>
          <w:tcPr>
            <w:tcW w:w="5040" w:type="dxa"/>
            <w:vAlign w:val="bottom"/>
            <w:shd w:val="clear" w:color="auto" w:fill="CCEEFF"/>
          </w:tcPr>
          <w:p>
            <w:pPr>
              <w:ind w:left="320"/>
              <w:spacing w:after="0" w:line="157" w:lineRule="exact"/>
              <w:rPr>
                <w:sz w:val="20"/>
                <w:szCs w:val="20"/>
                <w:color w:val="auto"/>
              </w:rPr>
            </w:pPr>
            <w:r>
              <w:rPr>
                <w:rFonts w:ascii="Times New Roman" w:cs="Times New Roman" w:eastAsia="Times New Roman" w:hAnsi="Times New Roman"/>
                <w:sz w:val="17"/>
                <w:szCs w:val="17"/>
                <w:color w:val="auto"/>
              </w:rPr>
              <w:t>Weighted average shares outstanding for calculation of diluted</w:t>
            </w:r>
          </w:p>
        </w:tc>
        <w:tc>
          <w:tcPr>
            <w:tcW w:w="94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20,905</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21,115</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21,001</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21,100</w:t>
            </w:r>
          </w:p>
        </w:tc>
        <w:tc>
          <w:tcPr>
            <w:tcW w:w="0" w:type="dxa"/>
            <w:vAlign w:val="bottom"/>
          </w:tcPr>
          <w:p>
            <w:pPr>
              <w:spacing w:after="0"/>
              <w:rPr>
                <w:sz w:val="1"/>
                <w:szCs w:val="1"/>
                <w:color w:val="auto"/>
              </w:rPr>
            </w:pPr>
          </w:p>
        </w:tc>
      </w:tr>
      <w:tr>
        <w:trPr>
          <w:trHeight w:val="217"/>
        </w:trPr>
        <w:tc>
          <w:tcPr>
            <w:tcW w:w="50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earnings per share</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per common share</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Basic (1)</w:t>
            </w:r>
          </w:p>
        </w:tc>
        <w:tc>
          <w:tcPr>
            <w:tcW w:w="9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0.66</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0.65</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Basic net income per common share includes weighted average common shares outstanding during the period and participating share awards.</w:t>
      </w:r>
    </w:p>
    <w:p>
      <w:pPr>
        <w:spacing w:after="0" w:line="19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Weighted average stock options outstanding that were not considered in computing diluted net income per common share because they were anti-dilutive were zero for the three and nine month periods ended September 30, 2025 and 2024, respectively.</w:t>
      </w:r>
    </w:p>
    <w:p>
      <w:pPr>
        <w:spacing w:after="0" w:line="3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ind w:left="300" w:hanging="297"/>
        <w:spacing w:after="0"/>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Derivative Financial Instruments</w:t>
      </w:r>
    </w:p>
    <w:p>
      <w:pPr>
        <w:spacing w:after="0" w:line="19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We are required to record derivatives on our interim Condensed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derivative financial instruments according to the type of hedge in which they are designated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September 30, 2025</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jc w:val="right"/>
              <w:ind w:right="354"/>
              <w:spacing w:after="0"/>
              <w:rPr>
                <w:sz w:val="20"/>
                <w:szCs w:val="20"/>
                <w:color w:val="auto"/>
              </w:rPr>
            </w:pPr>
            <w:r>
              <w:rPr>
                <w:rFonts w:ascii="Times New Roman" w:cs="Times New Roman" w:eastAsia="Times New Roman" w:hAnsi="Times New Roman"/>
                <w:sz w:val="17"/>
                <w:szCs w:val="17"/>
                <w:color w:val="auto"/>
              </w:rPr>
              <w:t>Notional</w:t>
            </w:r>
          </w:p>
        </w:tc>
        <w:tc>
          <w:tcPr>
            <w:tcW w:w="166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color w:val="auto"/>
              </w:rPr>
              <w:t>Average</w:t>
            </w:r>
          </w:p>
        </w:tc>
        <w:tc>
          <w:tcPr>
            <w:tcW w:w="320" w:type="dxa"/>
            <w:vAlign w:val="bottom"/>
          </w:tcPr>
          <w:p>
            <w:pPr>
              <w:spacing w:after="0"/>
              <w:rPr>
                <w:sz w:val="14"/>
                <w:szCs w:val="14"/>
                <w:color w:val="auto"/>
              </w:rPr>
            </w:pPr>
          </w:p>
        </w:tc>
        <w:tc>
          <w:tcPr>
            <w:tcW w:w="1160" w:type="dxa"/>
            <w:vAlign w:val="bottom"/>
            <w:vMerge w:val="restart"/>
          </w:tcPr>
          <w:p>
            <w:pPr>
              <w:jc w:val="right"/>
              <w:ind w:right="514"/>
              <w:spacing w:after="0"/>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66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Maturity</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Amount</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(years)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216"/>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Fair value hedge designation</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(Dollars in thousands)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0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 - commercial</w:t>
            </w:r>
          </w:p>
        </w:tc>
        <w:tc>
          <w:tcPr>
            <w:tcW w:w="15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5,345</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3.6</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0" w:type="dxa"/>
            <w:vAlign w:val="bottom"/>
          </w:tcPr>
          <w:p>
            <w:pPr>
              <w:spacing w:after="0"/>
              <w:rPr>
                <w:sz w:val="1"/>
                <w:szCs w:val="1"/>
                <w:color w:val="auto"/>
              </w:rPr>
            </w:pPr>
          </w:p>
        </w:tc>
      </w:tr>
      <w:tr>
        <w:trPr>
          <w:trHeight w:val="219"/>
        </w:trPr>
        <w:tc>
          <w:tcPr>
            <w:tcW w:w="5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securities available for sale</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148,895</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2.1</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7,931</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installment</w:t>
            </w: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1.7</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w:t>
            </w:r>
          </w:p>
        </w:tc>
        <w:tc>
          <w:tcPr>
            <w:tcW w:w="0" w:type="dxa"/>
            <w:vAlign w:val="bottom"/>
          </w:tcPr>
          <w:p>
            <w:pPr>
              <w:spacing w:after="0"/>
              <w:rPr>
                <w:sz w:val="1"/>
                <w:szCs w:val="1"/>
                <w:color w:val="auto"/>
              </w:rPr>
            </w:pPr>
          </w:p>
        </w:tc>
      </w:tr>
      <w:tr>
        <w:trPr>
          <w:trHeight w:val="219"/>
        </w:trPr>
        <w:tc>
          <w:tcPr>
            <w:tcW w:w="5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mortgage</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117,000</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1.9</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(1,272)</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rate cap agreements - securities available for sale</w:t>
            </w:r>
          </w:p>
        </w:tc>
        <w:tc>
          <w:tcPr>
            <w:tcW w:w="13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40,970</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2.6</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12"/>
        </w:trPr>
        <w:tc>
          <w:tcPr>
            <w:tcW w:w="5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412,210</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2.0</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5,982</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 hedge designation</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rate floor agreements - commercial</w:t>
            </w:r>
          </w:p>
        </w:tc>
        <w:tc>
          <w:tcPr>
            <w:tcW w:w="15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450,000</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1.9</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5,090</w:t>
            </w:r>
          </w:p>
        </w:tc>
        <w:tc>
          <w:tcPr>
            <w:tcW w:w="0" w:type="dxa"/>
            <w:vAlign w:val="bottom"/>
          </w:tcPr>
          <w:p>
            <w:pPr>
              <w:spacing w:after="0"/>
              <w:rPr>
                <w:sz w:val="1"/>
                <w:szCs w:val="1"/>
                <w:color w:val="auto"/>
              </w:rPr>
            </w:pPr>
          </w:p>
        </w:tc>
      </w:tr>
      <w:tr>
        <w:trPr>
          <w:trHeight w:val="219"/>
        </w:trPr>
        <w:tc>
          <w:tcPr>
            <w:tcW w:w="5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Interest rate cap agreements - short-term funding liabilities</w:t>
            </w:r>
          </w:p>
        </w:tc>
        <w:tc>
          <w:tcPr>
            <w:tcW w:w="13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660" w:type="dxa"/>
            <w:vAlign w:val="bottom"/>
            <w:tcBorders>
              <w:bottom w:val="single" w:sz="8" w:color="CCEEFF"/>
            </w:tcBorders>
          </w:tcPr>
          <w:p>
            <w:pPr>
              <w:jc w:val="right"/>
              <w:ind w:right="14"/>
              <w:spacing w:after="0"/>
              <w:rPr>
                <w:sz w:val="20"/>
                <w:szCs w:val="20"/>
                <w:color w:val="auto"/>
              </w:rPr>
            </w:pPr>
            <w:r>
              <w:rPr>
                <w:rFonts w:ascii="Times New Roman" w:cs="Times New Roman" w:eastAsia="Times New Roman" w:hAnsi="Times New Roman"/>
                <w:sz w:val="17"/>
                <w:szCs w:val="17"/>
                <w:color w:val="auto"/>
              </w:rPr>
              <w:t>2.4</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237"/>
        </w:trPr>
        <w:tc>
          <w:tcPr>
            <w:tcW w:w="5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1.9</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5,169</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 hedge designation</w:t>
            </w: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Rate-lock mortgage loan commitments</w:t>
            </w:r>
          </w:p>
        </w:tc>
        <w:tc>
          <w:tcPr>
            <w:tcW w:w="15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20,929</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Mandatory commitments to sell mortgage loans</w:t>
            </w: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30,147</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19"/>
        </w:trPr>
        <w:tc>
          <w:tcPr>
            <w:tcW w:w="5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commercial</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633,139</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4.7</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(3,422)</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Pay-variable interest rate swap agreements - commercial</w:t>
            </w:r>
          </w:p>
        </w:tc>
        <w:tc>
          <w:tcPr>
            <w:tcW w:w="13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633,139</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4.7</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3,422</w:t>
            </w:r>
          </w:p>
        </w:tc>
        <w:tc>
          <w:tcPr>
            <w:tcW w:w="0" w:type="dxa"/>
            <w:vAlign w:val="bottom"/>
          </w:tcPr>
          <w:p>
            <w:pPr>
              <w:spacing w:after="0"/>
              <w:rPr>
                <w:sz w:val="1"/>
                <w:szCs w:val="1"/>
                <w:color w:val="auto"/>
              </w:rPr>
            </w:pPr>
          </w:p>
        </w:tc>
      </w:tr>
      <w:tr>
        <w:trPr>
          <w:trHeight w:val="212"/>
        </w:trPr>
        <w:tc>
          <w:tcPr>
            <w:tcW w:w="5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1,317,354</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4.5</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320" w:type="dxa"/>
            <w:vAlign w:val="bottom"/>
            <w:vMerge w:val="restart"/>
          </w:tcPr>
          <w:p>
            <w:pPr>
              <w:jc w:val="right"/>
              <w:ind w:right="674"/>
              <w:spacing w:after="0"/>
              <w:rPr>
                <w:sz w:val="20"/>
                <w:szCs w:val="20"/>
                <w:color w:val="auto"/>
              </w:rPr>
            </w:pPr>
            <w:r>
              <w:rPr>
                <w:rFonts w:ascii="Times New Roman" w:cs="Times New Roman" w:eastAsia="Times New Roman" w:hAnsi="Times New Roman"/>
                <w:sz w:val="17"/>
                <w:szCs w:val="17"/>
                <w:color w:val="auto"/>
              </w:rPr>
              <w:t>34</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53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3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December 31, 2024</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jc w:val="right"/>
              <w:ind w:right="354"/>
              <w:spacing w:after="0"/>
              <w:rPr>
                <w:sz w:val="20"/>
                <w:szCs w:val="20"/>
                <w:color w:val="auto"/>
              </w:rPr>
            </w:pPr>
            <w:r>
              <w:rPr>
                <w:rFonts w:ascii="Times New Roman" w:cs="Times New Roman" w:eastAsia="Times New Roman" w:hAnsi="Times New Roman"/>
                <w:sz w:val="17"/>
                <w:szCs w:val="17"/>
                <w:color w:val="auto"/>
              </w:rPr>
              <w:t>Notional</w:t>
            </w:r>
          </w:p>
        </w:tc>
        <w:tc>
          <w:tcPr>
            <w:tcW w:w="166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color w:val="auto"/>
              </w:rPr>
              <w:t>Average</w:t>
            </w:r>
          </w:p>
        </w:tc>
        <w:tc>
          <w:tcPr>
            <w:tcW w:w="320" w:type="dxa"/>
            <w:vAlign w:val="bottom"/>
          </w:tcPr>
          <w:p>
            <w:pPr>
              <w:spacing w:after="0"/>
              <w:rPr>
                <w:sz w:val="14"/>
                <w:szCs w:val="14"/>
                <w:color w:val="auto"/>
              </w:rPr>
            </w:pPr>
          </w:p>
        </w:tc>
        <w:tc>
          <w:tcPr>
            <w:tcW w:w="1160" w:type="dxa"/>
            <w:vAlign w:val="bottom"/>
            <w:vMerge w:val="restart"/>
          </w:tcPr>
          <w:p>
            <w:pPr>
              <w:jc w:val="right"/>
              <w:ind w:right="514"/>
              <w:spacing w:after="0"/>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66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Maturity</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Amount</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(years)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212"/>
        </w:trPr>
        <w:tc>
          <w:tcPr>
            <w:tcW w:w="6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(Dollars in thousands)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hedge designation</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 - commercial</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5,647</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4.4</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securities available for sale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148,895</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2.8</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13,265</w:t>
            </w:r>
          </w:p>
        </w:tc>
        <w:tc>
          <w:tcPr>
            <w:tcW w:w="0" w:type="dxa"/>
            <w:vAlign w:val="bottom"/>
          </w:tcPr>
          <w:p>
            <w:pPr>
              <w:spacing w:after="0"/>
              <w:rPr>
                <w:sz w:val="1"/>
                <w:szCs w:val="1"/>
                <w:color w:val="auto"/>
              </w:rPr>
            </w:pPr>
          </w:p>
        </w:tc>
      </w:tr>
      <w:tr>
        <w:trPr>
          <w:trHeight w:val="21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installment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2.4</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mortgage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147,000</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2.2</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0" w:type="dxa"/>
            <w:vAlign w:val="bottom"/>
          </w:tcPr>
          <w:p>
            <w:pPr>
              <w:spacing w:after="0"/>
              <w:rPr>
                <w:sz w:val="1"/>
                <w:szCs w:val="1"/>
                <w:color w:val="auto"/>
              </w:rPr>
            </w:pPr>
          </w:p>
        </w:tc>
      </w:tr>
      <w:tr>
        <w:trPr>
          <w:trHeight w:val="219"/>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Interest rate cap agreements - securities available for sale</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40,970</w:t>
            </w:r>
          </w:p>
        </w:tc>
        <w:tc>
          <w:tcPr>
            <w:tcW w:w="1660" w:type="dxa"/>
            <w:vAlign w:val="bottom"/>
            <w:tcBorders>
              <w:bottom w:val="single" w:sz="8" w:color="CCEEFF"/>
            </w:tcBorders>
          </w:tcPr>
          <w:p>
            <w:pPr>
              <w:jc w:val="right"/>
              <w:ind w:right="14"/>
              <w:spacing w:after="0"/>
              <w:rPr>
                <w:sz w:val="20"/>
                <w:szCs w:val="20"/>
                <w:color w:val="auto"/>
              </w:rPr>
            </w:pPr>
            <w:r>
              <w:rPr>
                <w:rFonts w:ascii="Times New Roman" w:cs="Times New Roman" w:eastAsia="Times New Roman" w:hAnsi="Times New Roman"/>
                <w:sz w:val="17"/>
                <w:szCs w:val="17"/>
                <w:color w:val="auto"/>
              </w:rPr>
              <w:t>3.3</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0" w:type="dxa"/>
            <w:vAlign w:val="bottom"/>
          </w:tcPr>
          <w:p>
            <w:pPr>
              <w:spacing w:after="0"/>
              <w:rPr>
                <w:sz w:val="1"/>
                <w:szCs w:val="1"/>
                <w:color w:val="auto"/>
              </w:rPr>
            </w:pPr>
          </w:p>
        </w:tc>
      </w:tr>
      <w:tr>
        <w:trPr>
          <w:trHeight w:val="237"/>
        </w:trPr>
        <w:tc>
          <w:tcPr>
            <w:tcW w:w="66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442,512</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2.6</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14,320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 hedge designation</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rate floor agreements - commercial</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375,000</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2.3</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3,642</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rate cap agreements - short-term funding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3.4</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0" w:type="dxa"/>
            <w:vAlign w:val="bottom"/>
          </w:tcPr>
          <w:p>
            <w:pPr>
              <w:spacing w:after="0"/>
              <w:rPr>
                <w:sz w:val="1"/>
                <w:szCs w:val="1"/>
                <w:color w:val="auto"/>
              </w:rPr>
            </w:pPr>
          </w:p>
        </w:tc>
      </w:tr>
      <w:tr>
        <w:trPr>
          <w:trHeight w:val="212"/>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2.1</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3,954</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 hedge designation</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Rate-lock mortgage loan commitments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12,703</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Mandatory commitments to sell mortgage loans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19,874</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commercial</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538,053</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5.0</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13,325</w:t>
            </w:r>
          </w:p>
        </w:tc>
        <w:tc>
          <w:tcPr>
            <w:tcW w:w="0" w:type="dxa"/>
            <w:vAlign w:val="bottom"/>
          </w:tcPr>
          <w:p>
            <w:pPr>
              <w:spacing w:after="0"/>
              <w:rPr>
                <w:sz w:val="1"/>
                <w:szCs w:val="1"/>
                <w:color w:val="auto"/>
              </w:rPr>
            </w:pPr>
          </w:p>
        </w:tc>
      </w:tr>
      <w:tr>
        <w:trPr>
          <w:trHeight w:val="219"/>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Pay-variable interest rate swap agreements - commercial</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538,053</w:t>
            </w:r>
          </w:p>
        </w:tc>
        <w:tc>
          <w:tcPr>
            <w:tcW w:w="1660" w:type="dxa"/>
            <w:vAlign w:val="bottom"/>
            <w:tcBorders>
              <w:bottom w:val="single" w:sz="8" w:color="CCEEFF"/>
            </w:tcBorders>
          </w:tcPr>
          <w:p>
            <w:pPr>
              <w:jc w:val="right"/>
              <w:ind w:right="14"/>
              <w:spacing w:after="0"/>
              <w:rPr>
                <w:sz w:val="20"/>
                <w:szCs w:val="20"/>
                <w:color w:val="auto"/>
              </w:rPr>
            </w:pPr>
            <w:r>
              <w:rPr>
                <w:rFonts w:ascii="Times New Roman" w:cs="Times New Roman" w:eastAsia="Times New Roman" w:hAnsi="Times New Roman"/>
                <w:sz w:val="17"/>
                <w:szCs w:val="17"/>
                <w:color w:val="auto"/>
              </w:rPr>
              <w:t>5.0</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(13,325)</w:t>
            </w:r>
          </w:p>
        </w:tc>
        <w:tc>
          <w:tcPr>
            <w:tcW w:w="0" w:type="dxa"/>
            <w:vAlign w:val="bottom"/>
          </w:tcPr>
          <w:p>
            <w:pPr>
              <w:spacing w:after="0"/>
              <w:rPr>
                <w:sz w:val="1"/>
                <w:szCs w:val="1"/>
                <w:color w:val="auto"/>
              </w:rPr>
            </w:pPr>
          </w:p>
        </w:tc>
      </w:tr>
      <w:tr>
        <w:trPr>
          <w:trHeight w:val="237"/>
        </w:trPr>
        <w:tc>
          <w:tcPr>
            <w:tcW w:w="66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1,108,683</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4.9</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established management objectives and strategies that include interest-rate risk parameters for maximum fluctuations in net interest income and market value of portfolio equity. We monitor our interest rate risk position via simulation modeling reports. The goal of our asset/liability management efforts is to maintain profitable financial leverage within established risk parameters.</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have entered into pay-fixed interest rate swaps and caps to protect a portion of the fair value of a certain fixed rate commercial loan and certain mortgage and installment loans (‘‘Fair Value Hedge – Portfolio Loans’’). As a result, changes in the fair values of the pay-fixed interest rate swaps and caps are expected to offset changes in the fair values of the fixed rate portfolio loans due to fluctuations in interest rates. We record the fair values of Fair Value Hedge – Portfolio Loans in accrued income and other assets and accrued expenses and other liabilities on our interim Condensed Consolidated Statements of Financial Condition. The hedged items (a fixed rate commercial loan and certain fixed rate mortgage and installment loans) are also recorded at fair value which offsets the adjustment to the Fair Value Hedge – Portfolio Loans. On an ongoing basis, we adjust our interim Condensed Consolidated Statements of Financial Condition to reflect the then current fair values of both the Fair Value Hedge – Portfolio Loans and the hedged items. The related gains or losses are reported in interest income – interest and fees on loans in our interim Condensed Consolidated Statements of Operations. During the second quarter of 2023 we terminated the interest rate cap that was previously hedging certain installment loans. The remaining unrealized gain on this terminated interest cap of $0.14 million as of September 30, 2025 is being amortized into earnings over the original life of the interest rate cap which was February, 2030.</w:t>
      </w:r>
    </w:p>
    <w:p>
      <w:pPr>
        <w:spacing w:after="0" w:line="2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have entered into pay-fixed interest rate swap and interest rate cap agreements to protect a portion of the fair value of certain securities available for sale (‘‘Fair Value Hedge – AFS Securities’’). As a result, the change in the fair value of the pay-fixed interest rate swap and interest rate cap agreements is expected to offset a portion of the change in the fair value of the fixed rate securities available for sale due to fluctuations in interest rates. We record the fair value of Fair Value Hedge</w:t>
      </w:r>
    </w:p>
    <w:p>
      <w:pPr>
        <w:jc w:val="both"/>
        <w:spacing w:after="0" w:line="259" w:lineRule="auto"/>
        <w:rPr>
          <w:sz w:val="20"/>
          <w:szCs w:val="20"/>
          <w:color w:val="auto"/>
        </w:rPr>
      </w:pPr>
      <w:r>
        <w:rPr>
          <w:rFonts w:ascii="Times New Roman" w:cs="Times New Roman" w:eastAsia="Times New Roman" w:hAnsi="Times New Roman"/>
          <w:sz w:val="17"/>
          <w:szCs w:val="17"/>
          <w:color w:val="auto"/>
        </w:rPr>
        <w:t>– AFS Securities in accrued income and other assets and accrued expenses and other liabilities on our interim Condensed Consolidated Statements of Financial Condition. The hedged items (fixed rate securities available for sale) are also recorded at fair value which offsets the adjustment to the Fair Value Hedge – AFS Securities. On an ongoing basis, we</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adjust our interim Condensed Consolidated Statements of Financial Condition to reflect the then current fair value of both the Fair Value Hedge – AFS Securities and the hedged item. The related gains or losses are reported in interest income – interest on securities – tax-exempt in our interim Condensed Consolidated Statements of Operations.</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entered into interest rate floor agreements to manage the variability in future expected cash flows of certain commercial loans (‘‘Cash Flow Hedge – Portfolio Loans’’). We record the fair value of Cash Flow Hedge – Portfolio Loans in accrued income and other assets and accrued expenses and other liabilities on our interim Condensed Consolidated Statements of Financial Condition. The changes in the fair value of Cash Flow Hedge - Portfolio Loans are recorded in accumulated other comprehensive loss and are reclassified into the line item in our interim Condensed Consolidated Statements of Operations in which the hedged items are recorded in the same period the hedged items affect earnings.</w:t>
      </w:r>
    </w:p>
    <w:p>
      <w:pPr>
        <w:spacing w:after="0" w:line="136"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We have entered into an interest rate cap agreement to manage the variability in future expected cash flows of certain short-term funding liabilities (‘‘Cash Flow Hedge – Short-term Funding Liabilities’’). We record the fair value of Cash Flow Hedge – Short-term Funding Liabilities in accrued income and other assets and accrued expenses and other liabilities on our interim Condensed Consolidated Statements of Financial Condition. The changes in the fair value of Cash Flow Hedge - Short-term Funding Liabilities are recorded in accumulated other comprehensive loss and are reclassified into the line item in our interim Condensed Consolidated Statements of Operations in which the hedged items are recorded in the same period the hedged items affect earnings.</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Cash Flow Hedges, it is anticipated that as of September 30, 2025, $1.3 million will be reclassified from accumulated other comprehensive loss as a reduction to earnings over the next twelve months. The maximum term of any Cash Flow Hedge at September 30, 2025 is 3.7 years.</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Certain derivative financial instruments have not been designated as hedges. The fair value of these derivative financial instruments has been recorded on our interim Condensed Consolidated Statements of Financial Condition and is adjusted on an ongoing basis to reflect their then current fair value. The changes in fair value of derivative financial instruments not designated as hedges are recognized in earnings.</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Rate-Lock Commitments and Mandatory Commitments are recognized currently as part of net gains on mortgage loans in our interim Condensed Consolidated Statements of Operations. We obtain market prices on Mandatory Commitments and Rate-Lock Commitments. Net gains on mortgage loans, as well as net income may be more volatile as a result of these derivative instruments, which are not designated as hedges.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interim Condensed Consolidated Statements of Operations. All of the interest rate swap agreements - commercial with no hedge designation in the table above relate to this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following tables illustrate the impact that the derivative financial instruments discussed above have on individual line items in the interim Condensed Consolidated Statements of Financial Condition for the periods presented: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Fair Values of Derivative Instruments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5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7"/>
                <w:szCs w:val="17"/>
                <w:color w:val="auto"/>
              </w:rPr>
              <w:t>Asset Derivatives</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7"/>
                <w:szCs w:val="17"/>
                <w:color w:val="auto"/>
              </w:rPr>
              <w:t>Liability Derivatives</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520" w:type="dxa"/>
            <w:vAlign w:val="bottom"/>
          </w:tcPr>
          <w:p>
            <w:pPr>
              <w:spacing w:after="0"/>
              <w:rPr>
                <w:sz w:val="13"/>
                <w:szCs w:val="13"/>
                <w:color w:val="auto"/>
              </w:rPr>
            </w:pPr>
          </w:p>
        </w:tc>
        <w:tc>
          <w:tcPr>
            <w:tcW w:w="2120" w:type="dxa"/>
            <w:vAlign w:val="bottom"/>
            <w:gridSpan w:val="4"/>
          </w:tcPr>
          <w:p>
            <w:pPr>
              <w:jc w:val="right"/>
              <w:ind w:right="474"/>
              <w:spacing w:after="0" w:line="161" w:lineRule="exact"/>
              <w:rPr>
                <w:sz w:val="20"/>
                <w:szCs w:val="20"/>
                <w:color w:val="auto"/>
              </w:rPr>
            </w:pPr>
            <w:r>
              <w:rPr>
                <w:rFonts w:ascii="Times New Roman" w:cs="Times New Roman" w:eastAsia="Times New Roman" w:hAnsi="Times New Roman"/>
                <w:sz w:val="17"/>
                <w:szCs w:val="17"/>
                <w:color w:val="auto"/>
              </w:rPr>
              <w:t>September 30,</w:t>
            </w:r>
          </w:p>
        </w:tc>
        <w:tc>
          <w:tcPr>
            <w:tcW w:w="80" w:type="dxa"/>
            <w:vAlign w:val="bottom"/>
          </w:tcPr>
          <w:p>
            <w:pPr>
              <w:spacing w:after="0"/>
              <w:rPr>
                <w:sz w:val="13"/>
                <w:szCs w:val="13"/>
                <w:color w:val="auto"/>
              </w:rPr>
            </w:pPr>
          </w:p>
        </w:tc>
        <w:tc>
          <w:tcPr>
            <w:tcW w:w="2100" w:type="dxa"/>
            <w:vAlign w:val="bottom"/>
            <w:gridSpan w:val="4"/>
          </w:tcPr>
          <w:p>
            <w:pPr>
              <w:jc w:val="right"/>
              <w:ind w:right="474"/>
              <w:spacing w:after="0" w:line="161" w:lineRule="exact"/>
              <w:rPr>
                <w:sz w:val="20"/>
                <w:szCs w:val="20"/>
                <w:color w:val="auto"/>
              </w:rPr>
            </w:pPr>
            <w:r>
              <w:rPr>
                <w:rFonts w:ascii="Times New Roman" w:cs="Times New Roman" w:eastAsia="Times New Roman" w:hAnsi="Times New Roman"/>
                <w:sz w:val="17"/>
                <w:szCs w:val="17"/>
                <w:color w:val="auto"/>
              </w:rPr>
              <w:t>December 31,</w:t>
            </w:r>
          </w:p>
        </w:tc>
        <w:tc>
          <w:tcPr>
            <w:tcW w:w="100" w:type="dxa"/>
            <w:vAlign w:val="bottom"/>
          </w:tcPr>
          <w:p>
            <w:pPr>
              <w:spacing w:after="0"/>
              <w:rPr>
                <w:sz w:val="13"/>
                <w:szCs w:val="13"/>
                <w:color w:val="auto"/>
              </w:rPr>
            </w:pPr>
          </w:p>
        </w:tc>
        <w:tc>
          <w:tcPr>
            <w:tcW w:w="2100" w:type="dxa"/>
            <w:vAlign w:val="bottom"/>
            <w:gridSpan w:val="4"/>
          </w:tcPr>
          <w:p>
            <w:pPr>
              <w:ind w:left="560"/>
              <w:spacing w:after="0" w:line="161" w:lineRule="exact"/>
              <w:rPr>
                <w:sz w:val="20"/>
                <w:szCs w:val="20"/>
                <w:color w:val="auto"/>
              </w:rPr>
            </w:pPr>
            <w:r>
              <w:rPr>
                <w:rFonts w:ascii="Times New Roman" w:cs="Times New Roman" w:eastAsia="Times New Roman" w:hAnsi="Times New Roman"/>
                <w:sz w:val="17"/>
                <w:szCs w:val="17"/>
                <w:color w:val="auto"/>
              </w:rPr>
              <w:t>September 30,</w:t>
            </w:r>
          </w:p>
        </w:tc>
        <w:tc>
          <w:tcPr>
            <w:tcW w:w="100" w:type="dxa"/>
            <w:vAlign w:val="bottom"/>
          </w:tcPr>
          <w:p>
            <w:pPr>
              <w:spacing w:after="0"/>
              <w:rPr>
                <w:sz w:val="13"/>
                <w:szCs w:val="13"/>
                <w:color w:val="auto"/>
              </w:rPr>
            </w:pPr>
          </w:p>
        </w:tc>
        <w:tc>
          <w:tcPr>
            <w:tcW w:w="2120" w:type="dxa"/>
            <w:vAlign w:val="bottom"/>
            <w:gridSpan w:val="4"/>
          </w:tcPr>
          <w:p>
            <w:pPr>
              <w:ind w:left="580"/>
              <w:spacing w:after="0" w:line="161" w:lineRule="exact"/>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r>
        <w:trPr>
          <w:trHeight w:val="228"/>
        </w:trPr>
        <w:tc>
          <w:tcPr>
            <w:tcW w:w="25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9"/>
              </w:rPr>
              <w:t>2025</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7"/>
                <w:szCs w:val="17"/>
                <w:color w:val="auto"/>
                <w:w w:val="99"/>
              </w:rPr>
              <w:t>2024</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2025</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520" w:type="dxa"/>
            <w:vAlign w:val="bottom"/>
          </w:tcPr>
          <w:p>
            <w:pPr>
              <w:spacing w:after="0"/>
              <w:rPr>
                <w:sz w:val="14"/>
                <w:szCs w:val="14"/>
                <w:color w:val="auto"/>
              </w:rPr>
            </w:pPr>
          </w:p>
        </w:tc>
        <w:tc>
          <w:tcPr>
            <w:tcW w:w="880" w:type="dxa"/>
            <w:vAlign w:val="bottom"/>
          </w:tcPr>
          <w:p>
            <w:pPr>
              <w:jc w:val="center"/>
              <w:ind w:left="54"/>
              <w:spacing w:after="0" w:line="165" w:lineRule="exact"/>
              <w:rPr>
                <w:sz w:val="20"/>
                <w:szCs w:val="20"/>
                <w:color w:val="auto"/>
              </w:rPr>
            </w:pPr>
            <w:r>
              <w:rPr>
                <w:rFonts w:ascii="Times New Roman" w:cs="Times New Roman" w:eastAsia="Times New Roman" w:hAnsi="Times New Roman"/>
                <w:sz w:val="17"/>
                <w:szCs w:val="17"/>
                <w:color w:val="auto"/>
                <w:w w:val="98"/>
              </w:rPr>
              <w:t>Balance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94"/>
              <w:spacing w:after="0"/>
              <w:rPr>
                <w:sz w:val="20"/>
                <w:szCs w:val="20"/>
                <w:color w:val="auto"/>
              </w:rPr>
            </w:pPr>
            <w:r>
              <w:rPr>
                <w:rFonts w:ascii="Times New Roman" w:cs="Times New Roman" w:eastAsia="Times New Roman" w:hAnsi="Times New Roman"/>
                <w:sz w:val="17"/>
                <w:szCs w:val="17"/>
                <w:color w:val="auto"/>
              </w:rPr>
              <w:t>Fair</w:t>
            </w:r>
          </w:p>
        </w:tc>
        <w:tc>
          <w:tcPr>
            <w:tcW w:w="80" w:type="dxa"/>
            <w:vAlign w:val="bottom"/>
          </w:tcPr>
          <w:p>
            <w:pPr>
              <w:spacing w:after="0"/>
              <w:rPr>
                <w:sz w:val="14"/>
                <w:szCs w:val="14"/>
                <w:color w:val="auto"/>
              </w:rPr>
            </w:pPr>
          </w:p>
        </w:tc>
        <w:tc>
          <w:tcPr>
            <w:tcW w:w="860" w:type="dxa"/>
            <w:vAlign w:val="bottom"/>
          </w:tcPr>
          <w:p>
            <w:pPr>
              <w:jc w:val="center"/>
              <w:ind w:left="54"/>
              <w:spacing w:after="0" w:line="165" w:lineRule="exact"/>
              <w:rPr>
                <w:sz w:val="20"/>
                <w:szCs w:val="20"/>
                <w:color w:val="auto"/>
              </w:rPr>
            </w:pPr>
            <w:r>
              <w:rPr>
                <w:rFonts w:ascii="Times New Roman" w:cs="Times New Roman" w:eastAsia="Times New Roman" w:hAnsi="Times New Roman"/>
                <w:sz w:val="17"/>
                <w:szCs w:val="17"/>
                <w:color w:val="auto"/>
              </w:rPr>
              <w:t>Balance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Times New Roman" w:cs="Times New Roman" w:eastAsia="Times New Roman" w:hAnsi="Times New Roman"/>
                <w:sz w:val="17"/>
                <w:szCs w:val="17"/>
                <w:color w:val="auto"/>
              </w:rPr>
              <w:t>Fair</w:t>
            </w:r>
          </w:p>
        </w:tc>
        <w:tc>
          <w:tcPr>
            <w:tcW w:w="100" w:type="dxa"/>
            <w:vAlign w:val="bottom"/>
          </w:tcPr>
          <w:p>
            <w:pPr>
              <w:spacing w:after="0"/>
              <w:rPr>
                <w:sz w:val="14"/>
                <w:szCs w:val="14"/>
                <w:color w:val="auto"/>
              </w:rPr>
            </w:pPr>
          </w:p>
        </w:tc>
        <w:tc>
          <w:tcPr>
            <w:tcW w:w="840" w:type="dxa"/>
            <w:vAlign w:val="bottom"/>
          </w:tcPr>
          <w:p>
            <w:pPr>
              <w:jc w:val="center"/>
              <w:ind w:left="74"/>
              <w:spacing w:after="0" w:line="165" w:lineRule="exact"/>
              <w:rPr>
                <w:sz w:val="20"/>
                <w:szCs w:val="20"/>
                <w:color w:val="auto"/>
              </w:rPr>
            </w:pPr>
            <w:r>
              <w:rPr>
                <w:rFonts w:ascii="Times New Roman" w:cs="Times New Roman" w:eastAsia="Times New Roman" w:hAnsi="Times New Roman"/>
                <w:sz w:val="17"/>
                <w:szCs w:val="17"/>
                <w:color w:val="auto"/>
              </w:rPr>
              <w:t>Balance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Times New Roman" w:cs="Times New Roman" w:eastAsia="Times New Roman" w:hAnsi="Times New Roman"/>
                <w:sz w:val="17"/>
                <w:szCs w:val="17"/>
                <w:color w:val="auto"/>
              </w:rPr>
              <w:t>Fair</w:t>
            </w:r>
          </w:p>
        </w:tc>
        <w:tc>
          <w:tcPr>
            <w:tcW w:w="100" w:type="dxa"/>
            <w:vAlign w:val="bottom"/>
          </w:tcPr>
          <w:p>
            <w:pPr>
              <w:spacing w:after="0"/>
              <w:rPr>
                <w:sz w:val="14"/>
                <w:szCs w:val="14"/>
                <w:color w:val="auto"/>
              </w:rPr>
            </w:pPr>
          </w:p>
        </w:tc>
        <w:tc>
          <w:tcPr>
            <w:tcW w:w="860" w:type="dxa"/>
            <w:vAlign w:val="bottom"/>
          </w:tcPr>
          <w:p>
            <w:pPr>
              <w:jc w:val="center"/>
              <w:ind w:left="74"/>
              <w:spacing w:after="0" w:line="165" w:lineRule="exact"/>
              <w:rPr>
                <w:sz w:val="20"/>
                <w:szCs w:val="20"/>
                <w:color w:val="auto"/>
              </w:rPr>
            </w:pPr>
            <w:r>
              <w:rPr>
                <w:rFonts w:ascii="Times New Roman" w:cs="Times New Roman" w:eastAsia="Times New Roman" w:hAnsi="Times New Roman"/>
                <w:sz w:val="17"/>
                <w:szCs w:val="17"/>
                <w:color w:val="auto"/>
                <w:w w:val="98"/>
              </w:rPr>
              <w:t>Balance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74"/>
              <w:spacing w:after="0"/>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168"/>
        </w:trPr>
        <w:tc>
          <w:tcPr>
            <w:tcW w:w="2520" w:type="dxa"/>
            <w:vAlign w:val="bottom"/>
          </w:tcPr>
          <w:p>
            <w:pPr>
              <w:spacing w:after="0"/>
              <w:rPr>
                <w:sz w:val="14"/>
                <w:szCs w:val="14"/>
                <w:color w:val="auto"/>
              </w:rPr>
            </w:pPr>
          </w:p>
        </w:tc>
        <w:tc>
          <w:tcPr>
            <w:tcW w:w="880" w:type="dxa"/>
            <w:vAlign w:val="bottom"/>
          </w:tcPr>
          <w:p>
            <w:pPr>
              <w:jc w:val="center"/>
              <w:ind w:left="54"/>
              <w:spacing w:after="0" w:line="167" w:lineRule="exact"/>
              <w:rPr>
                <w:sz w:val="20"/>
                <w:szCs w:val="20"/>
                <w:color w:val="auto"/>
              </w:rPr>
            </w:pPr>
            <w:r>
              <w:rPr>
                <w:rFonts w:ascii="Times New Roman" w:cs="Times New Roman" w:eastAsia="Times New Roman" w:hAnsi="Times New Roman"/>
                <w:sz w:val="17"/>
                <w:szCs w:val="17"/>
                <w:color w:val="auto"/>
              </w:rPr>
              <w:t>Sheet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ind w:left="74"/>
              <w:spacing w:after="0" w:line="167" w:lineRule="exact"/>
              <w:rPr>
                <w:sz w:val="20"/>
                <w:szCs w:val="20"/>
                <w:color w:val="auto"/>
              </w:rPr>
            </w:pPr>
            <w:r>
              <w:rPr>
                <w:rFonts w:ascii="Times New Roman" w:cs="Times New Roman" w:eastAsia="Times New Roman" w:hAnsi="Times New Roman"/>
                <w:sz w:val="17"/>
                <w:szCs w:val="17"/>
                <w:color w:val="auto"/>
              </w:rPr>
              <w:t>Sheet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left="94"/>
              <w:spacing w:after="0" w:line="167" w:lineRule="exact"/>
              <w:rPr>
                <w:sz w:val="20"/>
                <w:szCs w:val="20"/>
                <w:color w:val="auto"/>
              </w:rPr>
            </w:pPr>
            <w:r>
              <w:rPr>
                <w:rFonts w:ascii="Times New Roman" w:cs="Times New Roman" w:eastAsia="Times New Roman" w:hAnsi="Times New Roman"/>
                <w:sz w:val="17"/>
                <w:szCs w:val="17"/>
                <w:color w:val="auto"/>
              </w:rPr>
              <w:t>Sheet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left="74"/>
              <w:spacing w:after="0" w:line="167" w:lineRule="exact"/>
              <w:rPr>
                <w:sz w:val="20"/>
                <w:szCs w:val="20"/>
                <w:color w:val="auto"/>
              </w:rPr>
            </w:pPr>
            <w:r>
              <w:rPr>
                <w:rFonts w:ascii="Times New Roman" w:cs="Times New Roman" w:eastAsia="Times New Roman" w:hAnsi="Times New Roman"/>
                <w:sz w:val="17"/>
                <w:szCs w:val="17"/>
                <w:color w:val="auto"/>
              </w:rPr>
              <w:t>Sheet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tcPr>
          <w:p>
            <w:pPr>
              <w:spacing w:after="0"/>
              <w:rPr>
                <w:sz w:val="20"/>
                <w:szCs w:val="20"/>
                <w:color w:val="auto"/>
              </w:rPr>
            </w:pPr>
          </w:p>
        </w:tc>
        <w:tc>
          <w:tcPr>
            <w:tcW w:w="880" w:type="dxa"/>
            <w:vAlign w:val="bottom"/>
            <w:tcBorders>
              <w:bottom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color w:val="auto"/>
              </w:rPr>
              <w:t>Location</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Value</w:t>
            </w: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color w:val="auto"/>
                <w:w w:val="99"/>
              </w:rPr>
              <w:t>Location</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Value</w:t>
            </w: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w w:val="99"/>
              </w:rPr>
              <w:t>Location</w:t>
            </w: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Value</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Location</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216"/>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Derivatives designated as hedging</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5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instruments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520" w:type="dxa"/>
            <w:vAlign w:val="bottom"/>
            <w:shd w:val="clear" w:color="auto" w:fill="CCEEFF"/>
          </w:tcPr>
          <w:p>
            <w:pPr>
              <w:ind w:left="180"/>
              <w:spacing w:after="0" w:line="172" w:lineRule="exact"/>
              <w:rPr>
                <w:sz w:val="20"/>
                <w:szCs w:val="20"/>
                <w:color w:val="auto"/>
              </w:rPr>
            </w:pPr>
            <w:r>
              <w:rPr>
                <w:rFonts w:ascii="Times New Roman" w:cs="Times New Roman" w:eastAsia="Times New Roman" w:hAnsi="Times New Roman"/>
                <w:sz w:val="17"/>
                <w:szCs w:val="17"/>
                <w:color w:val="auto"/>
              </w:rPr>
              <w:t>Pay-fixed interest rate swap</w:t>
            </w: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agreements</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44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8,160</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4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14,336</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4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2,229</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4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0" w:type="dxa"/>
            <w:vAlign w:val="bottom"/>
          </w:tcPr>
          <w:p>
            <w:pPr>
              <w:spacing w:after="0"/>
              <w:rPr>
                <w:sz w:val="1"/>
                <w:szCs w:val="1"/>
                <w:color w:val="auto"/>
              </w:rPr>
            </w:pPr>
          </w:p>
        </w:tc>
      </w:tr>
      <w:tr>
        <w:trPr>
          <w:trHeight w:val="168"/>
        </w:trPr>
        <w:tc>
          <w:tcPr>
            <w:tcW w:w="2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rate cap agreements</w:t>
            </w: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8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w:t>
            </w:r>
          </w:p>
        </w:tc>
        <w:tc>
          <w:tcPr>
            <w:tcW w:w="10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rate floor agreements</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5,090</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3,642</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2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13,380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18,624</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2,229</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Derivatives not designated as</w:t>
            </w: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hedging instruments</w:t>
            </w: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52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Rate-lock mortgage loan</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commitments</w:t>
            </w: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8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Mandatory commitments to sell</w:t>
            </w: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mortgage loans</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252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Pay-fixed interest rate swap</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agreements - commercial</w:t>
            </w: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7,539</w:t>
            </w:r>
          </w:p>
        </w:tc>
        <w:tc>
          <w:tcPr>
            <w:tcW w:w="8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15,799</w:t>
            </w:r>
          </w:p>
        </w:tc>
        <w:tc>
          <w:tcPr>
            <w:tcW w:w="10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10,961</w:t>
            </w:r>
          </w:p>
        </w:tc>
        <w:tc>
          <w:tcPr>
            <w:tcW w:w="10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2,474</w:t>
            </w: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Pay-variable interest rate swap</w:t>
            </w: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agreements - commercial</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10,961</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2,474</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7,539</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15,799</w:t>
            </w:r>
          </w:p>
        </w:tc>
        <w:tc>
          <w:tcPr>
            <w:tcW w:w="0" w:type="dxa"/>
            <w:vAlign w:val="bottom"/>
          </w:tcPr>
          <w:p>
            <w:pPr>
              <w:spacing w:after="0"/>
              <w:rPr>
                <w:sz w:val="1"/>
                <w:szCs w:val="1"/>
                <w:color w:val="auto"/>
              </w:rPr>
            </w:pPr>
          </w:p>
        </w:tc>
      </w:tr>
      <w:tr>
        <w:trPr>
          <w:trHeight w:val="212"/>
        </w:trPr>
        <w:tc>
          <w:tcPr>
            <w:tcW w:w="25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18,726</w:t>
            </w: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18,435</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18,500</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18,273</w:t>
            </w: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derivatives</w:t>
            </w:r>
          </w:p>
        </w:tc>
        <w:tc>
          <w:tcPr>
            <w:tcW w:w="8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32,106</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37,059</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20,729</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18,623</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effect of derivative financial instruments on the interim Condensed Consolidated Statements of Operations follows: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20" w:type="dxa"/>
            <w:vAlign w:val="bottom"/>
          </w:tcPr>
          <w:p>
            <w:pPr>
              <w:spacing w:after="0"/>
              <w:rPr>
                <w:sz w:val="15"/>
                <w:szCs w:val="15"/>
                <w:color w:val="auto"/>
              </w:rPr>
            </w:pPr>
          </w:p>
        </w:tc>
        <w:tc>
          <w:tcPr>
            <w:tcW w:w="1760" w:type="dxa"/>
            <w:vAlign w:val="bottom"/>
            <w:gridSpan w:val="5"/>
          </w:tcPr>
          <w:p>
            <w:pPr>
              <w:jc w:val="center"/>
              <w:spacing w:after="0"/>
              <w:rPr>
                <w:sz w:val="20"/>
                <w:szCs w:val="20"/>
                <w:color w:val="auto"/>
              </w:rPr>
            </w:pPr>
            <w:r>
              <w:rPr>
                <w:rFonts w:ascii="Times New Roman" w:cs="Times New Roman" w:eastAsia="Times New Roman" w:hAnsi="Times New Roman"/>
                <w:sz w:val="15"/>
                <w:szCs w:val="15"/>
                <w:color w:val="auto"/>
              </w:rPr>
              <w:t>Gain (Loss) Recognized in</w:t>
            </w: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4"/>
          </w:tcPr>
          <w:p>
            <w:pPr>
              <w:jc w:val="center"/>
              <w:ind w:right="43"/>
              <w:spacing w:after="0"/>
              <w:rPr>
                <w:sz w:val="20"/>
                <w:szCs w:val="20"/>
                <w:color w:val="auto"/>
              </w:rPr>
            </w:pPr>
            <w:r>
              <w:rPr>
                <w:rFonts w:ascii="Times New Roman" w:cs="Times New Roman" w:eastAsia="Times New Roman" w:hAnsi="Times New Roman"/>
                <w:sz w:val="15"/>
                <w:szCs w:val="15"/>
                <w:color w:val="auto"/>
              </w:rPr>
              <w:t>Loss Reclassified from</w:t>
            </w: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4"/>
            <w:vMerge w:val="restart"/>
          </w:tcPr>
          <w:p>
            <w:pPr>
              <w:jc w:val="center"/>
              <w:ind w:right="103"/>
              <w:spacing w:after="0"/>
              <w:rPr>
                <w:sz w:val="20"/>
                <w:szCs w:val="20"/>
                <w:color w:val="auto"/>
              </w:rPr>
            </w:pPr>
            <w:r>
              <w:rPr>
                <w:rFonts w:ascii="Times New Roman" w:cs="Times New Roman" w:eastAsia="Times New Roman" w:hAnsi="Times New Roman"/>
                <w:sz w:val="15"/>
                <w:szCs w:val="15"/>
                <w:color w:val="auto"/>
              </w:rPr>
              <w:t>Gain (Loss)</w:t>
            </w:r>
          </w:p>
        </w:tc>
        <w:tc>
          <w:tcPr>
            <w:tcW w:w="0" w:type="dxa"/>
            <w:vAlign w:val="bottom"/>
          </w:tcPr>
          <w:p>
            <w:pPr>
              <w:spacing w:after="0"/>
              <w:rPr>
                <w:sz w:val="1"/>
                <w:szCs w:val="1"/>
                <w:color w:val="auto"/>
              </w:rPr>
            </w:pPr>
          </w:p>
        </w:tc>
      </w:tr>
      <w:tr>
        <w:trPr>
          <w:trHeight w:val="155"/>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jc w:val="center"/>
              <w:ind w:left="443"/>
              <w:spacing w:after="0" w:line="155" w:lineRule="exact"/>
              <w:rPr>
                <w:sz w:val="20"/>
                <w:szCs w:val="20"/>
                <w:color w:val="auto"/>
              </w:rPr>
            </w:pPr>
            <w:r>
              <w:rPr>
                <w:rFonts w:ascii="Times New Roman" w:cs="Times New Roman" w:eastAsia="Times New Roman" w:hAnsi="Times New Roman"/>
                <w:sz w:val="15"/>
                <w:szCs w:val="15"/>
                <w:color w:val="auto"/>
              </w:rPr>
              <w:t>Other</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4"/>
          </w:tcPr>
          <w:p>
            <w:pPr>
              <w:jc w:val="center"/>
              <w:ind w:right="43"/>
              <w:spacing w:after="0" w:line="155" w:lineRule="exact"/>
              <w:rPr>
                <w:sz w:val="20"/>
                <w:szCs w:val="20"/>
                <w:color w:val="auto"/>
              </w:rPr>
            </w:pPr>
            <w:r>
              <w:rPr>
                <w:rFonts w:ascii="Times New Roman" w:cs="Times New Roman" w:eastAsia="Times New Roman" w:hAnsi="Times New Roman"/>
                <w:sz w:val="15"/>
                <w:szCs w:val="15"/>
                <w:color w:val="auto"/>
              </w:rPr>
              <w:t>Accumulated Other</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4"/>
          </w:tcPr>
          <w:p>
            <w:pPr>
              <w:jc w:val="center"/>
              <w:ind w:right="43"/>
              <w:spacing w:after="0" w:line="155" w:lineRule="exact"/>
              <w:rPr>
                <w:sz w:val="20"/>
                <w:szCs w:val="20"/>
                <w:color w:val="auto"/>
              </w:rPr>
            </w:pPr>
            <w:r>
              <w:rPr>
                <w:rFonts w:ascii="Times New Roman" w:cs="Times New Roman" w:eastAsia="Times New Roman" w:hAnsi="Times New Roman"/>
                <w:sz w:val="15"/>
                <w:szCs w:val="15"/>
                <w:color w:val="auto"/>
              </w:rPr>
              <w:t>Comprehensive Income</w:t>
            </w: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5"/>
          </w:tcPr>
          <w:p>
            <w:pPr>
              <w:jc w:val="center"/>
              <w:spacing w:after="0" w:line="155" w:lineRule="exact"/>
              <w:rPr>
                <w:sz w:val="20"/>
                <w:szCs w:val="20"/>
                <w:color w:val="auto"/>
              </w:rPr>
            </w:pPr>
            <w:r>
              <w:rPr>
                <w:rFonts w:ascii="Times New Roman" w:cs="Times New Roman" w:eastAsia="Times New Roman" w:hAnsi="Times New Roman"/>
                <w:sz w:val="15"/>
                <w:szCs w:val="15"/>
                <w:color w:val="auto"/>
              </w:rPr>
              <w:t>Comprehensive Loss into</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4"/>
          </w:tcPr>
          <w:p>
            <w:pPr>
              <w:jc w:val="center"/>
              <w:ind w:right="83"/>
              <w:spacing w:after="0" w:line="155" w:lineRule="exact"/>
              <w:rPr>
                <w:sz w:val="20"/>
                <w:szCs w:val="20"/>
                <w:color w:val="auto"/>
              </w:rPr>
            </w:pPr>
            <w:r>
              <w:rPr>
                <w:rFonts w:ascii="Times New Roman" w:cs="Times New Roman" w:eastAsia="Times New Roman" w:hAnsi="Times New Roman"/>
                <w:sz w:val="15"/>
                <w:szCs w:val="15"/>
                <w:color w:val="auto"/>
              </w:rPr>
              <w:t>Recognized</w:t>
            </w:r>
          </w:p>
        </w:tc>
        <w:tc>
          <w:tcPr>
            <w:tcW w:w="0" w:type="dxa"/>
            <w:vAlign w:val="bottom"/>
          </w:tcPr>
          <w:p>
            <w:pPr>
              <w:spacing w:after="0"/>
              <w:rPr>
                <w:sz w:val="1"/>
                <w:szCs w:val="1"/>
                <w:color w:val="auto"/>
              </w:rPr>
            </w:pPr>
          </w:p>
        </w:tc>
      </w:tr>
      <w:tr>
        <w:trPr>
          <w:trHeight w:val="200"/>
        </w:trPr>
        <w:tc>
          <w:tcPr>
            <w:tcW w:w="25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4"/>
          </w:tcPr>
          <w:p>
            <w:pPr>
              <w:jc w:val="center"/>
              <w:ind w:right="43"/>
              <w:spacing w:after="0"/>
              <w:rPr>
                <w:sz w:val="20"/>
                <w:szCs w:val="20"/>
                <w:color w:val="auto"/>
              </w:rPr>
            </w:pPr>
            <w:r>
              <w:rPr>
                <w:rFonts w:ascii="Times New Roman" w:cs="Times New Roman" w:eastAsia="Times New Roman" w:hAnsi="Times New Roman"/>
                <w:sz w:val="15"/>
                <w:szCs w:val="15"/>
                <w:color w:val="auto"/>
              </w:rPr>
              <w:t>(Effective Portion)</w:t>
            </w:r>
          </w:p>
        </w:tc>
        <w:tc>
          <w:tcPr>
            <w:tcW w:w="80" w:type="dxa"/>
            <w:vAlign w:val="bottom"/>
          </w:tcPr>
          <w:p>
            <w:pPr>
              <w:spacing w:after="0"/>
              <w:rPr>
                <w:sz w:val="17"/>
                <w:szCs w:val="17"/>
                <w:color w:val="auto"/>
              </w:rPr>
            </w:pPr>
          </w:p>
        </w:tc>
        <w:tc>
          <w:tcPr>
            <w:tcW w:w="1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Location of Loss</w:t>
            </w:r>
          </w:p>
        </w:tc>
        <w:tc>
          <w:tcPr>
            <w:tcW w:w="17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5"/>
                <w:szCs w:val="15"/>
                <w:color w:val="auto"/>
              </w:rPr>
              <w:t>Income (Effective Portion)</w:t>
            </w: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4"/>
          </w:tcPr>
          <w:p>
            <w:pPr>
              <w:jc w:val="center"/>
              <w:ind w:right="103"/>
              <w:spacing w:after="0"/>
              <w:rPr>
                <w:sz w:val="20"/>
                <w:szCs w:val="20"/>
                <w:color w:val="auto"/>
              </w:rPr>
            </w:pPr>
            <w:r>
              <w:rPr>
                <w:rFonts w:ascii="Times New Roman" w:cs="Times New Roman" w:eastAsia="Times New Roman" w:hAnsi="Times New Roman"/>
                <w:sz w:val="15"/>
                <w:szCs w:val="15"/>
                <w:color w:val="auto"/>
              </w:rPr>
              <w:t>in Income</w:t>
            </w:r>
          </w:p>
        </w:tc>
        <w:tc>
          <w:tcPr>
            <w:tcW w:w="0" w:type="dxa"/>
            <w:vAlign w:val="bottom"/>
          </w:tcPr>
          <w:p>
            <w:pPr>
              <w:spacing w:after="0"/>
              <w:rPr>
                <w:sz w:val="1"/>
                <w:szCs w:val="1"/>
                <w:color w:val="auto"/>
              </w:rPr>
            </w:pPr>
          </w:p>
        </w:tc>
      </w:tr>
      <w:tr>
        <w:trPr>
          <w:trHeight w:val="25"/>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4"/>
            <w:vMerge w:val="restart"/>
          </w:tcPr>
          <w:p>
            <w:pPr>
              <w:jc w:val="center"/>
              <w:ind w:right="43"/>
              <w:spacing w:after="0"/>
              <w:rPr>
                <w:sz w:val="20"/>
                <w:szCs w:val="20"/>
                <w:color w:val="auto"/>
              </w:rPr>
            </w:pPr>
            <w:r>
              <w:rPr>
                <w:rFonts w:ascii="Times New Roman" w:cs="Times New Roman" w:eastAsia="Times New Roman" w:hAnsi="Times New Roman"/>
                <w:sz w:val="15"/>
                <w:szCs w:val="15"/>
                <w:color w:val="auto"/>
              </w:rPr>
              <w:t>Three Month</w:t>
            </w:r>
          </w:p>
        </w:tc>
        <w:tc>
          <w:tcPr>
            <w:tcW w:w="80" w:type="dxa"/>
            <w:vAlign w:val="bottom"/>
          </w:tcPr>
          <w:p>
            <w:pPr>
              <w:spacing w:after="0"/>
              <w:rPr>
                <w:sz w:val="13"/>
                <w:szCs w:val="13"/>
                <w:color w:val="auto"/>
              </w:rPr>
            </w:pPr>
          </w:p>
        </w:tc>
        <w:tc>
          <w:tcPr>
            <w:tcW w:w="162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5"/>
                <w:szCs w:val="15"/>
                <w:color w:val="auto"/>
              </w:rPr>
              <w:t>Reclassified from</w:t>
            </w:r>
          </w:p>
        </w:tc>
        <w:tc>
          <w:tcPr>
            <w:tcW w:w="120" w:type="dxa"/>
            <w:vAlign w:val="bottom"/>
          </w:tcPr>
          <w:p>
            <w:pPr>
              <w:spacing w:after="0"/>
              <w:rPr>
                <w:sz w:val="13"/>
                <w:szCs w:val="13"/>
                <w:color w:val="auto"/>
              </w:rPr>
            </w:pPr>
          </w:p>
        </w:tc>
        <w:tc>
          <w:tcPr>
            <w:tcW w:w="1620" w:type="dxa"/>
            <w:vAlign w:val="bottom"/>
            <w:gridSpan w:val="4"/>
            <w:vMerge w:val="restart"/>
          </w:tcPr>
          <w:p>
            <w:pPr>
              <w:jc w:val="center"/>
              <w:ind w:right="43"/>
              <w:spacing w:after="0"/>
              <w:rPr>
                <w:sz w:val="20"/>
                <w:szCs w:val="20"/>
                <w:color w:val="auto"/>
              </w:rPr>
            </w:pPr>
            <w:r>
              <w:rPr>
                <w:rFonts w:ascii="Times New Roman" w:cs="Times New Roman" w:eastAsia="Times New Roman" w:hAnsi="Times New Roman"/>
                <w:sz w:val="15"/>
                <w:szCs w:val="15"/>
                <w:color w:val="auto"/>
              </w:rPr>
              <w:t>Three Month</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4"/>
            <w:vMerge w:val="restart"/>
          </w:tcPr>
          <w:p>
            <w:pPr>
              <w:jc w:val="center"/>
              <w:ind w:right="103"/>
              <w:spacing w:after="0"/>
              <w:rPr>
                <w:sz w:val="20"/>
                <w:szCs w:val="20"/>
                <w:color w:val="auto"/>
              </w:rPr>
            </w:pPr>
            <w:r>
              <w:rPr>
                <w:rFonts w:ascii="Times New Roman" w:cs="Times New Roman" w:eastAsia="Times New Roman" w:hAnsi="Times New Roman"/>
                <w:sz w:val="15"/>
                <w:szCs w:val="15"/>
                <w:color w:val="auto"/>
              </w:rPr>
              <w:t>Three Month</w:t>
            </w:r>
          </w:p>
        </w:tc>
        <w:tc>
          <w:tcPr>
            <w:tcW w:w="0" w:type="dxa"/>
            <w:vAlign w:val="bottom"/>
          </w:tcPr>
          <w:p>
            <w:pPr>
              <w:spacing w:after="0"/>
              <w:rPr>
                <w:sz w:val="1"/>
                <w:szCs w:val="1"/>
                <w:color w:val="auto"/>
              </w:rPr>
            </w:pPr>
          </w:p>
        </w:tc>
      </w:tr>
      <w:tr>
        <w:trPr>
          <w:trHeight w:val="52"/>
        </w:trPr>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gridSpan w:val="2"/>
            <w:vMerge w:val="restart"/>
          </w:tcPr>
          <w:p>
            <w:pPr>
              <w:jc w:val="center"/>
              <w:ind w:right="80"/>
              <w:spacing w:after="0" w:line="155" w:lineRule="exact"/>
              <w:rPr>
                <w:sz w:val="20"/>
                <w:szCs w:val="20"/>
                <w:color w:val="auto"/>
              </w:rPr>
            </w:pPr>
            <w:r>
              <w:rPr>
                <w:rFonts w:ascii="Times New Roman" w:cs="Times New Roman" w:eastAsia="Times New Roman" w:hAnsi="Times New Roman"/>
                <w:sz w:val="15"/>
                <w:szCs w:val="15"/>
                <w:color w:val="auto"/>
              </w:rPr>
              <w:t>Accumulated Other</w:t>
            </w:r>
          </w:p>
        </w:tc>
        <w:tc>
          <w:tcPr>
            <w:tcW w:w="12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2"/>
            <w:vMerge w:val="restart"/>
          </w:tcPr>
          <w:p>
            <w:pPr>
              <w:jc w:val="center"/>
              <w:ind w:right="60"/>
              <w:spacing w:after="0" w:line="155" w:lineRule="exact"/>
              <w:rPr>
                <w:sz w:val="20"/>
                <w:szCs w:val="20"/>
                <w:color w:val="auto"/>
              </w:rPr>
            </w:pPr>
            <w:r>
              <w:rPr>
                <w:rFonts w:ascii="Times New Roman" w:cs="Times New Roman" w:eastAsia="Times New Roman" w:hAnsi="Times New Roman"/>
                <w:sz w:val="15"/>
                <w:szCs w:val="15"/>
                <w:color w:val="auto"/>
              </w:rPr>
              <w:t>Location of</w:t>
            </w:r>
          </w:p>
        </w:tc>
        <w:tc>
          <w:tcPr>
            <w:tcW w:w="180" w:type="dxa"/>
            <w:vAlign w:val="bottom"/>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40" w:type="dxa"/>
            <w:vAlign w:val="bottom"/>
            <w:gridSpan w:val="4"/>
            <w:vMerge w:val="restart"/>
          </w:tcPr>
          <w:p>
            <w:pPr>
              <w:jc w:val="center"/>
              <w:ind w:right="43"/>
              <w:spacing w:after="0" w:line="155" w:lineRule="exact"/>
              <w:rPr>
                <w:sz w:val="20"/>
                <w:szCs w:val="20"/>
                <w:color w:val="auto"/>
              </w:rPr>
            </w:pPr>
            <w:r>
              <w:rPr>
                <w:rFonts w:ascii="Times New Roman" w:cs="Times New Roman" w:eastAsia="Times New Roman" w:hAnsi="Times New Roman"/>
                <w:sz w:val="15"/>
                <w:szCs w:val="15"/>
                <w:color w:val="auto"/>
              </w:rPr>
              <w:t>Periods Ended</w:t>
            </w:r>
          </w:p>
        </w:tc>
        <w:tc>
          <w:tcPr>
            <w:tcW w:w="8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gridSpan w:val="4"/>
            <w:vMerge w:val="restart"/>
          </w:tcPr>
          <w:p>
            <w:pPr>
              <w:jc w:val="center"/>
              <w:ind w:right="43"/>
              <w:spacing w:after="0" w:line="155" w:lineRule="exact"/>
              <w:rPr>
                <w:sz w:val="20"/>
                <w:szCs w:val="20"/>
                <w:color w:val="auto"/>
              </w:rPr>
            </w:pPr>
            <w:r>
              <w:rPr>
                <w:rFonts w:ascii="Times New Roman" w:cs="Times New Roman" w:eastAsia="Times New Roman" w:hAnsi="Times New Roman"/>
                <w:sz w:val="15"/>
                <w:szCs w:val="15"/>
                <w:color w:val="auto"/>
              </w:rPr>
              <w:t>Periods Ended</w:t>
            </w:r>
          </w:p>
        </w:tc>
        <w:tc>
          <w:tcPr>
            <w:tcW w:w="8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600" w:type="dxa"/>
            <w:vAlign w:val="bottom"/>
            <w:gridSpan w:val="4"/>
            <w:vMerge w:val="restart"/>
          </w:tcPr>
          <w:p>
            <w:pPr>
              <w:jc w:val="center"/>
              <w:ind w:right="103"/>
              <w:spacing w:after="0" w:line="155" w:lineRule="exact"/>
              <w:rPr>
                <w:sz w:val="20"/>
                <w:szCs w:val="20"/>
                <w:color w:val="auto"/>
              </w:rPr>
            </w:pPr>
            <w:r>
              <w:rPr>
                <w:rFonts w:ascii="Times New Roman" w:cs="Times New Roman" w:eastAsia="Times New Roman" w:hAnsi="Times New Roman"/>
                <w:sz w:val="15"/>
                <w:szCs w:val="15"/>
                <w:color w:val="auto"/>
              </w:rPr>
              <w:t>Periods Ended</w:t>
            </w:r>
          </w:p>
        </w:tc>
        <w:tc>
          <w:tcPr>
            <w:tcW w:w="0" w:type="dxa"/>
            <w:vAlign w:val="bottom"/>
          </w:tcPr>
          <w:p>
            <w:pPr>
              <w:spacing w:after="0"/>
              <w:rPr>
                <w:sz w:val="1"/>
                <w:szCs w:val="1"/>
                <w:color w:val="auto"/>
              </w:rPr>
            </w:pPr>
          </w:p>
        </w:tc>
      </w:tr>
      <w:tr>
        <w:trPr>
          <w:trHeight w:val="52"/>
        </w:trPr>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gridSpan w:val="2"/>
            <w:vMerge w:val="restart"/>
          </w:tcPr>
          <w:p>
            <w:pPr>
              <w:jc w:val="center"/>
              <w:ind w:right="80"/>
              <w:spacing w:after="0" w:line="155" w:lineRule="exact"/>
              <w:rPr>
                <w:sz w:val="20"/>
                <w:szCs w:val="20"/>
                <w:color w:val="auto"/>
              </w:rPr>
            </w:pPr>
            <w:r>
              <w:rPr>
                <w:rFonts w:ascii="Times New Roman" w:cs="Times New Roman" w:eastAsia="Times New Roman" w:hAnsi="Times New Roman"/>
                <w:sz w:val="15"/>
                <w:szCs w:val="15"/>
                <w:color w:val="auto"/>
              </w:rPr>
              <w:t>Comprehensive Loss</w:t>
            </w:r>
          </w:p>
        </w:tc>
        <w:tc>
          <w:tcPr>
            <w:tcW w:w="12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2"/>
            <w:vMerge w:val="restart"/>
          </w:tcPr>
          <w:p>
            <w:pPr>
              <w:jc w:val="center"/>
              <w:ind w:right="80"/>
              <w:spacing w:after="0" w:line="155" w:lineRule="exact"/>
              <w:rPr>
                <w:sz w:val="20"/>
                <w:szCs w:val="20"/>
                <w:color w:val="auto"/>
              </w:rPr>
            </w:pPr>
            <w:r>
              <w:rPr>
                <w:rFonts w:ascii="Times New Roman" w:cs="Times New Roman" w:eastAsia="Times New Roman" w:hAnsi="Times New Roman"/>
                <w:sz w:val="15"/>
                <w:szCs w:val="15"/>
                <w:color w:val="auto"/>
              </w:rPr>
              <w:t>Gain (Loss)</w:t>
            </w:r>
          </w:p>
        </w:tc>
        <w:tc>
          <w:tcPr>
            <w:tcW w:w="180" w:type="dxa"/>
            <w:vAlign w:val="bottom"/>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40" w:type="dxa"/>
            <w:vAlign w:val="bottom"/>
            <w:gridSpan w:val="4"/>
            <w:vMerge w:val="restart"/>
          </w:tcPr>
          <w:p>
            <w:pPr>
              <w:jc w:val="center"/>
              <w:ind w:right="43"/>
              <w:spacing w:after="0"/>
              <w:rPr>
                <w:sz w:val="20"/>
                <w:szCs w:val="20"/>
                <w:color w:val="auto"/>
              </w:rPr>
            </w:pPr>
            <w:r>
              <w:rPr>
                <w:rFonts w:ascii="Times New Roman" w:cs="Times New Roman" w:eastAsia="Times New Roman" w:hAnsi="Times New Roman"/>
                <w:sz w:val="15"/>
                <w:szCs w:val="15"/>
                <w:color w:val="auto"/>
              </w:rPr>
              <w:t>September 30,</w:t>
            </w:r>
          </w:p>
        </w:tc>
        <w:tc>
          <w:tcPr>
            <w:tcW w:w="8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gridSpan w:val="4"/>
            <w:vMerge w:val="restart"/>
          </w:tcPr>
          <w:p>
            <w:pPr>
              <w:jc w:val="center"/>
              <w:ind w:right="43"/>
              <w:spacing w:after="0"/>
              <w:rPr>
                <w:sz w:val="20"/>
                <w:szCs w:val="20"/>
                <w:color w:val="auto"/>
              </w:rPr>
            </w:pPr>
            <w:r>
              <w:rPr>
                <w:rFonts w:ascii="Times New Roman" w:cs="Times New Roman" w:eastAsia="Times New Roman" w:hAnsi="Times New Roman"/>
                <w:sz w:val="15"/>
                <w:szCs w:val="15"/>
                <w:color w:val="auto"/>
              </w:rPr>
              <w:t>September 30,</w:t>
            </w:r>
          </w:p>
        </w:tc>
        <w:tc>
          <w:tcPr>
            <w:tcW w:w="8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600" w:type="dxa"/>
            <w:vAlign w:val="bottom"/>
            <w:gridSpan w:val="4"/>
            <w:vMerge w:val="restart"/>
          </w:tcPr>
          <w:p>
            <w:pPr>
              <w:jc w:val="center"/>
              <w:ind w:right="103"/>
              <w:spacing w:after="0"/>
              <w:rPr>
                <w:sz w:val="20"/>
                <w:szCs w:val="20"/>
                <w:color w:val="auto"/>
              </w:rPr>
            </w:pPr>
            <w:r>
              <w:rPr>
                <w:rFonts w:ascii="Times New Roman" w:cs="Times New Roman" w:eastAsia="Times New Roman" w:hAnsi="Times New Roman"/>
                <w:sz w:val="15"/>
                <w:szCs w:val="15"/>
                <w:color w:val="auto"/>
              </w:rPr>
              <w:t>September 30,</w:t>
            </w:r>
          </w:p>
        </w:tc>
        <w:tc>
          <w:tcPr>
            <w:tcW w:w="0" w:type="dxa"/>
            <w:vAlign w:val="bottom"/>
          </w:tcPr>
          <w:p>
            <w:pPr>
              <w:spacing w:after="0"/>
              <w:rPr>
                <w:sz w:val="1"/>
                <w:szCs w:val="1"/>
                <w:color w:val="auto"/>
              </w:rPr>
            </w:pPr>
          </w:p>
        </w:tc>
      </w:tr>
      <w:tr>
        <w:trPr>
          <w:trHeight w:val="97"/>
        </w:trPr>
        <w:tc>
          <w:tcPr>
            <w:tcW w:w="2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gridSpan w:val="2"/>
            <w:vMerge w:val="restart"/>
          </w:tcPr>
          <w:p>
            <w:pPr>
              <w:jc w:val="center"/>
              <w:ind w:right="100"/>
              <w:spacing w:after="0" w:line="155" w:lineRule="exact"/>
              <w:rPr>
                <w:sz w:val="20"/>
                <w:szCs w:val="20"/>
                <w:color w:val="auto"/>
              </w:rPr>
            </w:pPr>
            <w:r>
              <w:rPr>
                <w:rFonts w:ascii="Times New Roman" w:cs="Times New Roman" w:eastAsia="Times New Roman" w:hAnsi="Times New Roman"/>
                <w:sz w:val="15"/>
                <w:szCs w:val="15"/>
                <w:color w:val="auto"/>
              </w:rPr>
              <w:t>into Income (Effective</w:t>
            </w:r>
          </w:p>
        </w:tc>
        <w:tc>
          <w:tcPr>
            <w:tcW w:w="12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660" w:type="dxa"/>
            <w:vAlign w:val="bottom"/>
            <w:gridSpan w:val="2"/>
            <w:vMerge w:val="restart"/>
          </w:tcPr>
          <w:p>
            <w:pPr>
              <w:jc w:val="center"/>
              <w:ind w:right="60"/>
              <w:spacing w:after="0" w:line="155" w:lineRule="exact"/>
              <w:rPr>
                <w:sz w:val="20"/>
                <w:szCs w:val="20"/>
                <w:color w:val="auto"/>
              </w:rPr>
            </w:pPr>
            <w:r>
              <w:rPr>
                <w:rFonts w:ascii="Times New Roman" w:cs="Times New Roman" w:eastAsia="Times New Roman" w:hAnsi="Times New Roman"/>
                <w:sz w:val="15"/>
                <w:szCs w:val="15"/>
                <w:color w:val="auto"/>
              </w:rPr>
              <w:t>Recognized</w:t>
            </w:r>
          </w:p>
        </w:tc>
        <w:tc>
          <w:tcPr>
            <w:tcW w:w="1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color w:val="auto"/>
              </w:rPr>
              <w:t>2025</w:t>
            </w: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color w:val="auto"/>
              </w:rPr>
              <w:t>2024</w:t>
            </w:r>
          </w:p>
        </w:tc>
        <w:tc>
          <w:tcPr>
            <w:tcW w:w="80" w:type="dxa"/>
            <w:vAlign w:val="bottom"/>
          </w:tcPr>
          <w:p>
            <w:pPr>
              <w:spacing w:after="0"/>
              <w:rPr>
                <w:sz w:val="3"/>
                <w:szCs w:val="3"/>
                <w:color w:val="auto"/>
              </w:rPr>
            </w:pPr>
          </w:p>
        </w:tc>
        <w:tc>
          <w:tcPr>
            <w:tcW w:w="16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vMerge w:val="restart"/>
          </w:tcPr>
          <w:p>
            <w:pPr>
              <w:jc w:val="right"/>
              <w:ind w:right="203"/>
              <w:spacing w:after="0"/>
              <w:rPr>
                <w:sz w:val="20"/>
                <w:szCs w:val="20"/>
                <w:color w:val="auto"/>
              </w:rPr>
            </w:pPr>
            <w:r>
              <w:rPr>
                <w:rFonts w:ascii="Times New Roman" w:cs="Times New Roman" w:eastAsia="Times New Roman" w:hAnsi="Times New Roman"/>
                <w:sz w:val="15"/>
                <w:szCs w:val="15"/>
                <w:color w:val="auto"/>
              </w:rPr>
              <w:t>2025</w:t>
            </w: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color w:val="auto"/>
              </w:rPr>
              <w:t>2024</w:t>
            </w:r>
          </w:p>
        </w:tc>
        <w:tc>
          <w:tcPr>
            <w:tcW w:w="8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vMerge w:val="restart"/>
          </w:tcPr>
          <w:p>
            <w:pPr>
              <w:jc w:val="right"/>
              <w:ind w:right="203"/>
              <w:spacing w:after="0"/>
              <w:rPr>
                <w:sz w:val="20"/>
                <w:szCs w:val="20"/>
                <w:color w:val="auto"/>
              </w:rPr>
            </w:pPr>
            <w:r>
              <w:rPr>
                <w:rFonts w:ascii="Times New Roman" w:cs="Times New Roman" w:eastAsia="Times New Roman" w:hAnsi="Times New Roman"/>
                <w:sz w:val="15"/>
                <w:szCs w:val="15"/>
                <w:color w:val="auto"/>
              </w:rPr>
              <w:t>2025</w:t>
            </w: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color w:val="auto"/>
              </w:rPr>
              <w:t>2024</w:t>
            </w:r>
          </w:p>
        </w:tc>
        <w:tc>
          <w:tcPr>
            <w:tcW w:w="0" w:type="dxa"/>
            <w:vAlign w:val="bottom"/>
          </w:tcPr>
          <w:p>
            <w:pPr>
              <w:spacing w:after="0" w:line="20" w:lineRule="exact"/>
              <w:rPr>
                <w:sz w:val="1"/>
                <w:szCs w:val="1"/>
                <w:color w:val="auto"/>
              </w:rPr>
            </w:pPr>
          </w:p>
        </w:tc>
      </w:tr>
      <w:tr>
        <w:trPr>
          <w:trHeight w:val="203"/>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Portion)</w:t>
            </w: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in Income</w:t>
            </w: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5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4"/>
          </w:tcPr>
          <w:p>
            <w:pPr>
              <w:jc w:val="center"/>
              <w:ind w:right="83"/>
              <w:spacing w:after="0"/>
              <w:rPr>
                <w:sz w:val="20"/>
                <w:szCs w:val="20"/>
                <w:color w:val="auto"/>
              </w:rPr>
            </w:pPr>
            <w:r>
              <w:rPr>
                <w:rFonts w:ascii="Times New Roman" w:cs="Times New Roman" w:eastAsia="Times New Roman" w:hAnsi="Times New Roman"/>
                <w:sz w:val="15"/>
                <w:szCs w:val="15"/>
                <w:color w:val="auto"/>
              </w:rPr>
              <w:t>(In thousands)</w:t>
            </w:r>
          </w:p>
        </w:tc>
        <w:tc>
          <w:tcPr>
            <w:tcW w:w="0" w:type="dxa"/>
            <w:vAlign w:val="bottom"/>
          </w:tcPr>
          <w:p>
            <w:pPr>
              <w:spacing w:after="0"/>
              <w:rPr>
                <w:sz w:val="1"/>
                <w:szCs w:val="1"/>
                <w:color w:val="auto"/>
              </w:rPr>
            </w:pPr>
          </w:p>
        </w:tc>
      </w:tr>
      <w:tr>
        <w:trPr>
          <w:trHeight w:val="20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Fair Value Hedges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52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5"/>
                <w:szCs w:val="15"/>
                <w:color w:val="auto"/>
              </w:rPr>
              <w:t>Interest and fees on</w:t>
            </w:r>
          </w:p>
        </w:tc>
        <w:tc>
          <w:tcPr>
            <w:tcW w:w="18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tcPr>
          <w:p>
            <w:pPr>
              <w:spacing w:after="0"/>
              <w:rPr>
                <w:sz w:val="13"/>
                <w:szCs w:val="13"/>
                <w:color w:val="auto"/>
              </w:rPr>
            </w:pPr>
          </w:p>
        </w:tc>
        <w:tc>
          <w:tcPr>
            <w:tcW w:w="18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(184)</w:t>
            </w:r>
          </w:p>
        </w:tc>
        <w:tc>
          <w:tcPr>
            <w:tcW w:w="0" w:type="dxa"/>
            <w:vAlign w:val="bottom"/>
          </w:tcPr>
          <w:p>
            <w:pPr>
              <w:spacing w:after="0"/>
              <w:rPr>
                <w:sz w:val="1"/>
                <w:szCs w:val="1"/>
                <w:color w:val="auto"/>
              </w:rPr>
            </w:pPr>
          </w:p>
        </w:tc>
      </w:tr>
      <w:tr>
        <w:trPr>
          <w:trHeight w:val="203"/>
        </w:trPr>
        <w:tc>
          <w:tcPr>
            <w:tcW w:w="2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agreement - commercial</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520" w:type="dxa"/>
            <w:vAlign w:val="bottom"/>
            <w:shd w:val="clear" w:color="auto" w:fill="CCEEFF"/>
          </w:tcPr>
          <w:p>
            <w:pPr>
              <w:ind w:left="180"/>
              <w:spacing w:after="0" w:line="159"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Interest on securities</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20" w:type="dxa"/>
            <w:vAlign w:val="bottom"/>
            <w:shd w:val="clear" w:color="auto" w:fill="CCEEFF"/>
          </w:tcPr>
          <w:p>
            <w:pPr>
              <w:ind w:left="320"/>
              <w:spacing w:after="0" w:line="155" w:lineRule="exact"/>
              <w:rPr>
                <w:sz w:val="20"/>
                <w:szCs w:val="20"/>
                <w:color w:val="auto"/>
              </w:rPr>
            </w:pPr>
            <w:r>
              <w:rPr>
                <w:rFonts w:ascii="Times New Roman" w:cs="Times New Roman" w:eastAsia="Times New Roman" w:hAnsi="Times New Roman"/>
                <w:sz w:val="15"/>
                <w:szCs w:val="15"/>
                <w:color w:val="auto"/>
              </w:rPr>
              <w:t>agreements - securities available</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(4,882)</w:t>
            </w:r>
          </w:p>
        </w:tc>
        <w:tc>
          <w:tcPr>
            <w:tcW w:w="0" w:type="dxa"/>
            <w:vAlign w:val="bottom"/>
          </w:tcPr>
          <w:p>
            <w:pPr>
              <w:spacing w:after="0"/>
              <w:rPr>
                <w:sz w:val="1"/>
                <w:szCs w:val="1"/>
                <w:color w:val="auto"/>
              </w:rPr>
            </w:pPr>
          </w:p>
        </w:tc>
      </w:tr>
      <w:tr>
        <w:trPr>
          <w:trHeight w:val="205"/>
        </w:trPr>
        <w:tc>
          <w:tcPr>
            <w:tcW w:w="2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for sale</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52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5"/>
                <w:szCs w:val="15"/>
                <w:color w:val="auto"/>
              </w:rPr>
              <w:t>Interest and fees on</w:t>
            </w:r>
          </w:p>
        </w:tc>
        <w:tc>
          <w:tcPr>
            <w:tcW w:w="1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(2,421)</w:t>
            </w:r>
          </w:p>
        </w:tc>
        <w:tc>
          <w:tcPr>
            <w:tcW w:w="0" w:type="dxa"/>
            <w:vAlign w:val="bottom"/>
          </w:tcPr>
          <w:p>
            <w:pPr>
              <w:spacing w:after="0"/>
              <w:rPr>
                <w:sz w:val="1"/>
                <w:szCs w:val="1"/>
                <w:color w:val="auto"/>
              </w:rPr>
            </w:pPr>
          </w:p>
        </w:tc>
      </w:tr>
      <w:tr>
        <w:trPr>
          <w:trHeight w:val="203"/>
        </w:trPr>
        <w:tc>
          <w:tcPr>
            <w:tcW w:w="2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agreements - Installment</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520" w:type="dxa"/>
            <w:vAlign w:val="bottom"/>
            <w:shd w:val="clear" w:color="auto" w:fill="CCEEFF"/>
          </w:tcPr>
          <w:p>
            <w:pPr>
              <w:ind w:left="180"/>
              <w:spacing w:after="0" w:line="159"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Interest and fees on</w:t>
            </w: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(2,940)</w:t>
            </w:r>
          </w:p>
        </w:tc>
        <w:tc>
          <w:tcPr>
            <w:tcW w:w="0" w:type="dxa"/>
            <w:vAlign w:val="bottom"/>
          </w:tcPr>
          <w:p>
            <w:pPr>
              <w:spacing w:after="0"/>
              <w:rPr>
                <w:sz w:val="1"/>
                <w:szCs w:val="1"/>
                <w:color w:val="auto"/>
              </w:rPr>
            </w:pPr>
          </w:p>
        </w:tc>
      </w:tr>
      <w:tr>
        <w:trPr>
          <w:trHeight w:val="205"/>
        </w:trPr>
        <w:tc>
          <w:tcPr>
            <w:tcW w:w="2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agreements - Mortgage</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52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Interest rate cap agreements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80" w:type="dxa"/>
            <w:vAlign w:val="bottom"/>
          </w:tcPr>
          <w:p>
            <w:pPr>
              <w:spacing w:after="0"/>
              <w:rPr>
                <w:sz w:val="13"/>
                <w:szCs w:val="13"/>
                <w:color w:val="auto"/>
              </w:rPr>
            </w:pPr>
          </w:p>
        </w:tc>
        <w:tc>
          <w:tcPr>
            <w:tcW w:w="20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(255)</w:t>
            </w:r>
          </w:p>
        </w:tc>
        <w:tc>
          <w:tcPr>
            <w:tcW w:w="80" w:type="dxa"/>
            <w:vAlign w:val="bottom"/>
          </w:tcPr>
          <w:p>
            <w:pPr>
              <w:spacing w:after="0"/>
              <w:rPr>
                <w:sz w:val="13"/>
                <w:szCs w:val="13"/>
                <w:color w:val="auto"/>
              </w:rPr>
            </w:pPr>
          </w:p>
        </w:tc>
        <w:tc>
          <w:tcPr>
            <w:tcW w:w="162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5"/>
                <w:szCs w:val="15"/>
                <w:color w:val="auto"/>
              </w:rPr>
              <w:t>Interest on securities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60" w:type="dxa"/>
            <w:vAlign w:val="bottom"/>
          </w:tcPr>
          <w:p>
            <w:pPr>
              <w:spacing w:after="0"/>
              <w:rPr>
                <w:sz w:val="13"/>
                <w:szCs w:val="13"/>
                <w:color w:val="auto"/>
              </w:rPr>
            </w:pPr>
          </w:p>
        </w:tc>
        <w:tc>
          <w:tcPr>
            <w:tcW w:w="18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80" w:type="dxa"/>
            <w:vAlign w:val="bottom"/>
          </w:tcPr>
          <w:p>
            <w:pPr>
              <w:spacing w:after="0"/>
              <w:rPr>
                <w:sz w:val="13"/>
                <w:szCs w:val="13"/>
                <w:color w:val="auto"/>
              </w:rPr>
            </w:pPr>
          </w:p>
        </w:tc>
        <w:tc>
          <w:tcPr>
            <w:tcW w:w="166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5"/>
                <w:szCs w:val="15"/>
                <w:color w:val="auto"/>
              </w:rPr>
              <w:t>Interest on securities</w:t>
            </w:r>
          </w:p>
        </w:tc>
        <w:tc>
          <w:tcPr>
            <w:tcW w:w="18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0" w:type="dxa"/>
            <w:vAlign w:val="bottom"/>
          </w:tcPr>
          <w:p>
            <w:pPr>
              <w:spacing w:after="0"/>
              <w:rPr>
                <w:sz w:val="1"/>
                <w:szCs w:val="1"/>
                <w:color w:val="auto"/>
              </w:rPr>
            </w:pPr>
          </w:p>
        </w:tc>
      </w:tr>
      <w:tr>
        <w:trPr>
          <w:trHeight w:val="203"/>
        </w:trPr>
        <w:tc>
          <w:tcPr>
            <w:tcW w:w="2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securities available for sale</w:t>
            </w:r>
          </w:p>
        </w:tc>
        <w:tc>
          <w:tcPr>
            <w:tcW w:w="1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5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60" w:type="dxa"/>
            <w:vAlign w:val="bottom"/>
            <w:tcBorders>
              <w:top w:val="single" w:sz="8" w:color="CCEEFF"/>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(1,293)</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(10,546)</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 Hedges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52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Interest rate floor agreements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(1,046)</w:t>
            </w:r>
          </w:p>
        </w:tc>
        <w:tc>
          <w:tcPr>
            <w:tcW w:w="80" w:type="dxa"/>
            <w:vAlign w:val="bottom"/>
          </w:tcPr>
          <w:p>
            <w:pPr>
              <w:spacing w:after="0"/>
              <w:rPr>
                <w:sz w:val="13"/>
                <w:szCs w:val="13"/>
                <w:color w:val="auto"/>
              </w:rPr>
            </w:pPr>
          </w:p>
        </w:tc>
        <w:tc>
          <w:tcPr>
            <w:tcW w:w="20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2,999</w:t>
            </w:r>
          </w:p>
        </w:tc>
        <w:tc>
          <w:tcPr>
            <w:tcW w:w="80" w:type="dxa"/>
            <w:vAlign w:val="bottom"/>
          </w:tcPr>
          <w:p>
            <w:pPr>
              <w:spacing w:after="0"/>
              <w:rPr>
                <w:sz w:val="13"/>
                <w:szCs w:val="13"/>
                <w:color w:val="auto"/>
              </w:rPr>
            </w:pPr>
          </w:p>
        </w:tc>
        <w:tc>
          <w:tcPr>
            <w:tcW w:w="162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5"/>
                <w:szCs w:val="15"/>
                <w:color w:val="auto"/>
              </w:rPr>
              <w:t>Interest and fees on</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(551)</w:t>
            </w:r>
          </w:p>
        </w:tc>
        <w:tc>
          <w:tcPr>
            <w:tcW w:w="60" w:type="dxa"/>
            <w:vAlign w:val="bottom"/>
          </w:tcPr>
          <w:p>
            <w:pPr>
              <w:spacing w:after="0"/>
              <w:rPr>
                <w:sz w:val="13"/>
                <w:szCs w:val="13"/>
                <w:color w:val="auto"/>
              </w:rPr>
            </w:pPr>
          </w:p>
        </w:tc>
        <w:tc>
          <w:tcPr>
            <w:tcW w:w="18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(333)</w:t>
            </w:r>
          </w:p>
        </w:tc>
        <w:tc>
          <w:tcPr>
            <w:tcW w:w="80" w:type="dxa"/>
            <w:vAlign w:val="bottom"/>
          </w:tcPr>
          <w:p>
            <w:pPr>
              <w:spacing w:after="0"/>
              <w:rPr>
                <w:sz w:val="13"/>
                <w:szCs w:val="13"/>
                <w:color w:val="auto"/>
              </w:rPr>
            </w:pPr>
          </w:p>
        </w:tc>
        <w:tc>
          <w:tcPr>
            <w:tcW w:w="166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5"/>
                <w:szCs w:val="15"/>
                <w:color w:val="auto"/>
              </w:rPr>
              <w:t>Interest and fees on</w:t>
            </w:r>
          </w:p>
        </w:tc>
        <w:tc>
          <w:tcPr>
            <w:tcW w:w="18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(551)</w:t>
            </w:r>
          </w:p>
        </w:tc>
        <w:tc>
          <w:tcPr>
            <w:tcW w:w="80" w:type="dxa"/>
            <w:vAlign w:val="bottom"/>
          </w:tcPr>
          <w:p>
            <w:pPr>
              <w:spacing w:after="0"/>
              <w:rPr>
                <w:sz w:val="13"/>
                <w:szCs w:val="13"/>
                <w:color w:val="auto"/>
              </w:rPr>
            </w:pPr>
          </w:p>
        </w:tc>
        <w:tc>
          <w:tcPr>
            <w:tcW w:w="18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(333)</w:t>
            </w:r>
          </w:p>
        </w:tc>
        <w:tc>
          <w:tcPr>
            <w:tcW w:w="0" w:type="dxa"/>
            <w:vAlign w:val="bottom"/>
          </w:tcPr>
          <w:p>
            <w:pPr>
              <w:spacing w:after="0"/>
              <w:rPr>
                <w:sz w:val="1"/>
                <w:szCs w:val="1"/>
                <w:color w:val="auto"/>
              </w:rPr>
            </w:pPr>
          </w:p>
        </w:tc>
      </w:tr>
      <w:tr>
        <w:trPr>
          <w:trHeight w:val="203"/>
        </w:trPr>
        <w:tc>
          <w:tcPr>
            <w:tcW w:w="2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commercial</w:t>
            </w:r>
          </w:p>
        </w:tc>
        <w:tc>
          <w:tcPr>
            <w:tcW w:w="1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520" w:type="dxa"/>
            <w:vAlign w:val="bottom"/>
            <w:shd w:val="clear" w:color="auto" w:fill="CCEEFF"/>
          </w:tcPr>
          <w:p>
            <w:pPr>
              <w:ind w:left="180"/>
              <w:spacing w:after="0" w:line="159" w:lineRule="exact"/>
              <w:rPr>
                <w:sz w:val="20"/>
                <w:szCs w:val="20"/>
                <w:color w:val="auto"/>
              </w:rPr>
            </w:pPr>
            <w:r>
              <w:rPr>
                <w:rFonts w:ascii="Times New Roman" w:cs="Times New Roman" w:eastAsia="Times New Roman" w:hAnsi="Times New Roman"/>
                <w:sz w:val="15"/>
                <w:szCs w:val="15"/>
                <w:color w:val="auto"/>
              </w:rPr>
              <w:t>Interest rate cap agreements - short-</w:t>
            </w: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3"/>
                <w:szCs w:val="13"/>
                <w:color w:val="auto"/>
              </w:rPr>
            </w:pPr>
          </w:p>
        </w:tc>
        <w:tc>
          <w:tcPr>
            <w:tcW w:w="16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3"/>
                <w:szCs w:val="13"/>
                <w:color w:val="auto"/>
              </w:rPr>
            </w:pPr>
          </w:p>
        </w:tc>
        <w:tc>
          <w:tcPr>
            <w:tcW w:w="16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2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term funding liabilities</w:t>
            </w: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gridSpan w:val="2"/>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60" w:type="dxa"/>
            <w:vAlign w:val="bottom"/>
            <w:gridSpan w:val="2"/>
            <w:vMerge w:val="continue"/>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(1,139)</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2,999</w:t>
            </w: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(555)</w:t>
            </w: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(333)</w:t>
            </w: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(555)</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(333)</w:t>
            </w:r>
          </w:p>
        </w:tc>
        <w:tc>
          <w:tcPr>
            <w:tcW w:w="0" w:type="dxa"/>
            <w:vAlign w:val="bottom"/>
          </w:tcPr>
          <w:p>
            <w:pPr>
              <w:spacing w:after="0"/>
              <w:rPr>
                <w:sz w:val="1"/>
                <w:szCs w:val="1"/>
                <w:color w:val="auto"/>
              </w:rPr>
            </w:pPr>
          </w:p>
        </w:tc>
      </w:tr>
      <w:tr>
        <w:trPr>
          <w:trHeight w:val="20"/>
        </w:trPr>
        <w:tc>
          <w:tcPr>
            <w:tcW w:w="2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 hedge designation</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520" w:type="dxa"/>
            <w:vAlign w:val="bottom"/>
            <w:shd w:val="clear" w:color="auto" w:fill="CCEEFF"/>
          </w:tcPr>
          <w:p>
            <w:pPr>
              <w:ind w:left="180"/>
              <w:spacing w:after="0" w:line="159" w:lineRule="exact"/>
              <w:rPr>
                <w:sz w:val="20"/>
                <w:szCs w:val="20"/>
                <w:color w:val="auto"/>
              </w:rPr>
            </w:pPr>
            <w:r>
              <w:rPr>
                <w:rFonts w:ascii="Times New Roman" w:cs="Times New Roman" w:eastAsia="Times New Roman" w:hAnsi="Times New Roman"/>
                <w:sz w:val="15"/>
                <w:szCs w:val="15"/>
                <w:color w:val="auto"/>
              </w:rPr>
              <w:t>Rate-lock mortgage loan</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Net gains on mortgage</w:t>
            </w:r>
          </w:p>
        </w:tc>
        <w:tc>
          <w:tcPr>
            <w:tcW w:w="1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w:t>
            </w:r>
          </w:p>
        </w:tc>
        <w:tc>
          <w:tcPr>
            <w:tcW w:w="0" w:type="dxa"/>
            <w:vAlign w:val="bottom"/>
          </w:tcPr>
          <w:p>
            <w:pPr>
              <w:spacing w:after="0"/>
              <w:rPr>
                <w:sz w:val="1"/>
                <w:szCs w:val="1"/>
                <w:color w:val="auto"/>
              </w:rPr>
            </w:pPr>
          </w:p>
        </w:tc>
      </w:tr>
      <w:tr>
        <w:trPr>
          <w:trHeight w:val="205"/>
        </w:trPr>
        <w:tc>
          <w:tcPr>
            <w:tcW w:w="2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commitments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52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Mandatory commitments to sell</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5"/>
                <w:szCs w:val="15"/>
                <w:color w:val="auto"/>
              </w:rPr>
              <w:t>Net gains on mortgage</w:t>
            </w:r>
          </w:p>
        </w:tc>
        <w:tc>
          <w:tcPr>
            <w:tcW w:w="1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0" w:type="dxa"/>
            <w:vAlign w:val="bottom"/>
          </w:tcPr>
          <w:p>
            <w:pPr>
              <w:spacing w:after="0"/>
              <w:rPr>
                <w:sz w:val="1"/>
                <w:szCs w:val="1"/>
                <w:color w:val="auto"/>
              </w:rPr>
            </w:pPr>
          </w:p>
        </w:tc>
      </w:tr>
      <w:tr>
        <w:trPr>
          <w:trHeight w:val="203"/>
        </w:trPr>
        <w:tc>
          <w:tcPr>
            <w:tcW w:w="2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mortgage loans</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520" w:type="dxa"/>
            <w:vAlign w:val="bottom"/>
            <w:shd w:val="clear" w:color="auto" w:fill="CCEEFF"/>
          </w:tcPr>
          <w:p>
            <w:pPr>
              <w:ind w:left="180"/>
              <w:spacing w:after="0" w:line="159"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Interest and fees on</w:t>
            </w: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(15,031)</w:t>
            </w:r>
          </w:p>
        </w:tc>
        <w:tc>
          <w:tcPr>
            <w:tcW w:w="0" w:type="dxa"/>
            <w:vAlign w:val="bottom"/>
          </w:tcPr>
          <w:p>
            <w:pPr>
              <w:spacing w:after="0"/>
              <w:rPr>
                <w:sz w:val="1"/>
                <w:szCs w:val="1"/>
                <w:color w:val="auto"/>
              </w:rPr>
            </w:pPr>
          </w:p>
        </w:tc>
      </w:tr>
      <w:tr>
        <w:trPr>
          <w:trHeight w:val="205"/>
        </w:trPr>
        <w:tc>
          <w:tcPr>
            <w:tcW w:w="2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agreements - commercial</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52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Pay-variable interest rate swap</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5"/>
                <w:szCs w:val="15"/>
                <w:color w:val="auto"/>
              </w:rPr>
              <w:t>Interest and fees on</w:t>
            </w:r>
          </w:p>
        </w:tc>
        <w:tc>
          <w:tcPr>
            <w:tcW w:w="1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1,879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15,031</w:t>
            </w:r>
          </w:p>
        </w:tc>
        <w:tc>
          <w:tcPr>
            <w:tcW w:w="0" w:type="dxa"/>
            <w:vAlign w:val="bottom"/>
          </w:tcPr>
          <w:p>
            <w:pPr>
              <w:spacing w:after="0"/>
              <w:rPr>
                <w:sz w:val="1"/>
                <w:szCs w:val="1"/>
                <w:color w:val="auto"/>
              </w:rPr>
            </w:pPr>
          </w:p>
        </w:tc>
      </w:tr>
      <w:tr>
        <w:trPr>
          <w:trHeight w:val="203"/>
        </w:trPr>
        <w:tc>
          <w:tcPr>
            <w:tcW w:w="25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agreements - commercial</w:t>
            </w: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5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left="1780"/>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left="1780"/>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20" w:type="dxa"/>
            <w:vAlign w:val="bottom"/>
          </w:tcPr>
          <w:p>
            <w:pPr>
              <w:spacing w:after="0"/>
              <w:rPr>
                <w:sz w:val="15"/>
                <w:szCs w:val="15"/>
                <w:color w:val="auto"/>
              </w:rPr>
            </w:pPr>
          </w:p>
        </w:tc>
        <w:tc>
          <w:tcPr>
            <w:tcW w:w="1760" w:type="dxa"/>
            <w:vAlign w:val="bottom"/>
            <w:gridSpan w:val="5"/>
          </w:tcPr>
          <w:p>
            <w:pPr>
              <w:jc w:val="center"/>
              <w:spacing w:after="0"/>
              <w:rPr>
                <w:sz w:val="20"/>
                <w:szCs w:val="20"/>
                <w:color w:val="auto"/>
              </w:rPr>
            </w:pPr>
            <w:r>
              <w:rPr>
                <w:rFonts w:ascii="Times New Roman" w:cs="Times New Roman" w:eastAsia="Times New Roman" w:hAnsi="Times New Roman"/>
                <w:sz w:val="15"/>
                <w:szCs w:val="15"/>
                <w:color w:val="auto"/>
              </w:rPr>
              <w:t>Gain (Loss) Recognized in</w:t>
            </w:r>
          </w:p>
        </w:tc>
        <w:tc>
          <w:tcPr>
            <w:tcW w:w="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4"/>
          </w:tcPr>
          <w:p>
            <w:pPr>
              <w:jc w:val="center"/>
              <w:ind w:right="23"/>
              <w:spacing w:after="0"/>
              <w:rPr>
                <w:sz w:val="20"/>
                <w:szCs w:val="20"/>
                <w:color w:val="auto"/>
              </w:rPr>
            </w:pPr>
            <w:r>
              <w:rPr>
                <w:rFonts w:ascii="Times New Roman" w:cs="Times New Roman" w:eastAsia="Times New Roman" w:hAnsi="Times New Roman"/>
                <w:sz w:val="15"/>
                <w:szCs w:val="15"/>
                <w:color w:val="auto"/>
              </w:rPr>
              <w:t>Loss Reclassified from</w:t>
            </w: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jc w:val="center"/>
              <w:ind w:left="443"/>
              <w:spacing w:after="0" w:line="155" w:lineRule="exact"/>
              <w:rPr>
                <w:sz w:val="20"/>
                <w:szCs w:val="20"/>
                <w:color w:val="auto"/>
              </w:rPr>
            </w:pPr>
            <w:r>
              <w:rPr>
                <w:rFonts w:ascii="Times New Roman" w:cs="Times New Roman" w:eastAsia="Times New Roman" w:hAnsi="Times New Roman"/>
                <w:sz w:val="15"/>
                <w:szCs w:val="15"/>
                <w:color w:val="auto"/>
              </w:rPr>
              <w:t>Other</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4"/>
          </w:tcPr>
          <w:p>
            <w:pPr>
              <w:jc w:val="center"/>
              <w:ind w:right="3"/>
              <w:spacing w:after="0" w:line="155" w:lineRule="exact"/>
              <w:rPr>
                <w:sz w:val="20"/>
                <w:szCs w:val="20"/>
                <w:color w:val="auto"/>
              </w:rPr>
            </w:pPr>
            <w:r>
              <w:rPr>
                <w:rFonts w:ascii="Times New Roman" w:cs="Times New Roman" w:eastAsia="Times New Roman" w:hAnsi="Times New Roman"/>
                <w:sz w:val="15"/>
                <w:szCs w:val="15"/>
                <w:color w:val="auto"/>
              </w:rPr>
              <w:t>Accumulated Other</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4"/>
          </w:tcPr>
          <w:p>
            <w:pPr>
              <w:jc w:val="center"/>
              <w:ind w:right="43"/>
              <w:spacing w:after="0" w:line="155" w:lineRule="exact"/>
              <w:rPr>
                <w:sz w:val="20"/>
                <w:szCs w:val="20"/>
                <w:color w:val="auto"/>
              </w:rPr>
            </w:pPr>
            <w:r>
              <w:rPr>
                <w:rFonts w:ascii="Times New Roman" w:cs="Times New Roman" w:eastAsia="Times New Roman" w:hAnsi="Times New Roman"/>
                <w:sz w:val="15"/>
                <w:szCs w:val="15"/>
                <w:color w:val="auto"/>
              </w:rPr>
              <w:t>Comprehensive Income</w:t>
            </w: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4"/>
          </w:tcPr>
          <w:p>
            <w:pPr>
              <w:jc w:val="center"/>
              <w:ind w:right="3"/>
              <w:spacing w:after="0" w:line="155" w:lineRule="exact"/>
              <w:rPr>
                <w:sz w:val="20"/>
                <w:szCs w:val="20"/>
                <w:color w:val="auto"/>
              </w:rPr>
            </w:pPr>
            <w:r>
              <w:rPr>
                <w:rFonts w:ascii="Times New Roman" w:cs="Times New Roman" w:eastAsia="Times New Roman" w:hAnsi="Times New Roman"/>
                <w:sz w:val="15"/>
                <w:szCs w:val="15"/>
                <w:color w:val="auto"/>
              </w:rPr>
              <w:t>Comprehensive Loss into</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5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4"/>
          </w:tcPr>
          <w:p>
            <w:pPr>
              <w:jc w:val="center"/>
              <w:ind w:right="43"/>
              <w:spacing w:after="0"/>
              <w:rPr>
                <w:sz w:val="20"/>
                <w:szCs w:val="20"/>
                <w:color w:val="auto"/>
              </w:rPr>
            </w:pPr>
            <w:r>
              <w:rPr>
                <w:rFonts w:ascii="Times New Roman" w:cs="Times New Roman" w:eastAsia="Times New Roman" w:hAnsi="Times New Roman"/>
                <w:sz w:val="15"/>
                <w:szCs w:val="15"/>
                <w:color w:val="auto"/>
              </w:rPr>
              <w:t>(Effective Portion)</w:t>
            </w:r>
          </w:p>
        </w:tc>
        <w:tc>
          <w:tcPr>
            <w:tcW w:w="60" w:type="dxa"/>
            <w:vAlign w:val="bottom"/>
          </w:tcPr>
          <w:p>
            <w:pPr>
              <w:spacing w:after="0"/>
              <w:rPr>
                <w:sz w:val="17"/>
                <w:szCs w:val="17"/>
                <w:color w:val="auto"/>
              </w:rPr>
            </w:pPr>
          </w:p>
        </w:tc>
        <w:tc>
          <w:tcPr>
            <w:tcW w:w="16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5"/>
                <w:szCs w:val="15"/>
                <w:color w:val="auto"/>
              </w:rPr>
              <w:t>Location of Loss</w:t>
            </w:r>
          </w:p>
        </w:tc>
        <w:tc>
          <w:tcPr>
            <w:tcW w:w="17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5"/>
                <w:szCs w:val="15"/>
                <w:color w:val="auto"/>
              </w:rPr>
              <w:t>Income (Effective Portion)</w:t>
            </w: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4"/>
            <w:vMerge w:val="restart"/>
          </w:tcPr>
          <w:p>
            <w:pPr>
              <w:jc w:val="center"/>
              <w:ind w:right="63"/>
              <w:spacing w:after="0"/>
              <w:rPr>
                <w:sz w:val="20"/>
                <w:szCs w:val="20"/>
                <w:color w:val="auto"/>
              </w:rPr>
            </w:pPr>
            <w:r>
              <w:rPr>
                <w:rFonts w:ascii="Times New Roman" w:cs="Times New Roman" w:eastAsia="Times New Roman" w:hAnsi="Times New Roman"/>
                <w:sz w:val="15"/>
                <w:szCs w:val="15"/>
                <w:color w:val="auto"/>
              </w:rPr>
              <w:t>Nine Month</w:t>
            </w:r>
          </w:p>
        </w:tc>
        <w:tc>
          <w:tcPr>
            <w:tcW w:w="60" w:type="dxa"/>
            <w:vAlign w:val="bottom"/>
          </w:tcPr>
          <w:p>
            <w:pPr>
              <w:spacing w:after="0"/>
              <w:rPr>
                <w:sz w:val="13"/>
                <w:szCs w:val="13"/>
                <w:color w:val="auto"/>
              </w:rPr>
            </w:pPr>
          </w:p>
        </w:tc>
        <w:tc>
          <w:tcPr>
            <w:tcW w:w="162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5"/>
                <w:szCs w:val="15"/>
                <w:color w:val="auto"/>
              </w:rPr>
              <w:t>Reclassified from</w:t>
            </w:r>
          </w:p>
        </w:tc>
        <w:tc>
          <w:tcPr>
            <w:tcW w:w="100" w:type="dxa"/>
            <w:vAlign w:val="bottom"/>
          </w:tcPr>
          <w:p>
            <w:pPr>
              <w:spacing w:after="0"/>
              <w:rPr>
                <w:sz w:val="13"/>
                <w:szCs w:val="13"/>
                <w:color w:val="auto"/>
              </w:rPr>
            </w:pPr>
          </w:p>
        </w:tc>
        <w:tc>
          <w:tcPr>
            <w:tcW w:w="1660" w:type="dxa"/>
            <w:vAlign w:val="bottom"/>
            <w:gridSpan w:val="4"/>
            <w:vMerge w:val="restart"/>
          </w:tcPr>
          <w:p>
            <w:pPr>
              <w:jc w:val="center"/>
              <w:ind w:right="23"/>
              <w:spacing w:after="0"/>
              <w:rPr>
                <w:sz w:val="20"/>
                <w:szCs w:val="20"/>
                <w:color w:val="auto"/>
              </w:rPr>
            </w:pPr>
            <w:r>
              <w:rPr>
                <w:rFonts w:ascii="Times New Roman" w:cs="Times New Roman" w:eastAsia="Times New Roman" w:hAnsi="Times New Roman"/>
                <w:sz w:val="15"/>
                <w:szCs w:val="15"/>
                <w:color w:val="auto"/>
              </w:rPr>
              <w:t>Nine Month</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1620" w:type="dxa"/>
            <w:vAlign w:val="bottom"/>
            <w:gridSpan w:val="2"/>
            <w:vMerge w:val="restart"/>
          </w:tcPr>
          <w:p>
            <w:pPr>
              <w:jc w:val="center"/>
              <w:ind w:right="80"/>
              <w:spacing w:after="0" w:line="155" w:lineRule="exact"/>
              <w:rPr>
                <w:sz w:val="20"/>
                <w:szCs w:val="20"/>
                <w:color w:val="auto"/>
              </w:rPr>
            </w:pPr>
            <w:r>
              <w:rPr>
                <w:rFonts w:ascii="Times New Roman" w:cs="Times New Roman" w:eastAsia="Times New Roman" w:hAnsi="Times New Roman"/>
                <w:sz w:val="15"/>
                <w:szCs w:val="15"/>
                <w:color w:val="auto"/>
              </w:rPr>
              <w:t>Accumulated Other</w:t>
            </w:r>
          </w:p>
        </w:tc>
        <w:tc>
          <w:tcPr>
            <w:tcW w:w="10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2"/>
            <w:vMerge w:val="restart"/>
          </w:tcPr>
          <w:p>
            <w:pPr>
              <w:jc w:val="center"/>
              <w:ind w:right="60"/>
              <w:spacing w:after="0" w:line="155" w:lineRule="exact"/>
              <w:rPr>
                <w:sz w:val="20"/>
                <w:szCs w:val="20"/>
                <w:color w:val="auto"/>
              </w:rPr>
            </w:pPr>
            <w:r>
              <w:rPr>
                <w:rFonts w:ascii="Times New Roman" w:cs="Times New Roman" w:eastAsia="Times New Roman" w:hAnsi="Times New Roman"/>
                <w:sz w:val="15"/>
                <w:szCs w:val="15"/>
                <w:color w:val="auto"/>
              </w:rPr>
              <w:t>Location of</w:t>
            </w:r>
          </w:p>
        </w:tc>
        <w:tc>
          <w:tcPr>
            <w:tcW w:w="0" w:type="dxa"/>
            <w:vAlign w:val="bottom"/>
          </w:tcPr>
          <w:p>
            <w:pPr>
              <w:spacing w:after="0"/>
              <w:rPr>
                <w:sz w:val="1"/>
                <w:szCs w:val="1"/>
                <w:color w:val="auto"/>
              </w:rPr>
            </w:pPr>
          </w:p>
        </w:tc>
      </w:tr>
      <w:tr>
        <w:trPr>
          <w:trHeight w:val="103"/>
        </w:trPr>
        <w:tc>
          <w:tcPr>
            <w:tcW w:w="2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40" w:type="dxa"/>
            <w:vAlign w:val="bottom"/>
            <w:gridSpan w:val="4"/>
            <w:vMerge w:val="restart"/>
          </w:tcPr>
          <w:p>
            <w:pPr>
              <w:jc w:val="center"/>
              <w:ind w:right="63"/>
              <w:spacing w:after="0" w:line="155" w:lineRule="exact"/>
              <w:rPr>
                <w:sz w:val="20"/>
                <w:szCs w:val="20"/>
                <w:color w:val="auto"/>
              </w:rPr>
            </w:pPr>
            <w:r>
              <w:rPr>
                <w:rFonts w:ascii="Times New Roman" w:cs="Times New Roman" w:eastAsia="Times New Roman" w:hAnsi="Times New Roman"/>
                <w:sz w:val="15"/>
                <w:szCs w:val="15"/>
                <w:color w:val="auto"/>
              </w:rPr>
              <w:t>Periods Ended</w:t>
            </w:r>
          </w:p>
        </w:tc>
        <w:tc>
          <w:tcPr>
            <w:tcW w:w="6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660" w:type="dxa"/>
            <w:vAlign w:val="bottom"/>
            <w:gridSpan w:val="4"/>
            <w:vMerge w:val="restart"/>
          </w:tcPr>
          <w:p>
            <w:pPr>
              <w:jc w:val="center"/>
              <w:ind w:right="3"/>
              <w:spacing w:after="0" w:line="155" w:lineRule="exact"/>
              <w:rPr>
                <w:sz w:val="20"/>
                <w:szCs w:val="20"/>
                <w:color w:val="auto"/>
              </w:rPr>
            </w:pPr>
            <w:r>
              <w:rPr>
                <w:rFonts w:ascii="Times New Roman" w:cs="Times New Roman" w:eastAsia="Times New Roman" w:hAnsi="Times New Roman"/>
                <w:sz w:val="15"/>
                <w:szCs w:val="15"/>
                <w:color w:val="auto"/>
              </w:rPr>
              <w:t>Periods Ended</w:t>
            </w:r>
          </w:p>
        </w:tc>
        <w:tc>
          <w:tcPr>
            <w:tcW w:w="8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1620" w:type="dxa"/>
            <w:vAlign w:val="bottom"/>
            <w:gridSpan w:val="2"/>
            <w:vMerge w:val="restart"/>
          </w:tcPr>
          <w:p>
            <w:pPr>
              <w:jc w:val="center"/>
              <w:ind w:right="80"/>
              <w:spacing w:after="0" w:line="155" w:lineRule="exact"/>
              <w:rPr>
                <w:sz w:val="20"/>
                <w:szCs w:val="20"/>
                <w:color w:val="auto"/>
              </w:rPr>
            </w:pPr>
            <w:r>
              <w:rPr>
                <w:rFonts w:ascii="Times New Roman" w:cs="Times New Roman" w:eastAsia="Times New Roman" w:hAnsi="Times New Roman"/>
                <w:sz w:val="15"/>
                <w:szCs w:val="15"/>
                <w:color w:val="auto"/>
              </w:rPr>
              <w:t>Comprehensive Loss</w:t>
            </w:r>
          </w:p>
        </w:tc>
        <w:tc>
          <w:tcPr>
            <w:tcW w:w="10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2"/>
            <w:vMerge w:val="restart"/>
          </w:tcPr>
          <w:p>
            <w:pPr>
              <w:jc w:val="center"/>
              <w:ind w:right="80"/>
              <w:spacing w:after="0" w:line="155" w:lineRule="exact"/>
              <w:rPr>
                <w:sz w:val="20"/>
                <w:szCs w:val="20"/>
                <w:color w:val="auto"/>
              </w:rPr>
            </w:pPr>
            <w:r>
              <w:rPr>
                <w:rFonts w:ascii="Times New Roman" w:cs="Times New Roman" w:eastAsia="Times New Roman" w:hAnsi="Times New Roman"/>
                <w:sz w:val="15"/>
                <w:szCs w:val="15"/>
                <w:color w:val="auto"/>
              </w:rPr>
              <w:t>Gain (Loss)</w:t>
            </w:r>
          </w:p>
        </w:tc>
        <w:tc>
          <w:tcPr>
            <w:tcW w:w="0" w:type="dxa"/>
            <w:vAlign w:val="bottom"/>
          </w:tcPr>
          <w:p>
            <w:pPr>
              <w:spacing w:after="0"/>
              <w:rPr>
                <w:sz w:val="1"/>
                <w:szCs w:val="1"/>
                <w:color w:val="auto"/>
              </w:rPr>
            </w:pPr>
          </w:p>
        </w:tc>
      </w:tr>
      <w:tr>
        <w:trPr>
          <w:trHeight w:val="103"/>
        </w:trPr>
        <w:tc>
          <w:tcPr>
            <w:tcW w:w="2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40" w:type="dxa"/>
            <w:vAlign w:val="bottom"/>
            <w:gridSpan w:val="4"/>
            <w:vMerge w:val="restart"/>
          </w:tcPr>
          <w:p>
            <w:pPr>
              <w:jc w:val="center"/>
              <w:ind w:right="63"/>
              <w:spacing w:after="0"/>
              <w:rPr>
                <w:sz w:val="20"/>
                <w:szCs w:val="20"/>
                <w:color w:val="auto"/>
              </w:rPr>
            </w:pPr>
            <w:r>
              <w:rPr>
                <w:rFonts w:ascii="Times New Roman" w:cs="Times New Roman" w:eastAsia="Times New Roman" w:hAnsi="Times New Roman"/>
                <w:sz w:val="15"/>
                <w:szCs w:val="15"/>
                <w:color w:val="auto"/>
              </w:rPr>
              <w:t>September 30,</w:t>
            </w:r>
          </w:p>
        </w:tc>
        <w:tc>
          <w:tcPr>
            <w:tcW w:w="6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660" w:type="dxa"/>
            <w:vAlign w:val="bottom"/>
            <w:gridSpan w:val="4"/>
            <w:vMerge w:val="restart"/>
          </w:tcPr>
          <w:p>
            <w:pPr>
              <w:jc w:val="center"/>
              <w:ind w:right="23"/>
              <w:spacing w:after="0"/>
              <w:rPr>
                <w:sz w:val="20"/>
                <w:szCs w:val="20"/>
                <w:color w:val="auto"/>
              </w:rPr>
            </w:pPr>
            <w:r>
              <w:rPr>
                <w:rFonts w:ascii="Times New Roman" w:cs="Times New Roman" w:eastAsia="Times New Roman" w:hAnsi="Times New Roman"/>
                <w:sz w:val="15"/>
                <w:szCs w:val="15"/>
                <w:color w:val="auto"/>
              </w:rPr>
              <w:t>September 30,</w:t>
            </w:r>
          </w:p>
        </w:tc>
        <w:tc>
          <w:tcPr>
            <w:tcW w:w="8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1620" w:type="dxa"/>
            <w:vAlign w:val="bottom"/>
            <w:gridSpan w:val="2"/>
            <w:vMerge w:val="restart"/>
          </w:tcPr>
          <w:p>
            <w:pPr>
              <w:jc w:val="center"/>
              <w:ind w:right="60"/>
              <w:spacing w:after="0" w:line="155" w:lineRule="exact"/>
              <w:rPr>
                <w:sz w:val="20"/>
                <w:szCs w:val="20"/>
                <w:color w:val="auto"/>
              </w:rPr>
            </w:pPr>
            <w:r>
              <w:rPr>
                <w:rFonts w:ascii="Times New Roman" w:cs="Times New Roman" w:eastAsia="Times New Roman" w:hAnsi="Times New Roman"/>
                <w:sz w:val="15"/>
                <w:szCs w:val="15"/>
                <w:color w:val="auto"/>
              </w:rPr>
              <w:t>into Income (Effective</w:t>
            </w:r>
          </w:p>
        </w:tc>
        <w:tc>
          <w:tcPr>
            <w:tcW w:w="10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660" w:type="dxa"/>
            <w:vAlign w:val="bottom"/>
            <w:gridSpan w:val="2"/>
            <w:vMerge w:val="restart"/>
          </w:tcPr>
          <w:p>
            <w:pPr>
              <w:jc w:val="center"/>
              <w:ind w:right="60"/>
              <w:spacing w:after="0" w:line="155" w:lineRule="exact"/>
              <w:rPr>
                <w:sz w:val="20"/>
                <w:szCs w:val="20"/>
                <w:color w:val="auto"/>
              </w:rPr>
            </w:pPr>
            <w:r>
              <w:rPr>
                <w:rFonts w:ascii="Times New Roman" w:cs="Times New Roman" w:eastAsia="Times New Roman" w:hAnsi="Times New Roman"/>
                <w:sz w:val="15"/>
                <w:szCs w:val="15"/>
                <w:color w:val="auto"/>
              </w:rPr>
              <w:t>Recognized</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color w:val="auto"/>
              </w:rPr>
              <w:t>2025</w:t>
            </w: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vMerge w:val="restart"/>
          </w:tcPr>
          <w:p>
            <w:pPr>
              <w:jc w:val="right"/>
              <w:ind w:right="203"/>
              <w:spacing w:after="0"/>
              <w:rPr>
                <w:sz w:val="20"/>
                <w:szCs w:val="20"/>
                <w:color w:val="auto"/>
              </w:rPr>
            </w:pPr>
            <w:r>
              <w:rPr>
                <w:rFonts w:ascii="Times New Roman" w:cs="Times New Roman" w:eastAsia="Times New Roman" w:hAnsi="Times New Roman"/>
                <w:sz w:val="15"/>
                <w:szCs w:val="15"/>
                <w:color w:val="auto"/>
              </w:rPr>
              <w:t>2024</w:t>
            </w:r>
          </w:p>
        </w:tc>
        <w:tc>
          <w:tcPr>
            <w:tcW w:w="60" w:type="dxa"/>
            <w:vAlign w:val="bottom"/>
          </w:tcPr>
          <w:p>
            <w:pPr>
              <w:spacing w:after="0"/>
              <w:rPr>
                <w:sz w:val="3"/>
                <w:szCs w:val="3"/>
                <w:color w:val="auto"/>
              </w:rPr>
            </w:pPr>
          </w:p>
        </w:tc>
        <w:tc>
          <w:tcPr>
            <w:tcW w:w="16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vMerge w:val="restart"/>
          </w:tcPr>
          <w:p>
            <w:pPr>
              <w:jc w:val="right"/>
              <w:ind w:right="203"/>
              <w:spacing w:after="0"/>
              <w:rPr>
                <w:sz w:val="20"/>
                <w:szCs w:val="20"/>
                <w:color w:val="auto"/>
              </w:rPr>
            </w:pPr>
            <w:r>
              <w:rPr>
                <w:rFonts w:ascii="Times New Roman" w:cs="Times New Roman" w:eastAsia="Times New Roman" w:hAnsi="Times New Roman"/>
                <w:sz w:val="15"/>
                <w:szCs w:val="15"/>
                <w:color w:val="auto"/>
              </w:rPr>
              <w:t>2025</w:t>
            </w: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color w:val="auto"/>
              </w:rPr>
              <w:t>2024</w:t>
            </w:r>
          </w:p>
        </w:tc>
        <w:tc>
          <w:tcPr>
            <w:tcW w:w="8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Portion)</w:t>
            </w: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in Income</w:t>
            </w:r>
          </w:p>
        </w:tc>
        <w:tc>
          <w:tcPr>
            <w:tcW w:w="0" w:type="dxa"/>
            <w:vAlign w:val="bottom"/>
          </w:tcPr>
          <w:p>
            <w:pPr>
              <w:spacing w:after="0"/>
              <w:rPr>
                <w:sz w:val="1"/>
                <w:szCs w:val="1"/>
                <w:color w:val="auto"/>
              </w:rPr>
            </w:pPr>
          </w:p>
        </w:tc>
      </w:tr>
      <w:tr>
        <w:trPr>
          <w:trHeight w:val="405"/>
        </w:trPr>
        <w:tc>
          <w:tcPr>
            <w:tcW w:w="2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Fair Value Hedges</w:t>
            </w: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520" w:type="dxa"/>
            <w:vAlign w:val="bottom"/>
          </w:tcPr>
          <w:p>
            <w:pPr>
              <w:ind w:left="180"/>
              <w:spacing w:after="0" w:line="161"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0" w:type="dxa"/>
            <w:vAlign w:val="bottom"/>
          </w:tcPr>
          <w:p>
            <w:pPr>
              <w:spacing w:after="0"/>
              <w:rPr>
                <w:sz w:val="1"/>
                <w:szCs w:val="1"/>
                <w:color w:val="auto"/>
              </w:rPr>
            </w:pPr>
          </w:p>
        </w:tc>
      </w:tr>
      <w:tr>
        <w:trPr>
          <w:trHeight w:val="200"/>
        </w:trPr>
        <w:tc>
          <w:tcPr>
            <w:tcW w:w="2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agreement - commercial</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0" w:type="dxa"/>
            <w:vAlign w:val="bottom"/>
          </w:tcPr>
          <w:p>
            <w:pPr>
              <w:spacing w:after="0"/>
              <w:rPr>
                <w:sz w:val="1"/>
                <w:szCs w:val="1"/>
                <w:color w:val="auto"/>
              </w:rPr>
            </w:pPr>
          </w:p>
        </w:tc>
      </w:tr>
      <w:tr>
        <w:trPr>
          <w:trHeight w:val="161"/>
        </w:trPr>
        <w:tc>
          <w:tcPr>
            <w:tcW w:w="2520" w:type="dxa"/>
            <w:vAlign w:val="bottom"/>
          </w:tcPr>
          <w:p>
            <w:pPr>
              <w:ind w:left="180"/>
              <w:spacing w:after="0" w:line="161"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on securities</w:t>
            </w:r>
          </w:p>
        </w:tc>
        <w:tc>
          <w:tcPr>
            <w:tcW w:w="0" w:type="dxa"/>
            <w:vAlign w:val="bottom"/>
          </w:tcPr>
          <w:p>
            <w:pPr>
              <w:spacing w:after="0"/>
              <w:rPr>
                <w:sz w:val="1"/>
                <w:szCs w:val="1"/>
                <w:color w:val="auto"/>
              </w:rPr>
            </w:pPr>
          </w:p>
        </w:tc>
      </w:tr>
      <w:tr>
        <w:trPr>
          <w:trHeight w:val="155"/>
        </w:trPr>
        <w:tc>
          <w:tcPr>
            <w:tcW w:w="2520" w:type="dxa"/>
            <w:vAlign w:val="bottom"/>
          </w:tcPr>
          <w:p>
            <w:pPr>
              <w:ind w:left="320"/>
              <w:spacing w:after="0" w:line="155" w:lineRule="exact"/>
              <w:rPr>
                <w:sz w:val="20"/>
                <w:szCs w:val="20"/>
                <w:color w:val="auto"/>
              </w:rPr>
            </w:pPr>
            <w:r>
              <w:rPr>
                <w:rFonts w:ascii="Times New Roman" w:cs="Times New Roman" w:eastAsia="Times New Roman" w:hAnsi="Times New Roman"/>
                <w:sz w:val="15"/>
                <w:szCs w:val="15"/>
                <w:color w:val="auto"/>
              </w:rPr>
              <w:t>agreements - securities available</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for sale</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520" w:type="dxa"/>
            <w:vAlign w:val="bottom"/>
          </w:tcPr>
          <w:p>
            <w:pPr>
              <w:ind w:left="180"/>
              <w:spacing w:after="0" w:line="161"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0" w:type="dxa"/>
            <w:vAlign w:val="bottom"/>
          </w:tcPr>
          <w:p>
            <w:pPr>
              <w:spacing w:after="0"/>
              <w:rPr>
                <w:sz w:val="1"/>
                <w:szCs w:val="1"/>
                <w:color w:val="auto"/>
              </w:rPr>
            </w:pPr>
          </w:p>
        </w:tc>
      </w:tr>
      <w:tr>
        <w:trPr>
          <w:trHeight w:val="200"/>
        </w:trPr>
        <w:tc>
          <w:tcPr>
            <w:tcW w:w="2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agreements - installment</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0" w:type="dxa"/>
            <w:vAlign w:val="bottom"/>
          </w:tcPr>
          <w:p>
            <w:pPr>
              <w:spacing w:after="0"/>
              <w:rPr>
                <w:sz w:val="1"/>
                <w:szCs w:val="1"/>
                <w:color w:val="auto"/>
              </w:rPr>
            </w:pPr>
          </w:p>
        </w:tc>
      </w:tr>
      <w:tr>
        <w:trPr>
          <w:trHeight w:val="161"/>
        </w:trPr>
        <w:tc>
          <w:tcPr>
            <w:tcW w:w="2520" w:type="dxa"/>
            <w:vAlign w:val="bottom"/>
          </w:tcPr>
          <w:p>
            <w:pPr>
              <w:ind w:left="180"/>
              <w:spacing w:after="0" w:line="161"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0" w:type="dxa"/>
            <w:vAlign w:val="bottom"/>
          </w:tcPr>
          <w:p>
            <w:pPr>
              <w:spacing w:after="0"/>
              <w:rPr>
                <w:sz w:val="1"/>
                <w:szCs w:val="1"/>
                <w:color w:val="auto"/>
              </w:rPr>
            </w:pPr>
          </w:p>
        </w:tc>
      </w:tr>
      <w:tr>
        <w:trPr>
          <w:trHeight w:val="200"/>
        </w:trPr>
        <w:tc>
          <w:tcPr>
            <w:tcW w:w="2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agreements - mortgage</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0" w:type="dxa"/>
            <w:vAlign w:val="bottom"/>
          </w:tcPr>
          <w:p>
            <w:pPr>
              <w:spacing w:after="0"/>
              <w:rPr>
                <w:sz w:val="1"/>
                <w:szCs w:val="1"/>
                <w:color w:val="auto"/>
              </w:rPr>
            </w:pPr>
          </w:p>
        </w:tc>
      </w:tr>
      <w:tr>
        <w:trPr>
          <w:trHeight w:val="161"/>
        </w:trPr>
        <w:tc>
          <w:tcPr>
            <w:tcW w:w="2520" w:type="dxa"/>
            <w:vAlign w:val="bottom"/>
          </w:tcPr>
          <w:p>
            <w:pPr>
              <w:ind w:left="180"/>
              <w:spacing w:after="0" w:line="161" w:lineRule="exact"/>
              <w:rPr>
                <w:sz w:val="20"/>
                <w:szCs w:val="20"/>
                <w:color w:val="auto"/>
              </w:rPr>
            </w:pPr>
            <w:r>
              <w:rPr>
                <w:rFonts w:ascii="Times New Roman" w:cs="Times New Roman" w:eastAsia="Times New Roman" w:hAnsi="Times New Roman"/>
                <w:sz w:val="15"/>
                <w:szCs w:val="15"/>
                <w:color w:val="auto"/>
              </w:rPr>
              <w:t>Interest rate cap agreements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(283)</w:t>
            </w:r>
          </w:p>
        </w:tc>
        <w:tc>
          <w:tcPr>
            <w:tcW w:w="80" w:type="dxa"/>
            <w:vAlign w:val="bottom"/>
          </w:tcPr>
          <w:p>
            <w:pPr>
              <w:spacing w:after="0"/>
              <w:rPr>
                <w:sz w:val="14"/>
                <w:szCs w:val="14"/>
                <w:color w:val="auto"/>
              </w:rPr>
            </w:pPr>
          </w:p>
        </w:tc>
        <w:tc>
          <w:tcPr>
            <w:tcW w:w="20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(194)</w:t>
            </w:r>
          </w:p>
        </w:tc>
        <w:tc>
          <w:tcPr>
            <w:tcW w:w="60" w:type="dxa"/>
            <w:vAlign w:val="bottom"/>
          </w:tcPr>
          <w:p>
            <w:pPr>
              <w:spacing w:after="0"/>
              <w:rPr>
                <w:sz w:val="14"/>
                <w:szCs w:val="14"/>
                <w:color w:val="auto"/>
              </w:rPr>
            </w:pPr>
          </w:p>
        </w:tc>
        <w:tc>
          <w:tcPr>
            <w:tcW w:w="162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on securities</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(172)</w:t>
            </w:r>
          </w:p>
        </w:tc>
        <w:tc>
          <w:tcPr>
            <w:tcW w:w="60" w:type="dxa"/>
            <w:vAlign w:val="bottom"/>
          </w:tcPr>
          <w:p>
            <w:pPr>
              <w:spacing w:after="0"/>
              <w:rPr>
                <w:sz w:val="14"/>
                <w:szCs w:val="14"/>
                <w:color w:val="auto"/>
              </w:rPr>
            </w:pPr>
          </w:p>
        </w:tc>
        <w:tc>
          <w:tcPr>
            <w:tcW w:w="18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(167)</w:t>
            </w:r>
          </w:p>
        </w:tc>
        <w:tc>
          <w:tcPr>
            <w:tcW w:w="80" w:type="dxa"/>
            <w:vAlign w:val="bottom"/>
          </w:tcPr>
          <w:p>
            <w:pPr>
              <w:spacing w:after="0"/>
              <w:rPr>
                <w:sz w:val="14"/>
                <w:szCs w:val="14"/>
                <w:color w:val="auto"/>
              </w:rPr>
            </w:pPr>
          </w:p>
        </w:tc>
        <w:tc>
          <w:tcPr>
            <w:tcW w:w="166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on securities</w:t>
            </w:r>
          </w:p>
        </w:tc>
        <w:tc>
          <w:tcPr>
            <w:tcW w:w="0" w:type="dxa"/>
            <w:vAlign w:val="bottom"/>
          </w:tcPr>
          <w:p>
            <w:pPr>
              <w:spacing w:after="0"/>
              <w:rPr>
                <w:sz w:val="1"/>
                <w:szCs w:val="1"/>
                <w:color w:val="auto"/>
              </w:rPr>
            </w:pPr>
          </w:p>
        </w:tc>
      </w:tr>
      <w:tr>
        <w:trPr>
          <w:trHeight w:val="205"/>
        </w:trPr>
        <w:tc>
          <w:tcPr>
            <w:tcW w:w="2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securities available for sale</w:t>
            </w:r>
          </w:p>
        </w:tc>
        <w:tc>
          <w:tcPr>
            <w:tcW w:w="12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(283)</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(194)</w:t>
            </w: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(172)</w:t>
            </w: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(167)</w:t>
            </w: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 Hedges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52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Interest rate floor agreements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80" w:type="dxa"/>
            <w:vAlign w:val="bottom"/>
          </w:tcPr>
          <w:p>
            <w:pPr>
              <w:spacing w:after="0"/>
              <w:rPr>
                <w:sz w:val="13"/>
                <w:szCs w:val="13"/>
                <w:color w:val="auto"/>
              </w:rPr>
            </w:pPr>
          </w:p>
        </w:tc>
        <w:tc>
          <w:tcPr>
            <w:tcW w:w="20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246</w:t>
            </w:r>
          </w:p>
        </w:tc>
        <w:tc>
          <w:tcPr>
            <w:tcW w:w="60" w:type="dxa"/>
            <w:vAlign w:val="bottom"/>
          </w:tcPr>
          <w:p>
            <w:pPr>
              <w:spacing w:after="0"/>
              <w:rPr>
                <w:sz w:val="13"/>
                <w:szCs w:val="13"/>
                <w:color w:val="auto"/>
              </w:rPr>
            </w:pPr>
          </w:p>
        </w:tc>
        <w:tc>
          <w:tcPr>
            <w:tcW w:w="162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5"/>
                <w:szCs w:val="15"/>
                <w:color w:val="auto"/>
              </w:rPr>
              <w:t>Interest and fees on</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(1,363)</w:t>
            </w:r>
          </w:p>
        </w:tc>
        <w:tc>
          <w:tcPr>
            <w:tcW w:w="60" w:type="dxa"/>
            <w:vAlign w:val="bottom"/>
          </w:tcPr>
          <w:p>
            <w:pPr>
              <w:spacing w:after="0"/>
              <w:rPr>
                <w:sz w:val="13"/>
                <w:szCs w:val="13"/>
                <w:color w:val="auto"/>
              </w:rPr>
            </w:pPr>
          </w:p>
        </w:tc>
        <w:tc>
          <w:tcPr>
            <w:tcW w:w="18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(838)</w:t>
            </w:r>
          </w:p>
        </w:tc>
        <w:tc>
          <w:tcPr>
            <w:tcW w:w="80" w:type="dxa"/>
            <w:vAlign w:val="bottom"/>
          </w:tcPr>
          <w:p>
            <w:pPr>
              <w:spacing w:after="0"/>
              <w:rPr>
                <w:sz w:val="13"/>
                <w:szCs w:val="13"/>
                <w:color w:val="auto"/>
              </w:rPr>
            </w:pPr>
          </w:p>
        </w:tc>
        <w:tc>
          <w:tcPr>
            <w:tcW w:w="166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5"/>
                <w:szCs w:val="15"/>
                <w:color w:val="auto"/>
              </w:rPr>
              <w:t>Interest and fees on</w:t>
            </w:r>
          </w:p>
        </w:tc>
        <w:tc>
          <w:tcPr>
            <w:tcW w:w="0" w:type="dxa"/>
            <w:vAlign w:val="bottom"/>
          </w:tcPr>
          <w:p>
            <w:pPr>
              <w:spacing w:after="0"/>
              <w:rPr>
                <w:sz w:val="1"/>
                <w:szCs w:val="1"/>
                <w:color w:val="auto"/>
              </w:rPr>
            </w:pPr>
          </w:p>
        </w:tc>
      </w:tr>
      <w:tr>
        <w:trPr>
          <w:trHeight w:val="200"/>
        </w:trPr>
        <w:tc>
          <w:tcPr>
            <w:tcW w:w="2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commercial</w:t>
            </w:r>
          </w:p>
        </w:tc>
        <w:tc>
          <w:tcPr>
            <w:tcW w:w="1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0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0" w:type="dxa"/>
            <w:vAlign w:val="bottom"/>
          </w:tcPr>
          <w:p>
            <w:pPr>
              <w:spacing w:after="0"/>
              <w:rPr>
                <w:sz w:val="1"/>
                <w:szCs w:val="1"/>
                <w:color w:val="auto"/>
              </w:rPr>
            </w:pPr>
          </w:p>
        </w:tc>
      </w:tr>
      <w:tr>
        <w:trPr>
          <w:trHeight w:val="161"/>
        </w:trPr>
        <w:tc>
          <w:tcPr>
            <w:tcW w:w="2520" w:type="dxa"/>
            <w:vAlign w:val="bottom"/>
          </w:tcPr>
          <w:p>
            <w:pPr>
              <w:ind w:left="180"/>
              <w:spacing w:after="0" w:line="161" w:lineRule="exact"/>
              <w:rPr>
                <w:sz w:val="20"/>
                <w:szCs w:val="20"/>
                <w:color w:val="auto"/>
              </w:rPr>
            </w:pPr>
            <w:r>
              <w:rPr>
                <w:rFonts w:ascii="Times New Roman" w:cs="Times New Roman" w:eastAsia="Times New Roman" w:hAnsi="Times New Roman"/>
                <w:sz w:val="15"/>
                <w:szCs w:val="15"/>
                <w:color w:val="auto"/>
              </w:rPr>
              <w:t>Interest rate cap agreements - short-</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(293)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1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0" w:type="dxa"/>
            <w:vAlign w:val="bottom"/>
          </w:tcPr>
          <w:p>
            <w:pPr>
              <w:spacing w:after="0"/>
              <w:rPr>
                <w:sz w:val="1"/>
                <w:szCs w:val="1"/>
                <w:color w:val="auto"/>
              </w:rPr>
            </w:pPr>
          </w:p>
        </w:tc>
      </w:tr>
      <w:tr>
        <w:trPr>
          <w:trHeight w:val="200"/>
        </w:trPr>
        <w:tc>
          <w:tcPr>
            <w:tcW w:w="2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term funding liabilities</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246</w:t>
            </w: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(1,371)</w:t>
            </w: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(838)</w:t>
            </w: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No hedge designation</w:t>
            </w: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2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520" w:type="dxa"/>
            <w:vAlign w:val="bottom"/>
          </w:tcPr>
          <w:p>
            <w:pPr>
              <w:ind w:left="180"/>
              <w:spacing w:after="0" w:line="161" w:lineRule="exact"/>
              <w:rPr>
                <w:sz w:val="20"/>
                <w:szCs w:val="20"/>
                <w:color w:val="auto"/>
              </w:rPr>
            </w:pPr>
            <w:r>
              <w:rPr>
                <w:rFonts w:ascii="Times New Roman" w:cs="Times New Roman" w:eastAsia="Times New Roman" w:hAnsi="Times New Roman"/>
                <w:sz w:val="15"/>
                <w:szCs w:val="15"/>
                <w:color w:val="auto"/>
              </w:rPr>
              <w:t>Rate-lock mortgage loan</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5"/>
                <w:szCs w:val="15"/>
                <w:color w:val="auto"/>
              </w:rPr>
              <w:t>Net gains on mortgage</w:t>
            </w:r>
          </w:p>
        </w:tc>
        <w:tc>
          <w:tcPr>
            <w:tcW w:w="0" w:type="dxa"/>
            <w:vAlign w:val="bottom"/>
          </w:tcPr>
          <w:p>
            <w:pPr>
              <w:spacing w:after="0"/>
              <w:rPr>
                <w:sz w:val="1"/>
                <w:szCs w:val="1"/>
                <w:color w:val="auto"/>
              </w:rPr>
            </w:pPr>
          </w:p>
        </w:tc>
      </w:tr>
      <w:tr>
        <w:trPr>
          <w:trHeight w:val="200"/>
        </w:trPr>
        <w:tc>
          <w:tcPr>
            <w:tcW w:w="2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commitments</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0" w:type="dxa"/>
            <w:vAlign w:val="bottom"/>
          </w:tcPr>
          <w:p>
            <w:pPr>
              <w:spacing w:after="0"/>
              <w:rPr>
                <w:sz w:val="1"/>
                <w:szCs w:val="1"/>
                <w:color w:val="auto"/>
              </w:rPr>
            </w:pPr>
          </w:p>
        </w:tc>
      </w:tr>
      <w:tr>
        <w:trPr>
          <w:trHeight w:val="161"/>
        </w:trPr>
        <w:tc>
          <w:tcPr>
            <w:tcW w:w="2520" w:type="dxa"/>
            <w:vAlign w:val="bottom"/>
          </w:tcPr>
          <w:p>
            <w:pPr>
              <w:ind w:left="180"/>
              <w:spacing w:after="0" w:line="161" w:lineRule="exact"/>
              <w:rPr>
                <w:sz w:val="20"/>
                <w:szCs w:val="20"/>
                <w:color w:val="auto"/>
              </w:rPr>
            </w:pPr>
            <w:r>
              <w:rPr>
                <w:rFonts w:ascii="Times New Roman" w:cs="Times New Roman" w:eastAsia="Times New Roman" w:hAnsi="Times New Roman"/>
                <w:sz w:val="15"/>
                <w:szCs w:val="15"/>
                <w:color w:val="auto"/>
              </w:rPr>
              <w:t>Mandatory commitments to sell</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5"/>
                <w:szCs w:val="15"/>
                <w:color w:val="auto"/>
              </w:rPr>
              <w:t>Net gains on mortgage</w:t>
            </w:r>
          </w:p>
        </w:tc>
        <w:tc>
          <w:tcPr>
            <w:tcW w:w="0" w:type="dxa"/>
            <w:vAlign w:val="bottom"/>
          </w:tcPr>
          <w:p>
            <w:pPr>
              <w:spacing w:after="0"/>
              <w:rPr>
                <w:sz w:val="1"/>
                <w:szCs w:val="1"/>
                <w:color w:val="auto"/>
              </w:rPr>
            </w:pPr>
          </w:p>
        </w:tc>
      </w:tr>
      <w:tr>
        <w:trPr>
          <w:trHeight w:val="200"/>
        </w:trPr>
        <w:tc>
          <w:tcPr>
            <w:tcW w:w="2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mortgage loans</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0" w:type="dxa"/>
            <w:vAlign w:val="bottom"/>
          </w:tcPr>
          <w:p>
            <w:pPr>
              <w:spacing w:after="0"/>
              <w:rPr>
                <w:sz w:val="1"/>
                <w:szCs w:val="1"/>
                <w:color w:val="auto"/>
              </w:rPr>
            </w:pPr>
          </w:p>
        </w:tc>
      </w:tr>
      <w:tr>
        <w:trPr>
          <w:trHeight w:val="161"/>
        </w:trPr>
        <w:tc>
          <w:tcPr>
            <w:tcW w:w="2520" w:type="dxa"/>
            <w:vAlign w:val="bottom"/>
          </w:tcPr>
          <w:p>
            <w:pPr>
              <w:ind w:left="180"/>
              <w:spacing w:after="0" w:line="161"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0" w:type="dxa"/>
            <w:vAlign w:val="bottom"/>
          </w:tcPr>
          <w:p>
            <w:pPr>
              <w:spacing w:after="0"/>
              <w:rPr>
                <w:sz w:val="1"/>
                <w:szCs w:val="1"/>
                <w:color w:val="auto"/>
              </w:rPr>
            </w:pPr>
          </w:p>
        </w:tc>
      </w:tr>
      <w:tr>
        <w:trPr>
          <w:trHeight w:val="200"/>
        </w:trPr>
        <w:tc>
          <w:tcPr>
            <w:tcW w:w="2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agreements - commercial</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0" w:type="dxa"/>
            <w:vAlign w:val="bottom"/>
          </w:tcPr>
          <w:p>
            <w:pPr>
              <w:spacing w:after="0"/>
              <w:rPr>
                <w:sz w:val="1"/>
                <w:szCs w:val="1"/>
                <w:color w:val="auto"/>
              </w:rPr>
            </w:pPr>
          </w:p>
        </w:tc>
      </w:tr>
      <w:tr>
        <w:trPr>
          <w:trHeight w:val="161"/>
        </w:trPr>
        <w:tc>
          <w:tcPr>
            <w:tcW w:w="2520" w:type="dxa"/>
            <w:vAlign w:val="bottom"/>
          </w:tcPr>
          <w:p>
            <w:pPr>
              <w:ind w:left="180"/>
              <w:spacing w:after="0" w:line="161" w:lineRule="exact"/>
              <w:rPr>
                <w:sz w:val="20"/>
                <w:szCs w:val="20"/>
                <w:color w:val="auto"/>
              </w:rPr>
            </w:pPr>
            <w:r>
              <w:rPr>
                <w:rFonts w:ascii="Times New Roman" w:cs="Times New Roman" w:eastAsia="Times New Roman" w:hAnsi="Times New Roman"/>
                <w:sz w:val="15"/>
                <w:szCs w:val="15"/>
                <w:color w:val="auto"/>
              </w:rPr>
              <w:t>Pay-variable interest rate swap</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0" w:type="dxa"/>
            <w:vAlign w:val="bottom"/>
          </w:tcPr>
          <w:p>
            <w:pPr>
              <w:spacing w:after="0"/>
              <w:rPr>
                <w:sz w:val="1"/>
                <w:szCs w:val="1"/>
                <w:color w:val="auto"/>
              </w:rPr>
            </w:pPr>
          </w:p>
        </w:tc>
      </w:tr>
      <w:tr>
        <w:trPr>
          <w:trHeight w:val="200"/>
        </w:trPr>
        <w:tc>
          <w:tcPr>
            <w:tcW w:w="2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agreements - commercial</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-3646805</wp:posOffset>
            </wp:positionV>
            <wp:extent cx="7138670" cy="1308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-3286760</wp:posOffset>
            </wp:positionV>
            <wp:extent cx="7138670" cy="3276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8670" cy="3276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-2729865</wp:posOffset>
            </wp:positionV>
            <wp:extent cx="7138670" cy="2292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8670" cy="2292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-2271395</wp:posOffset>
            </wp:positionV>
            <wp:extent cx="7138670" cy="1555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8670" cy="155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-1591945</wp:posOffset>
            </wp:positionV>
            <wp:extent cx="7138670" cy="2292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8670" cy="2292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-1207135</wp:posOffset>
            </wp:positionV>
            <wp:extent cx="7138670" cy="163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-912495</wp:posOffset>
            </wp:positionV>
            <wp:extent cx="7138670" cy="2292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8670" cy="2292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-454025</wp:posOffset>
            </wp:positionV>
            <wp:extent cx="7138670" cy="2292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8670" cy="2292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3810</wp:posOffset>
            </wp:positionV>
            <wp:extent cx="7138670" cy="1555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5"/>
          <w:szCs w:val="15"/>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Gain (Loss)</w:t>
      </w:r>
    </w:p>
    <w:p>
      <w:pPr>
        <w:jc w:val="center"/>
        <w:ind w:right="-19"/>
        <w:spacing w:after="0" w:line="215" w:lineRule="auto"/>
        <w:rPr>
          <w:sz w:val="20"/>
          <w:szCs w:val="20"/>
          <w:color w:val="auto"/>
        </w:rPr>
      </w:pPr>
      <w:r>
        <w:rPr>
          <w:rFonts w:ascii="Times New Roman" w:cs="Times New Roman" w:eastAsia="Times New Roman" w:hAnsi="Times New Roman"/>
          <w:sz w:val="15"/>
          <w:szCs w:val="15"/>
          <w:color w:val="auto"/>
        </w:rPr>
        <w:t>Recognized</w:t>
      </w:r>
    </w:p>
    <w:p>
      <w:pPr>
        <w:jc w:val="center"/>
        <w:ind w:right="-19"/>
        <w:spacing w:after="0"/>
        <w:rPr>
          <w:sz w:val="20"/>
          <w:szCs w:val="20"/>
          <w:color w:val="auto"/>
        </w:rPr>
      </w:pPr>
      <w:r>
        <w:rPr>
          <w:rFonts w:ascii="Times New Roman" w:cs="Times New Roman" w:eastAsia="Times New Roman" w:hAnsi="Times New Roman"/>
          <w:sz w:val="15"/>
          <w:szCs w:val="15"/>
          <w:color w:val="auto"/>
        </w:rPr>
        <w:t>in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112966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29665" cy="8255"/>
                    </a:xfrm>
                    <a:prstGeom prst="rect">
                      <a:avLst/>
                    </a:prstGeom>
                    <a:noFill/>
                  </pic:spPr>
                </pic:pic>
              </a:graphicData>
            </a:graphic>
          </wp:anchor>
        </w:drawing>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Nine Month</w:t>
      </w:r>
    </w:p>
    <w:p>
      <w:pPr>
        <w:jc w:val="center"/>
        <w:ind w:right="-19"/>
        <w:spacing w:after="0" w:line="215" w:lineRule="auto"/>
        <w:rPr>
          <w:sz w:val="20"/>
          <w:szCs w:val="20"/>
          <w:color w:val="auto"/>
        </w:rPr>
      </w:pPr>
      <w:r>
        <w:rPr>
          <w:rFonts w:ascii="Times New Roman" w:cs="Times New Roman" w:eastAsia="Times New Roman" w:hAnsi="Times New Roman"/>
          <w:sz w:val="15"/>
          <w:szCs w:val="15"/>
          <w:color w:val="auto"/>
        </w:rPr>
        <w:t>Periods Ended</w:t>
      </w:r>
    </w:p>
    <w:p>
      <w:pPr>
        <w:jc w:val="center"/>
        <w:ind w:right="-19"/>
        <w:spacing w:after="0"/>
        <w:rPr>
          <w:sz w:val="20"/>
          <w:szCs w:val="20"/>
          <w:color w:val="auto"/>
        </w:rPr>
      </w:pPr>
      <w:r>
        <w:rPr>
          <w:rFonts w:ascii="Times New Roman" w:cs="Times New Roman" w:eastAsia="Times New Roman" w:hAnsi="Times New Roman"/>
          <w:sz w:val="15"/>
          <w:szCs w:val="15"/>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11296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2966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rPr>
              <w:t>2025</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2024</w:t>
            </w:r>
          </w:p>
        </w:tc>
      </w:tr>
      <w:tr>
        <w:trPr>
          <w:trHeight w:val="196"/>
        </w:trPr>
        <w:tc>
          <w:tcPr>
            <w:tcW w:w="180" w:type="dxa"/>
            <w:vAlign w:val="bottom"/>
          </w:tcPr>
          <w:p>
            <w:pPr>
              <w:spacing w:after="0"/>
              <w:rPr>
                <w:sz w:val="17"/>
                <w:szCs w:val="17"/>
                <w:color w:val="auto"/>
              </w:rPr>
            </w:pPr>
          </w:p>
        </w:tc>
        <w:tc>
          <w:tcPr>
            <w:tcW w:w="1600" w:type="dxa"/>
            <w:vAlign w:val="bottom"/>
            <w:gridSpan w:val="3"/>
          </w:tcPr>
          <w:p>
            <w:pPr>
              <w:jc w:val="right"/>
              <w:ind w:right="363"/>
              <w:spacing w:after="0"/>
              <w:rPr>
                <w:sz w:val="20"/>
                <w:szCs w:val="20"/>
                <w:color w:val="auto"/>
              </w:rPr>
            </w:pPr>
            <w:r>
              <w:rPr>
                <w:rFonts w:ascii="Times New Roman" w:cs="Times New Roman" w:eastAsia="Times New Roman" w:hAnsi="Times New Roman"/>
                <w:sz w:val="15"/>
                <w:szCs w:val="15"/>
                <w:color w:val="auto"/>
              </w:rPr>
              <w:t>(In thousands)</w:t>
            </w:r>
          </w:p>
        </w:tc>
      </w:tr>
      <w:tr>
        <w:trPr>
          <w:trHeight w:val="567"/>
        </w:trPr>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w:t>
            </w:r>
          </w:p>
        </w:tc>
        <w:tc>
          <w:tcPr>
            <w:tcW w:w="2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w:t>
            </w:r>
          </w:p>
        </w:tc>
      </w:tr>
    </w:tbl>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(5,334)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(4,028)</w:t>
            </w:r>
          </w:p>
        </w:tc>
      </w:tr>
      <w:tr>
        <w:trPr>
          <w:trHeight w:val="361"/>
        </w:trPr>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(513)</w:t>
            </w:r>
          </w:p>
        </w:tc>
      </w:tr>
      <w:tr>
        <w:trPr>
          <w:trHeight w:val="361"/>
        </w:trPr>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(648)</w:t>
            </w:r>
          </w:p>
        </w:tc>
      </w:tr>
      <w:tr>
        <w:trPr>
          <w:trHeight w:val="364"/>
        </w:trPr>
        <w:tc>
          <w:tcPr>
            <w:tcW w:w="240" w:type="dxa"/>
            <w:vAlign w:val="bottom"/>
          </w:tcPr>
          <w:p>
            <w:pPr>
              <w:spacing w:after="0"/>
              <w:rPr>
                <w:sz w:val="24"/>
                <w:szCs w:val="24"/>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w:t>
            </w:r>
          </w:p>
        </w:tc>
      </w:tr>
      <w:tr>
        <w:trPr>
          <w:trHeight w:val="199"/>
        </w:trPr>
        <w:tc>
          <w:tcPr>
            <w:tcW w:w="24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(8,055)</w:t>
            </w:r>
          </w:p>
        </w:tc>
        <w:tc>
          <w:tcPr>
            <w:tcW w:w="8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(5,380)</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787"/>
        </w:trPr>
        <w:tc>
          <w:tcPr>
            <w:tcW w:w="24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(1,363)</w:t>
            </w:r>
          </w:p>
        </w:tc>
        <w:tc>
          <w:tcPr>
            <w:tcW w:w="8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(838)</w:t>
            </w:r>
          </w:p>
        </w:tc>
      </w:tr>
      <w:tr>
        <w:trPr>
          <w:trHeight w:val="364"/>
        </w:trPr>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9"/>
        </w:trPr>
        <w:tc>
          <w:tcPr>
            <w:tcW w:w="2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(1,371)</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(838)</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787"/>
        </w:trPr>
        <w:tc>
          <w:tcPr>
            <w:tcW w:w="24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87</w:t>
            </w:r>
          </w:p>
        </w:tc>
        <w:tc>
          <w:tcPr>
            <w:tcW w:w="8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w:t>
            </w:r>
          </w:p>
        </w:tc>
      </w:tr>
    </w:tbl>
    <w:p>
      <w:pPr>
        <w:spacing w:after="0" w:line="161" w:lineRule="exact"/>
        <w:rPr>
          <w:sz w:val="20"/>
          <w:szCs w:val="20"/>
          <w:color w:val="auto"/>
        </w:rPr>
      </w:pPr>
    </w:p>
    <w:p>
      <w:pPr>
        <w:ind w:left="1480" w:hanging="907"/>
        <w:spacing w:after="0"/>
        <w:tabs>
          <w:tab w:leader="none" w:pos="14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304</w:t>
      </w:r>
    </w:p>
    <w:p>
      <w:pPr>
        <w:spacing w:after="0" w:line="188" w:lineRule="exact"/>
        <w:rPr>
          <w:rFonts w:ascii="Times New Roman" w:cs="Times New Roman" w:eastAsia="Times New Roman" w:hAnsi="Times New Roman"/>
          <w:sz w:val="15"/>
          <w:szCs w:val="15"/>
          <w:color w:val="auto"/>
        </w:rPr>
      </w:pPr>
    </w:p>
    <w:p>
      <w:pPr>
        <w:ind w:left="3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(16,747)(8,482)</w:t>
      </w:r>
    </w:p>
    <w:p>
      <w:pPr>
        <w:spacing w:after="0" w:line="188" w:lineRule="exact"/>
        <w:rPr>
          <w:sz w:val="20"/>
          <w:szCs w:val="20"/>
          <w:color w:val="auto"/>
        </w:rPr>
      </w:pPr>
    </w:p>
    <w:p>
      <w:pPr>
        <w:ind w:left="360"/>
        <w:spacing w:after="0"/>
        <w:tabs>
          <w:tab w:leader="none" w:pos="1360" w:val="left"/>
        </w:tabs>
        <w:rPr>
          <w:sz w:val="20"/>
          <w:szCs w:val="20"/>
          <w:color w:val="auto"/>
        </w:rPr>
      </w:pPr>
      <w:r>
        <w:rPr>
          <w:rFonts w:ascii="Times New Roman" w:cs="Times New Roman" w:eastAsia="Times New Roman" w:hAnsi="Times New Roman"/>
          <w:sz w:val="15"/>
          <w:szCs w:val="15"/>
          <w:color w:val="auto"/>
        </w:rPr>
        <w:t>16,747</w:t>
      </w:r>
      <w:r>
        <w:rPr>
          <w:sz w:val="20"/>
          <w:szCs w:val="20"/>
          <w:color w:val="auto"/>
        </w:rPr>
        <w:tab/>
      </w:r>
      <w:r>
        <w:rPr>
          <w:rFonts w:ascii="Times New Roman" w:cs="Times New Roman" w:eastAsia="Times New Roman" w:hAnsi="Times New Roman"/>
          <w:sz w:val="15"/>
          <w:szCs w:val="15"/>
          <w:color w:val="auto"/>
        </w:rPr>
        <w:t>8,482</w:t>
      </w:r>
    </w:p>
    <w:p>
      <w:pPr>
        <w:spacing w:after="0" w:line="47" w:lineRule="exact"/>
        <w:rPr>
          <w:sz w:val="20"/>
          <w:szCs w:val="20"/>
          <w:color w:val="auto"/>
        </w:rPr>
      </w:pPr>
    </w:p>
    <w:p>
      <w:pPr>
        <w:ind w:left="20"/>
        <w:spacing w:after="0"/>
        <w:tabs>
          <w:tab w:leader="none" w:pos="620" w:val="left"/>
          <w:tab w:leader="none" w:pos="940" w:val="left"/>
          <w:tab w:leader="none" w:pos="1460" w:val="left"/>
        </w:tabs>
        <w:rPr>
          <w:sz w:val="20"/>
          <w:szCs w:val="20"/>
          <w:color w:val="auto"/>
        </w:rPr>
      </w:pP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64</w:t>
        <w:tab/>
        <w:t>$</w:t>
      </w:r>
      <w:r>
        <w:rPr>
          <w:sz w:val="20"/>
          <w:szCs w:val="20"/>
          <w:color w:val="auto"/>
        </w:rPr>
        <w:tab/>
      </w:r>
      <w:r>
        <w:rPr>
          <w:rFonts w:ascii="Times New Roman" w:cs="Times New Roman" w:eastAsia="Times New Roman" w:hAnsi="Times New Roman"/>
          <w:sz w:val="15"/>
          <w:szCs w:val="15"/>
          <w:color w:val="auto"/>
        </w:rPr>
        <w:t>384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45720</wp:posOffset>
            </wp:positionV>
            <wp:extent cx="11296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296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60" w:space="0"/>
            <w:col w:w="178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7.  Goodwill and Other Intangibles</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following table summarizes intangible assets, net of amortization:</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754"/>
              <w:spacing w:after="0"/>
              <w:rPr>
                <w:sz w:val="20"/>
                <w:szCs w:val="20"/>
                <w:color w:val="auto"/>
              </w:rPr>
            </w:pPr>
            <w:r>
              <w:rPr>
                <w:rFonts w:ascii="Times New Roman" w:cs="Times New Roman" w:eastAsia="Times New Roman" w:hAnsi="Times New Roman"/>
                <w:sz w:val="17"/>
                <w:szCs w:val="17"/>
                <w:color w:val="auto"/>
              </w:rPr>
              <w:t>September 30, 2025</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754"/>
              <w:spacing w:after="0"/>
              <w:rPr>
                <w:sz w:val="20"/>
                <w:szCs w:val="20"/>
                <w:color w:val="auto"/>
              </w:rPr>
            </w:pPr>
            <w:r>
              <w:rPr>
                <w:rFonts w:ascii="Times New Roman" w:cs="Times New Roman" w:eastAsia="Times New Roman" w:hAnsi="Times New Roman"/>
                <w:sz w:val="17"/>
                <w:szCs w:val="17"/>
                <w:color w:val="auto"/>
              </w:rPr>
              <w:t>December 31, 2024</w:t>
            </w:r>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right="194"/>
              <w:spacing w:after="0" w:line="161" w:lineRule="exact"/>
              <w:rPr>
                <w:sz w:val="20"/>
                <w:szCs w:val="20"/>
                <w:color w:val="auto"/>
              </w:rPr>
            </w:pPr>
            <w:r>
              <w:rPr>
                <w:rFonts w:ascii="Times New Roman" w:cs="Times New Roman" w:eastAsia="Times New Roman" w:hAnsi="Times New Roman"/>
                <w:sz w:val="17"/>
                <w:szCs w:val="17"/>
                <w:color w:val="auto"/>
              </w:rPr>
              <w:t>Gross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auto"/>
              </w:rPr>
              <w:t>Accumulated</w:t>
            </w:r>
          </w:p>
        </w:tc>
        <w:tc>
          <w:tcPr>
            <w:tcW w:w="280" w:type="dxa"/>
            <w:vAlign w:val="bottom"/>
          </w:tcPr>
          <w:p>
            <w:pPr>
              <w:spacing w:after="0"/>
              <w:rPr>
                <w:sz w:val="13"/>
                <w:szCs w:val="13"/>
                <w:color w:val="auto"/>
              </w:rPr>
            </w:pPr>
          </w:p>
        </w:tc>
        <w:tc>
          <w:tcPr>
            <w:tcW w:w="1220" w:type="dxa"/>
            <w:vAlign w:val="bottom"/>
          </w:tcPr>
          <w:p>
            <w:pPr>
              <w:jc w:val="center"/>
              <w:ind w:right="174"/>
              <w:spacing w:after="0" w:line="161" w:lineRule="exact"/>
              <w:rPr>
                <w:sz w:val="20"/>
                <w:szCs w:val="20"/>
                <w:color w:val="auto"/>
              </w:rPr>
            </w:pPr>
            <w:r>
              <w:rPr>
                <w:rFonts w:ascii="Times New Roman" w:cs="Times New Roman" w:eastAsia="Times New Roman" w:hAnsi="Times New Roman"/>
                <w:sz w:val="17"/>
                <w:szCs w:val="17"/>
                <w:color w:val="auto"/>
              </w:rPr>
              <w:t>Gross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Accumulated</w:t>
            </w: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174"/>
              <w:spacing w:after="0" w:line="167" w:lineRule="exact"/>
              <w:rPr>
                <w:sz w:val="20"/>
                <w:szCs w:val="20"/>
                <w:color w:val="auto"/>
              </w:rPr>
            </w:pPr>
            <w:r>
              <w:rPr>
                <w:rFonts w:ascii="Times New Roman" w:cs="Times New Roman" w:eastAsia="Times New Roman" w:hAnsi="Times New Roman"/>
                <w:sz w:val="17"/>
                <w:szCs w:val="17"/>
                <w:color w:val="auto"/>
              </w:rPr>
              <w:t>Carrying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center"/>
              <w:ind w:right="194"/>
              <w:spacing w:after="0" w:line="167" w:lineRule="exact"/>
              <w:rPr>
                <w:sz w:val="20"/>
                <w:szCs w:val="20"/>
                <w:color w:val="auto"/>
              </w:rPr>
            </w:pPr>
            <w:r>
              <w:rPr>
                <w:rFonts w:ascii="Times New Roman" w:cs="Times New Roman" w:eastAsia="Times New Roman" w:hAnsi="Times New Roman"/>
                <w:sz w:val="17"/>
                <w:szCs w:val="17"/>
                <w:color w:val="auto"/>
              </w:rPr>
              <w:t>Carrying</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color w:val="auto"/>
              </w:rPr>
              <w:t>Amount</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color w:val="auto"/>
              </w:rPr>
              <w:t>Amortization</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color w:val="auto"/>
              </w:rPr>
              <w:t>Amount</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Amortization</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4"/>
          </w:tcPr>
          <w:p>
            <w:pPr>
              <w:ind w:left="860"/>
              <w:spacing w:after="0"/>
              <w:rPr>
                <w:sz w:val="20"/>
                <w:szCs w:val="20"/>
                <w:color w:val="auto"/>
              </w:rPr>
            </w:pPr>
            <w:r>
              <w:rPr>
                <w:rFonts w:ascii="Times New Roman" w:cs="Times New Roman" w:eastAsia="Times New Roman" w:hAnsi="Times New Roman"/>
                <w:sz w:val="17"/>
                <w:szCs w:val="17"/>
                <w:color w:val="auto"/>
              </w:rPr>
              <w:t>(In thousands)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040" w:type="dxa"/>
            <w:vAlign w:val="bottom"/>
            <w:gridSpan w:val="3"/>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5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Amortized intangible assets - core deposits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10,793</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11,916</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gridSpan w:val="3"/>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04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7"/>
                <w:szCs w:val="17"/>
                <w:color w:val="auto"/>
              </w:rPr>
              <w:t>Unamortized intangible assets - goodwill</w:t>
            </w:r>
          </w:p>
        </w:tc>
        <w:tc>
          <w:tcPr>
            <w:tcW w:w="280" w:type="dxa"/>
            <w:vAlign w:val="bottom"/>
            <w:tcBorders>
              <w:bottom w:val="single" w:sz="8" w:color="auto"/>
            </w:tcBorders>
          </w:tcPr>
          <w:p>
            <w:pPr>
              <w:jc w:val="right"/>
              <w:ind w:right="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28,300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28,300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Goodwill is assessed for impairment on an annual basis as of December 31, or more frequently if events occur or circumstances change that indicate an impairment may exist. When assessing goodwill for impairment, first, a qualitative assessment is made to determine whether it is more likely than not that the estimated fair value of a reporting unit is less than its estimated carrying value. If the results of the qualitative assessment are not conclusive, a quantitative goodwill test is performed. For the nine months ended September 30, 2025 and 2024 no event occurred that indicated an impairment of goodwill may exist.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760" w:type="dxa"/>
            <w:vAlign w:val="bottom"/>
          </w:tcPr>
          <w:p>
            <w:pPr>
              <w:spacing w:after="0"/>
              <w:rPr>
                <w:sz w:val="20"/>
                <w:szCs w:val="20"/>
                <w:color w:val="auto"/>
              </w:rPr>
            </w:pPr>
            <w:r>
              <w:rPr>
                <w:rFonts w:ascii="Times New Roman" w:cs="Times New Roman" w:eastAsia="Times New Roman" w:hAnsi="Times New Roman"/>
                <w:sz w:val="17"/>
                <w:szCs w:val="17"/>
                <w:color w:val="auto"/>
              </w:rPr>
              <w:t>A summary of estimated core deposits intangible amortization at September 30, 2025 follows: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25"/>
        </w:trPr>
        <w:tc>
          <w:tcPr>
            <w:tcW w:w="9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(In thousands)</w:t>
            </w:r>
          </w:p>
        </w:tc>
      </w:tr>
      <w:tr>
        <w:trPr>
          <w:trHeight w:val="257"/>
        </w:trPr>
        <w:tc>
          <w:tcPr>
            <w:tcW w:w="9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1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Three months ending December 31, 2025</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19"/>
        </w:trPr>
        <w:tc>
          <w:tcPr>
            <w:tcW w:w="9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w:t>
            </w:r>
          </w:p>
        </w:tc>
      </w:tr>
      <w:tr>
        <w:trPr>
          <w:trHeight w:val="21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w:t>
            </w:r>
          </w:p>
        </w:tc>
      </w:tr>
      <w:tr>
        <w:trPr>
          <w:trHeight w:val="219"/>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37"/>
        </w:trPr>
        <w:tc>
          <w:tcPr>
            <w:tcW w:w="9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1,123</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left="300" w:hanging="297"/>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 Based Compensation</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0.3 million shares of common stock as of September 30, 2025. The non-employee director stock purchase plan permits the issuance of additional share based payments for up to 0.1 million shares of common stock as of September 30, 2025. Share based awards and payments are measured at fair value at the date of grant and are expensed over the requisite service period. Common shares issued upon exercise of stock options come from currently authorized but unissued shares.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restricted stock and performance stock units (“PSU”) granted pursuant to our long-term incentive plan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2680" w:type="dxa"/>
            <w:vAlign w:val="bottom"/>
            <w:gridSpan w:val="4"/>
          </w:tcPr>
          <w:p>
            <w:pPr>
              <w:jc w:val="center"/>
              <w:ind w:left="294"/>
              <w:spacing w:after="0"/>
              <w:rPr>
                <w:sz w:val="20"/>
                <w:szCs w:val="20"/>
                <w:color w:val="auto"/>
              </w:rPr>
            </w:pPr>
            <w:r>
              <w:rPr>
                <w:rFonts w:ascii="Times New Roman" w:cs="Times New Roman" w:eastAsia="Times New Roman" w:hAnsi="Times New Roman"/>
                <w:sz w:val="17"/>
                <w:szCs w:val="17"/>
                <w:color w:val="auto"/>
              </w:rPr>
              <w:t>Three Months Ended</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rPr>
              <w:t>Nine Months Ended</w:t>
            </w:r>
          </w:p>
        </w:tc>
      </w:tr>
      <w:tr>
        <w:trPr>
          <w:trHeight w:val="228"/>
        </w:trPr>
        <w:tc>
          <w:tcPr>
            <w:tcW w:w="50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right="600"/>
              <w:spacing w:after="0"/>
              <w:rPr>
                <w:sz w:val="20"/>
                <w:szCs w:val="20"/>
                <w:color w:val="auto"/>
              </w:rPr>
            </w:pPr>
            <w:r>
              <w:rPr>
                <w:rFonts w:ascii="Times New Roman" w:cs="Times New Roman" w:eastAsia="Times New Roman" w:hAnsi="Times New Roman"/>
                <w:sz w:val="17"/>
                <w:szCs w:val="17"/>
                <w:color w:val="auto"/>
                <w:w w:val="99"/>
              </w:rPr>
              <w:t>September 30,</w:t>
            </w:r>
          </w:p>
        </w:tc>
        <w:tc>
          <w:tcPr>
            <w:tcW w:w="3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Borders>
              <w:bottom w:val="single" w:sz="8" w:color="auto"/>
            </w:tcBorders>
            <w:gridSpan w:val="3"/>
          </w:tcPr>
          <w:p>
            <w:pPr>
              <w:jc w:val="center"/>
              <w:ind w:left="894"/>
              <w:spacing w:after="0"/>
              <w:rPr>
                <w:sz w:val="20"/>
                <w:szCs w:val="20"/>
                <w:color w:val="auto"/>
              </w:rPr>
            </w:pPr>
            <w:r>
              <w:rPr>
                <w:rFonts w:ascii="Times New Roman" w:cs="Times New Roman" w:eastAsia="Times New Roman" w:hAnsi="Times New Roman"/>
                <w:sz w:val="17"/>
                <w:szCs w:val="17"/>
                <w:color w:val="auto"/>
              </w:rPr>
              <w:t>September 30,</w:t>
            </w:r>
          </w:p>
        </w:tc>
        <w:tc>
          <w:tcPr>
            <w:tcW w:w="960" w:type="dxa"/>
            <w:vAlign w:val="bottom"/>
            <w:tcBorders>
              <w:bottom w:val="single" w:sz="8" w:color="auto"/>
            </w:tcBorders>
          </w:tcPr>
          <w:p>
            <w:pPr>
              <w:spacing w:after="0"/>
              <w:rPr>
                <w:sz w:val="19"/>
                <w:szCs w:val="19"/>
                <w:color w:val="auto"/>
              </w:rPr>
            </w:pPr>
          </w:p>
        </w:tc>
      </w:tr>
      <w:tr>
        <w:trPr>
          <w:trHeight w:val="217"/>
        </w:trPr>
        <w:tc>
          <w:tcPr>
            <w:tcW w:w="50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17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2024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right"/>
              <w:ind w:right="49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r>
      <w:tr>
        <w:trPr>
          <w:trHeight w:val="238"/>
        </w:trPr>
        <w:tc>
          <w:tcPr>
            <w:tcW w:w="504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39"/>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w:t>
            </w:r>
          </w:p>
        </w:tc>
        <w:tc>
          <w:tcPr>
            <w:tcW w:w="9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53,019</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81,355</w:t>
            </w:r>
          </w:p>
        </w:tc>
      </w:tr>
      <w:tr>
        <w:trPr>
          <w:trHeight w:val="20"/>
        </w:trPr>
        <w:tc>
          <w:tcPr>
            <w:tcW w:w="5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1"/>
        </w:trPr>
        <w:tc>
          <w:tcPr>
            <w:tcW w:w="602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7"/>
                <w:szCs w:val="17"/>
                <w:color w:val="auto"/>
              </w:rPr>
              <w:t>PSU</w:t>
            </w:r>
          </w:p>
        </w:tc>
        <w:tc>
          <w:tcPr>
            <w:tcW w:w="500" w:type="dxa"/>
            <w:vAlign w:val="bottom"/>
          </w:tcPr>
          <w:p>
            <w:pPr>
              <w:ind w:left="320"/>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ind w:left="200"/>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Pr>
          <w:p>
            <w:pPr>
              <w:spacing w:after="0"/>
              <w:rPr>
                <w:sz w:val="16"/>
                <w:szCs w:val="16"/>
                <w:color w:val="auto"/>
              </w:rPr>
            </w:pPr>
          </w:p>
        </w:tc>
        <w:tc>
          <w:tcPr>
            <w:tcW w:w="15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16,364</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18,822</w:t>
            </w:r>
          </w:p>
        </w:tc>
      </w:tr>
      <w:tr>
        <w:trPr>
          <w:trHeight w:val="20"/>
        </w:trPr>
        <w:tc>
          <w:tcPr>
            <w:tcW w:w="50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shares of restricted stock and PSUs shown in the above table cliff vest after a period of three years. The performance criteria of the PSUs is split evenly between a comparison of (i) our total shareholder return and (ii) our return on average assets each over the three year period starting on the grant date to these same criteria over that period to an index of our banking peers.</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directors may elect to receive all or a portion of their cash retainer fees in the form of common stock (either on a current basis or on a deferred basis) pursuant to the non-employee director stock purchase plan referenced above. Shares equal in value to that portion of each director’s fees that he or she has elected to receive in stock on a current basis are issued each quarter and vest immediately. Shares issued on a deferred basis are credited at the rate of 90% of the current fair value of our common stock and vest immediately. During the nine month periods ended September 30, 2025 and 2024 we issued 0.006 million and 0.007 million shares, respectively and expensed their value during those same periods.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Total compensation expense recognized for grants pursuant to our long-term incentive plan was $0.5 million and $1.8 million during the three and nine month periods ended September 30, 2025, respectively, and was $0.5 million and $1.6 million during the same periods in 2024, respectively. The corresponding tax benefit relating to this expense was $0.1 million and $0.4 million for the three and nine month periods ended September 30, 2025, respectively and $0.1 million and $0.3 million for the same periods in 2024. Total expense recognized for non-employee director share based payments was $0.07 million and $0.19 million during the three and nine month periods ended September 30, 2025, respectively, and was $0.06 million and $0.18 million during the same periods in 2024, respectively. The corresponding tax benefit relating to this expense was $0.02 million and $0.04 million for the three and nine month periods ended September 30, 2025, respectively and $0.01 million and $0.04 million during the same periods in 2024.</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At September 30, 2025, the total expected compensation cost related to non-vested restricted stock and PSUs not yet recognized was $3.4 million. The weighted-average period over which this amount will be recognized is 2.0 years.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outstanding stock option grants and related transactions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Weighted-</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80"/>
              <w:spacing w:after="0" w:line="167" w:lineRule="exact"/>
              <w:rPr>
                <w:sz w:val="20"/>
                <w:szCs w:val="20"/>
                <w:color w:val="auto"/>
              </w:rPr>
            </w:pPr>
            <w:r>
              <w:rPr>
                <w:rFonts w:ascii="Times New Roman" w:cs="Times New Roman" w:eastAsia="Times New Roman" w:hAnsi="Times New Roman"/>
                <w:sz w:val="17"/>
                <w:szCs w:val="17"/>
                <w:color w:val="auto"/>
              </w:rPr>
              <w:t>Average</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7"/>
                <w:szCs w:val="17"/>
                <w:color w:val="auto"/>
                <w:w w:val="99"/>
              </w:rPr>
              <w:t>Number of</w:t>
            </w:r>
          </w:p>
        </w:tc>
        <w:tc>
          <w:tcPr>
            <w:tcW w:w="280" w:type="dxa"/>
            <w:vAlign w:val="bottom"/>
          </w:tcPr>
          <w:p>
            <w:pPr>
              <w:spacing w:after="0"/>
              <w:rPr>
                <w:sz w:val="15"/>
                <w:szCs w:val="15"/>
                <w:color w:val="auto"/>
              </w:rPr>
            </w:pPr>
          </w:p>
        </w:tc>
        <w:tc>
          <w:tcPr>
            <w:tcW w:w="1280" w:type="dxa"/>
            <w:vAlign w:val="bottom"/>
            <w:gridSpan w:val="2"/>
          </w:tcPr>
          <w:p>
            <w:pPr>
              <w:jc w:val="center"/>
              <w:ind w:right="360"/>
              <w:spacing w:after="0" w:line="181" w:lineRule="exact"/>
              <w:rPr>
                <w:sz w:val="20"/>
                <w:szCs w:val="20"/>
                <w:color w:val="auto"/>
              </w:rPr>
            </w:pPr>
            <w:r>
              <w:rPr>
                <w:rFonts w:ascii="Times New Roman" w:cs="Times New Roman" w:eastAsia="Times New Roman" w:hAnsi="Times New Roman"/>
                <w:sz w:val="17"/>
                <w:szCs w:val="17"/>
                <w:color w:val="auto"/>
                <w:w w:val="97"/>
              </w:rPr>
              <w:t>Average</w:t>
            </w:r>
          </w:p>
        </w:tc>
        <w:tc>
          <w:tcPr>
            <w:tcW w:w="158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7"/>
                <w:szCs w:val="17"/>
                <w:color w:val="auto"/>
                <w:w w:val="99"/>
              </w:rPr>
              <w:t>Remaining</w:t>
            </w:r>
          </w:p>
        </w:tc>
        <w:tc>
          <w:tcPr>
            <w:tcW w:w="180" w:type="dxa"/>
            <w:vAlign w:val="bottom"/>
          </w:tcPr>
          <w:p>
            <w:pPr>
              <w:spacing w:after="0"/>
              <w:rPr>
                <w:sz w:val="15"/>
                <w:szCs w:val="15"/>
                <w:color w:val="auto"/>
              </w:rPr>
            </w:pPr>
          </w:p>
        </w:tc>
        <w:tc>
          <w:tcPr>
            <w:tcW w:w="1300" w:type="dxa"/>
            <w:vAlign w:val="bottom"/>
          </w:tcPr>
          <w:p>
            <w:pPr>
              <w:jc w:val="center"/>
              <w:ind w:right="94"/>
              <w:spacing w:after="0" w:line="181" w:lineRule="exact"/>
              <w:rPr>
                <w:sz w:val="20"/>
                <w:szCs w:val="20"/>
                <w:color w:val="auto"/>
              </w:rPr>
            </w:pPr>
            <w:r>
              <w:rPr>
                <w:rFonts w:ascii="Times New Roman" w:cs="Times New Roman" w:eastAsia="Times New Roman" w:hAnsi="Times New Roman"/>
                <w:sz w:val="17"/>
                <w:szCs w:val="17"/>
                <w:color w:val="auto"/>
              </w:rPr>
              <w:t>Aggregated</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center"/>
              <w:ind w:right="360"/>
              <w:spacing w:after="0" w:line="167" w:lineRule="exact"/>
              <w:rPr>
                <w:sz w:val="20"/>
                <w:szCs w:val="20"/>
                <w:color w:val="auto"/>
              </w:rPr>
            </w:pPr>
            <w:r>
              <w:rPr>
                <w:rFonts w:ascii="Times New Roman" w:cs="Times New Roman" w:eastAsia="Times New Roman" w:hAnsi="Times New Roman"/>
                <w:sz w:val="17"/>
                <w:szCs w:val="17"/>
                <w:color w:val="auto"/>
              </w:rPr>
              <w:t>Exercise</w:t>
            </w:r>
          </w:p>
        </w:tc>
        <w:tc>
          <w:tcPr>
            <w:tcW w:w="1580" w:type="dxa"/>
            <w:vAlign w:val="bottom"/>
            <w:gridSpan w:val="2"/>
          </w:tcPr>
          <w:p>
            <w:pPr>
              <w:jc w:val="center"/>
              <w:ind w:right="60"/>
              <w:spacing w:after="0" w:line="167" w:lineRule="exact"/>
              <w:rPr>
                <w:sz w:val="20"/>
                <w:szCs w:val="20"/>
                <w:color w:val="auto"/>
              </w:rPr>
            </w:pPr>
            <w:r>
              <w:rPr>
                <w:rFonts w:ascii="Times New Roman" w:cs="Times New Roman" w:eastAsia="Times New Roman" w:hAnsi="Times New Roman"/>
                <w:sz w:val="17"/>
                <w:szCs w:val="17"/>
                <w:color w:val="auto"/>
              </w:rPr>
              <w:t>Contractual</w:t>
            </w:r>
          </w:p>
        </w:tc>
        <w:tc>
          <w:tcPr>
            <w:tcW w:w="180" w:type="dxa"/>
            <w:vAlign w:val="bottom"/>
          </w:tcPr>
          <w:p>
            <w:pPr>
              <w:spacing w:after="0"/>
              <w:rPr>
                <w:sz w:val="14"/>
                <w:szCs w:val="14"/>
                <w:color w:val="auto"/>
              </w:rPr>
            </w:pPr>
          </w:p>
        </w:tc>
        <w:tc>
          <w:tcPr>
            <w:tcW w:w="1300" w:type="dxa"/>
            <w:vAlign w:val="bottom"/>
          </w:tcPr>
          <w:p>
            <w:pPr>
              <w:jc w:val="center"/>
              <w:ind w:right="74"/>
              <w:spacing w:after="0" w:line="167" w:lineRule="exact"/>
              <w:rPr>
                <w:sz w:val="20"/>
                <w:szCs w:val="20"/>
                <w:color w:val="auto"/>
              </w:rPr>
            </w:pPr>
            <w:r>
              <w:rPr>
                <w:rFonts w:ascii="Times New Roman" w:cs="Times New Roman" w:eastAsia="Times New Roman" w:hAnsi="Times New Roman"/>
                <w:sz w:val="17"/>
                <w:szCs w:val="17"/>
                <w:color w:val="auto"/>
              </w:rPr>
              <w:t>Intrinsic</w:t>
            </w:r>
          </w:p>
        </w:tc>
        <w:tc>
          <w:tcPr>
            <w:tcW w:w="0" w:type="dxa"/>
            <w:vAlign w:val="bottom"/>
          </w:tcPr>
          <w:p>
            <w:pPr>
              <w:spacing w:after="0"/>
              <w:rPr>
                <w:sz w:val="1"/>
                <w:szCs w:val="1"/>
                <w:color w:val="auto"/>
              </w:rPr>
            </w:pPr>
          </w:p>
        </w:tc>
      </w:tr>
      <w:tr>
        <w:trPr>
          <w:trHeight w:val="228"/>
        </w:trPr>
        <w:tc>
          <w:tcPr>
            <w:tcW w:w="5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rPr>
              <w:t>Shares</w:t>
            </w:r>
          </w:p>
        </w:tc>
        <w:tc>
          <w:tcPr>
            <w:tcW w:w="28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Price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Term (Years)</w:t>
            </w:r>
          </w:p>
        </w:tc>
        <w:tc>
          <w:tcPr>
            <w:tcW w:w="180" w:type="dxa"/>
            <w:vAlign w:val="bottom"/>
          </w:tcPr>
          <w:p>
            <w:pPr>
              <w:spacing w:after="0"/>
              <w:rPr>
                <w:sz w:val="19"/>
                <w:szCs w:val="19"/>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w w:val="98"/>
              </w:rPr>
              <w:t>Value</w:t>
            </w:r>
          </w:p>
        </w:tc>
        <w:tc>
          <w:tcPr>
            <w:tcW w:w="0" w:type="dxa"/>
            <w:vAlign w:val="bottom"/>
          </w:tcPr>
          <w:p>
            <w:pPr>
              <w:spacing w:after="0"/>
              <w:rPr>
                <w:sz w:val="1"/>
                <w:szCs w:val="1"/>
                <w:color w:val="auto"/>
              </w:rPr>
            </w:pPr>
          </w:p>
        </w:tc>
      </w:tr>
      <w:tr>
        <w:trPr>
          <w:trHeight w:val="217"/>
        </w:trPr>
        <w:tc>
          <w:tcPr>
            <w:tcW w:w="50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color w:val="auto"/>
              </w:rPr>
              <w:t>(In thousands)</w:t>
            </w:r>
          </w:p>
        </w:tc>
        <w:tc>
          <w:tcPr>
            <w:tcW w:w="0" w:type="dxa"/>
            <w:vAlign w:val="bottom"/>
          </w:tcPr>
          <w:p>
            <w:pPr>
              <w:spacing w:after="0"/>
              <w:rPr>
                <w:sz w:val="1"/>
                <w:szCs w:val="1"/>
                <w:color w:val="auto"/>
              </w:rPr>
            </w:pPr>
          </w:p>
        </w:tc>
      </w:tr>
      <w:tr>
        <w:trPr>
          <w:trHeight w:val="219"/>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January 1, 2025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13.43</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Granted</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Exercised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13.43</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Forfeited</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Expired</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Outstanding at September 30, 2025</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2,790</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13.43</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Vested and expected to vest at September 30, 2025</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2,790</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13.43</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Exercisable at September 30, 2025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13.43</w:t>
            </w: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 summary of outstanding non-vested stock and related transactions follows: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rPr>
              <w:t>Weighted-</w:t>
            </w:r>
          </w:p>
        </w:tc>
        <w:tc>
          <w:tcPr>
            <w:tcW w:w="0" w:type="dxa"/>
            <w:vAlign w:val="bottom"/>
          </w:tcPr>
          <w:p>
            <w:pPr>
              <w:spacing w:after="0"/>
              <w:rPr>
                <w:sz w:val="1"/>
                <w:szCs w:val="1"/>
                <w:color w:val="auto"/>
              </w:rPr>
            </w:pPr>
          </w:p>
        </w:tc>
      </w:tr>
      <w:tr>
        <w:trPr>
          <w:trHeight w:val="177"/>
        </w:trPr>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auto"/>
              </w:rPr>
              <w:t>Number</w:t>
            </w:r>
          </w:p>
        </w:tc>
        <w:tc>
          <w:tcPr>
            <w:tcW w:w="180" w:type="dxa"/>
            <w:vAlign w:val="bottom"/>
          </w:tcPr>
          <w:p>
            <w:pPr>
              <w:spacing w:after="0"/>
              <w:rPr>
                <w:sz w:val="15"/>
                <w:szCs w:val="15"/>
                <w:color w:val="auto"/>
              </w:rPr>
            </w:pPr>
          </w:p>
        </w:tc>
        <w:tc>
          <w:tcPr>
            <w:tcW w:w="1300" w:type="dxa"/>
            <w:vAlign w:val="bottom"/>
          </w:tcPr>
          <w:p>
            <w:pPr>
              <w:jc w:val="center"/>
              <w:ind w:right="94"/>
              <w:spacing w:after="0" w:line="177" w:lineRule="exact"/>
              <w:rPr>
                <w:sz w:val="20"/>
                <w:szCs w:val="20"/>
                <w:color w:val="auto"/>
              </w:rPr>
            </w:pPr>
            <w:r>
              <w:rPr>
                <w:rFonts w:ascii="Times New Roman" w:cs="Times New Roman" w:eastAsia="Times New Roman" w:hAnsi="Times New Roman"/>
                <w:sz w:val="17"/>
                <w:szCs w:val="17"/>
                <w:color w:val="auto"/>
                <w:w w:val="97"/>
              </w:rPr>
              <w:t>Average</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94"/>
              <w:spacing w:after="0" w:line="172" w:lineRule="exact"/>
              <w:rPr>
                <w:sz w:val="20"/>
                <w:szCs w:val="20"/>
                <w:color w:val="auto"/>
              </w:rPr>
            </w:pPr>
            <w:r>
              <w:rPr>
                <w:rFonts w:ascii="Times New Roman" w:cs="Times New Roman" w:eastAsia="Times New Roman" w:hAnsi="Times New Roman"/>
                <w:sz w:val="17"/>
                <w:szCs w:val="17"/>
                <w:color w:val="auto"/>
              </w:rPr>
              <w:t>Grant Date</w:t>
            </w:r>
          </w:p>
        </w:tc>
        <w:tc>
          <w:tcPr>
            <w:tcW w:w="0" w:type="dxa"/>
            <w:vAlign w:val="bottom"/>
          </w:tcPr>
          <w:p>
            <w:pPr>
              <w:spacing w:after="0"/>
              <w:rPr>
                <w:sz w:val="1"/>
                <w:szCs w:val="1"/>
                <w:color w:val="auto"/>
              </w:rPr>
            </w:pPr>
          </w:p>
        </w:tc>
      </w:tr>
      <w:tr>
        <w:trPr>
          <w:trHeight w:val="219"/>
        </w:trPr>
        <w:tc>
          <w:tcPr>
            <w:tcW w:w="5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of Shares</w:t>
            </w:r>
          </w:p>
        </w:tc>
        <w:tc>
          <w:tcPr>
            <w:tcW w:w="180" w:type="dxa"/>
            <w:vAlign w:val="bottom"/>
          </w:tcPr>
          <w:p>
            <w:pPr>
              <w:spacing w:after="0"/>
              <w:rPr>
                <w:sz w:val="19"/>
                <w:szCs w:val="19"/>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w w:val="99"/>
              </w:rPr>
              <w:t>Fair Value</w:t>
            </w:r>
          </w:p>
        </w:tc>
        <w:tc>
          <w:tcPr>
            <w:tcW w:w="0" w:type="dxa"/>
            <w:vAlign w:val="bottom"/>
          </w:tcPr>
          <w:p>
            <w:pPr>
              <w:spacing w:after="0"/>
              <w:rPr>
                <w:sz w:val="1"/>
                <w:szCs w:val="1"/>
                <w:color w:val="auto"/>
              </w:rPr>
            </w:pPr>
          </w:p>
        </w:tc>
      </w:tr>
      <w:tr>
        <w:trPr>
          <w:trHeight w:val="212"/>
        </w:trPr>
        <w:tc>
          <w:tcPr>
            <w:tcW w:w="53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January 1, 2025</w:t>
            </w:r>
          </w:p>
        </w:tc>
        <w:tc>
          <w:tcPr>
            <w:tcW w:w="1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266,986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24.64</w:t>
            </w:r>
          </w:p>
        </w:tc>
        <w:tc>
          <w:tcPr>
            <w:tcW w:w="0" w:type="dxa"/>
            <w:vAlign w:val="bottom"/>
          </w:tcPr>
          <w:p>
            <w:pPr>
              <w:spacing w:after="0"/>
              <w:rPr>
                <w:sz w:val="1"/>
                <w:szCs w:val="1"/>
                <w:color w:val="auto"/>
              </w:rPr>
            </w:pPr>
          </w:p>
        </w:tc>
      </w:tr>
      <w:tr>
        <w:trPr>
          <w:trHeight w:val="219"/>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Granted</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37.17</w:t>
            </w:r>
          </w:p>
        </w:tc>
        <w:tc>
          <w:tcPr>
            <w:tcW w:w="0" w:type="dxa"/>
            <w:vAlign w:val="bottom"/>
          </w:tcPr>
          <w:p>
            <w:pPr>
              <w:spacing w:after="0"/>
              <w:rPr>
                <w:sz w:val="1"/>
                <w:szCs w:val="1"/>
                <w:color w:val="auto"/>
              </w:rPr>
            </w:pPr>
          </w:p>
        </w:tc>
      </w:tr>
      <w:tr>
        <w:trPr>
          <w:trHeight w:val="219"/>
        </w:trPr>
        <w:tc>
          <w:tcPr>
            <w:tcW w:w="5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Vested</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27.04</w:t>
            </w:r>
          </w:p>
        </w:tc>
        <w:tc>
          <w:tcPr>
            <w:tcW w:w="0" w:type="dxa"/>
            <w:vAlign w:val="bottom"/>
          </w:tcPr>
          <w:p>
            <w:pPr>
              <w:spacing w:after="0"/>
              <w:rPr>
                <w:sz w:val="1"/>
                <w:szCs w:val="1"/>
                <w:color w:val="auto"/>
              </w:rPr>
            </w:pPr>
          </w:p>
        </w:tc>
      </w:tr>
      <w:tr>
        <w:trPr>
          <w:trHeight w:val="219"/>
        </w:trPr>
        <w:tc>
          <w:tcPr>
            <w:tcW w:w="53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7"/>
                <w:szCs w:val="17"/>
                <w:color w:val="auto"/>
              </w:rPr>
              <w:t>Forfeited</w:t>
            </w: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(11,391)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23.98</w:t>
            </w:r>
          </w:p>
        </w:tc>
        <w:tc>
          <w:tcPr>
            <w:tcW w:w="0" w:type="dxa"/>
            <w:vAlign w:val="bottom"/>
          </w:tcPr>
          <w:p>
            <w:pPr>
              <w:spacing w:after="0"/>
              <w:rPr>
                <w:sz w:val="1"/>
                <w:szCs w:val="1"/>
                <w:color w:val="auto"/>
              </w:rPr>
            </w:pPr>
          </w:p>
        </w:tc>
      </w:tr>
      <w:tr>
        <w:trPr>
          <w:trHeight w:val="237"/>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September 30, 2025</w:t>
            </w: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251,466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jc w:val="center"/>
              <w:ind w:right="234"/>
              <w:spacing w:after="0"/>
              <w:rPr>
                <w:sz w:val="20"/>
                <w:szCs w:val="20"/>
                <w:color w:val="auto"/>
              </w:rPr>
            </w:pPr>
            <w:r>
              <w:rPr>
                <w:rFonts w:ascii="Times New Roman" w:cs="Times New Roman" w:eastAsia="Times New Roman" w:hAnsi="Times New Roman"/>
                <w:sz w:val="17"/>
                <w:szCs w:val="17"/>
                <w:color w:val="auto"/>
                <w:w w:val="93"/>
              </w:rPr>
              <w:t>41</w:t>
            </w: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0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Certain information regarding options exercised during the periods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7"/>
                <w:szCs w:val="17"/>
                <w:color w:val="auto"/>
              </w:rPr>
            </w:pPr>
          </w:p>
        </w:tc>
        <w:tc>
          <w:tcPr>
            <w:tcW w:w="2660" w:type="dxa"/>
            <w:vAlign w:val="bottom"/>
            <w:gridSpan w:val="4"/>
          </w:tcPr>
          <w:p>
            <w:pPr>
              <w:jc w:val="center"/>
              <w:ind w:left="314"/>
              <w:spacing w:after="0"/>
              <w:rPr>
                <w:sz w:val="20"/>
                <w:szCs w:val="20"/>
                <w:color w:val="auto"/>
              </w:rPr>
            </w:pPr>
            <w:r>
              <w:rPr>
                <w:rFonts w:ascii="Times New Roman" w:cs="Times New Roman" w:eastAsia="Times New Roman" w:hAnsi="Times New Roman"/>
                <w:sz w:val="17"/>
                <w:szCs w:val="17"/>
                <w:color w:val="auto"/>
              </w:rPr>
              <w:t>Three Months Ended</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60" w:type="dxa"/>
            <w:vAlign w:val="bottom"/>
            <w:gridSpan w:val="4"/>
          </w:tcPr>
          <w:p>
            <w:pPr>
              <w:jc w:val="right"/>
              <w:ind w:right="354"/>
              <w:spacing w:after="0"/>
              <w:rPr>
                <w:sz w:val="20"/>
                <w:szCs w:val="20"/>
                <w:color w:val="auto"/>
              </w:rPr>
            </w:pPr>
            <w:r>
              <w:rPr>
                <w:rFonts w:ascii="Times New Roman" w:cs="Times New Roman" w:eastAsia="Times New Roman" w:hAnsi="Times New Roman"/>
                <w:sz w:val="17"/>
                <w:szCs w:val="17"/>
                <w:color w:val="auto"/>
              </w:rPr>
              <w:t>Nine Months Ended</w:t>
            </w:r>
          </w:p>
        </w:tc>
        <w:tc>
          <w:tcPr>
            <w:tcW w:w="400" w:type="dxa"/>
            <w:vAlign w:val="bottom"/>
          </w:tcPr>
          <w:p>
            <w:pPr>
              <w:spacing w:after="0"/>
              <w:rPr>
                <w:sz w:val="17"/>
                <w:szCs w:val="17"/>
                <w:color w:val="auto"/>
              </w:rPr>
            </w:pPr>
          </w:p>
        </w:tc>
      </w:tr>
      <w:tr>
        <w:trPr>
          <w:trHeight w:val="228"/>
        </w:trPr>
        <w:tc>
          <w:tcPr>
            <w:tcW w:w="50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center"/>
              <w:ind w:right="494"/>
              <w:spacing w:after="0"/>
              <w:rPr>
                <w:sz w:val="20"/>
                <w:szCs w:val="20"/>
                <w:color w:val="auto"/>
              </w:rPr>
            </w:pPr>
            <w:r>
              <w:rPr>
                <w:rFonts w:ascii="Times New Roman" w:cs="Times New Roman" w:eastAsia="Times New Roman" w:hAnsi="Times New Roman"/>
                <w:sz w:val="17"/>
                <w:szCs w:val="17"/>
                <w:color w:val="auto"/>
                <w:w w:val="99"/>
              </w:rPr>
              <w:t>September 30,</w:t>
            </w:r>
          </w:p>
        </w:tc>
        <w:tc>
          <w:tcPr>
            <w:tcW w:w="4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534"/>
              <w:spacing w:after="0"/>
              <w:rPr>
                <w:sz w:val="20"/>
                <w:szCs w:val="20"/>
                <w:color w:val="auto"/>
              </w:rPr>
            </w:pPr>
            <w:r>
              <w:rPr>
                <w:rFonts w:ascii="Times New Roman" w:cs="Times New Roman" w:eastAsia="Times New Roman" w:hAnsi="Times New Roman"/>
                <w:sz w:val="17"/>
                <w:szCs w:val="17"/>
                <w:color w:val="auto"/>
              </w:rPr>
              <w:t>September 30,</w:t>
            </w:r>
          </w:p>
        </w:tc>
        <w:tc>
          <w:tcPr>
            <w:tcW w:w="400" w:type="dxa"/>
            <w:vAlign w:val="bottom"/>
            <w:tcBorders>
              <w:bottom w:val="single" w:sz="8" w:color="auto"/>
            </w:tcBorders>
          </w:tcPr>
          <w:p>
            <w:pPr>
              <w:spacing w:after="0"/>
              <w:rPr>
                <w:sz w:val="19"/>
                <w:szCs w:val="19"/>
                <w:color w:val="auto"/>
              </w:rPr>
            </w:pPr>
          </w:p>
        </w:tc>
      </w:tr>
      <w:tr>
        <w:trPr>
          <w:trHeight w:val="217"/>
        </w:trPr>
        <w:tc>
          <w:tcPr>
            <w:tcW w:w="50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2024</w:t>
            </w:r>
          </w:p>
        </w:tc>
        <w:tc>
          <w:tcPr>
            <w:tcW w:w="4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2024</w:t>
            </w:r>
          </w:p>
        </w:tc>
        <w:tc>
          <w:tcPr>
            <w:tcW w:w="400" w:type="dxa"/>
            <w:vAlign w:val="bottom"/>
            <w:tcBorders>
              <w:bottom w:val="single" w:sz="8" w:color="auto"/>
            </w:tcBorders>
          </w:tcPr>
          <w:p>
            <w:pPr>
              <w:spacing w:after="0"/>
              <w:rPr>
                <w:sz w:val="18"/>
                <w:szCs w:val="18"/>
                <w:color w:val="auto"/>
              </w:rPr>
            </w:pPr>
          </w:p>
        </w:tc>
      </w:tr>
      <w:tr>
        <w:trPr>
          <w:trHeight w:val="212"/>
        </w:trPr>
        <w:tc>
          <w:tcPr>
            <w:tcW w:w="5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80" w:type="dxa"/>
            <w:vAlign w:val="bottom"/>
            <w:gridSpan w:val="3"/>
          </w:tcPr>
          <w:p>
            <w:pPr>
              <w:jc w:val="center"/>
              <w:ind w:right="494"/>
              <w:spacing w:after="0"/>
              <w:rPr>
                <w:sz w:val="20"/>
                <w:szCs w:val="20"/>
                <w:color w:val="auto"/>
              </w:rPr>
            </w:pPr>
            <w:r>
              <w:rPr>
                <w:rFonts w:ascii="Times New Roman" w:cs="Times New Roman" w:eastAsia="Times New Roman" w:hAnsi="Times New Roman"/>
                <w:sz w:val="17"/>
                <w:szCs w:val="17"/>
                <w:color w:val="auto"/>
              </w:rPr>
              <w:t>(In thousands)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80" w:type="dxa"/>
            <w:vAlign w:val="bottom"/>
            <w:gridSpan w:val="3"/>
          </w:tcPr>
          <w:p>
            <w:pPr>
              <w:jc w:val="right"/>
              <w:ind w:right="534"/>
              <w:spacing w:after="0"/>
              <w:rPr>
                <w:sz w:val="20"/>
                <w:szCs w:val="20"/>
                <w:color w:val="auto"/>
              </w:rPr>
            </w:pPr>
            <w:r>
              <w:rPr>
                <w:rFonts w:ascii="Times New Roman" w:cs="Times New Roman" w:eastAsia="Times New Roman" w:hAnsi="Times New Roman"/>
                <w:sz w:val="17"/>
                <w:szCs w:val="17"/>
                <w:color w:val="auto"/>
              </w:rPr>
              <w:t>(In thousands)</w:t>
            </w:r>
          </w:p>
        </w:tc>
        <w:tc>
          <w:tcPr>
            <w:tcW w:w="400" w:type="dxa"/>
            <w:vAlign w:val="bottom"/>
          </w:tcPr>
          <w:p>
            <w:pPr>
              <w:spacing w:after="0"/>
              <w:rPr>
                <w:sz w:val="18"/>
                <w:szCs w:val="18"/>
                <w:color w:val="auto"/>
              </w:rPr>
            </w:pPr>
          </w:p>
        </w:tc>
      </w:tr>
      <w:tr>
        <w:trPr>
          <w:trHeight w:val="239"/>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Intrinsic value</w:t>
            </w: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0"/>
        </w:trPr>
        <w:tc>
          <w:tcPr>
            <w:tcW w:w="5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1"/>
        </w:trPr>
        <w:tc>
          <w:tcPr>
            <w:tcW w:w="504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Cash proceeds received</w:t>
            </w:r>
          </w:p>
        </w:tc>
        <w:tc>
          <w:tcPr>
            <w:tcW w:w="980" w:type="dxa"/>
            <w:vAlign w:val="bottom"/>
            <w:tcBorders>
              <w:top w:val="single" w:sz="8" w:color="auto"/>
              <w:bottom w:val="single" w:sz="8" w:color="auto"/>
            </w:tcBorders>
          </w:tcPr>
          <w:p>
            <w:pPr>
              <w:jc w:val="right"/>
              <w:ind w:right="7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bottom w:val="single" w:sz="8" w:color="auto"/>
            </w:tcBorders>
          </w:tcPr>
          <w:p>
            <w:pPr>
              <w:ind w:left="260"/>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ind w:right="8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auto"/>
            </w:tcBorders>
          </w:tcPr>
          <w:p>
            <w:pPr>
              <w:ind w:left="160"/>
              <w:spacing w:after="0" w:line="191"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ind w:right="774"/>
              <w:spacing w:after="0" w:line="191" w:lineRule="exact"/>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ind w:right="8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36"/>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benefit realized</w:t>
            </w: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color w:val="auto"/>
        </w:rPr>
        <w:t>9.</w:t>
      </w:r>
      <w:r>
        <w:rPr>
          <w:sz w:val="20"/>
          <w:szCs w:val="20"/>
          <w:color w:val="auto"/>
        </w:rPr>
        <w:tab/>
      </w:r>
      <w:r>
        <w:rPr>
          <w:rFonts w:ascii="Times New Roman" w:cs="Times New Roman" w:eastAsia="Times New Roman" w:hAnsi="Times New Roman"/>
          <w:sz w:val="17"/>
          <w:szCs w:val="17"/>
          <w:u w:val="single" w:color="auto"/>
          <w:color w:val="auto"/>
        </w:rPr>
        <w:t>Income Tax</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Income tax expense was $3.7 million and $3.5 million during the three month periods ended September 30, 2025 and 2024, respectively and $11.0 million and $11.9 million during the nine months ended September 30, 2025 and 2024, respectively. Our actual federal income tax expense is different than the amount computed by applying our statutory income tax rate to our income before income tax primarily due to tax-exempt interest income and tax-exempt income from the increase in the cash surrender value on life insurance. In addition, the three and nine month periods ending September 30, 2025 include reductions of $0.01 million and $0.31 million, respectively, of income tax expense related to the impact of the excess value of stock awards that vested and stock options that were exercised as compared to the initial fair values that were expensed. These amounts during the same periods in 2024 were $0.01 million and $0.12 million, respectively.</w:t>
      </w:r>
    </w:p>
    <w:p>
      <w:pPr>
        <w:spacing w:after="0" w:line="13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September 30, 2025, September 30, 2024 and December 31, 2024 that the realization of substantially all of our deferred tax assets continues to be more likely than not.</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At both September 30, 2025 and December 31, 2024, we had approximately $0.2 million, respectively, of gross unrecognized tax benefits. We do not expect the total amount of unrecognized tax benefits to significantly increase or decrease during the remainder of 2025.</w:t>
      </w:r>
    </w:p>
    <w:p>
      <w:pPr>
        <w:spacing w:after="0" w:line="113" w:lineRule="exact"/>
        <w:rPr>
          <w:sz w:val="20"/>
          <w:szCs w:val="20"/>
          <w:color w:val="auto"/>
        </w:rPr>
      </w:pPr>
    </w:p>
    <w:p>
      <w:pPr>
        <w:ind w:left="380" w:hanging="377"/>
        <w:spacing w:after="0"/>
        <w:tabs>
          <w:tab w:leader="none" w:pos="3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Regulatory Matters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September 30, 2025, the Bank had positive undivided profits of $215.1 million. It is not our intent to have dividends paid in amounts that would reduce the capital of our Bank to levels below those which we consider prudent or that would not be in accordance with guidelines of regulatory authorities.</w:t>
      </w:r>
    </w:p>
    <w:p>
      <w:pPr>
        <w:spacing w:after="0" w:line="1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interim condensed consolidated financial statements. In addition, capital adequacy rules include a common equity Tier 1 capital conservation buffer of 2.5% of risk-weighted assets that applies to all supervised financial institutions. To avoid limits on capital distributions and certain discretionary bonus payments we must meet the minimum ratio for adequately capitalized institutions plus the buffer. Under capital adequacy guidelines, we must meet specific capital requirements that involve quantitative measures as well as qualitative judgments by the regulators. The most recent regulatory filings as of September 30, 2025 and December 31, 2024, categorized our Bank as well capitalized and exceeding the minimum ratio for adequately capitalized institutions plus the capital conservation buffer. Management is not aware of any conditions or events that would have changed the most recent Federal Deposit Insurance Corporation (“FDIC”) categorization.</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actual capital amounts and ratios follow (1):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jc w:val="center"/>
              <w:ind w:left="614"/>
              <w:spacing w:after="0"/>
              <w:rPr>
                <w:sz w:val="20"/>
                <w:szCs w:val="20"/>
                <w:color w:val="auto"/>
              </w:rPr>
            </w:pPr>
            <w:r>
              <w:rPr>
                <w:rFonts w:ascii="Times New Roman" w:cs="Times New Roman" w:eastAsia="Times New Roman" w:hAnsi="Times New Roman"/>
                <w:sz w:val="17"/>
                <w:szCs w:val="17"/>
                <w:color w:val="auto"/>
              </w:rPr>
              <w:t>Minimum for</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jc w:val="center"/>
              <w:ind w:left="594"/>
              <w:spacing w:after="0"/>
              <w:rPr>
                <w:sz w:val="20"/>
                <w:szCs w:val="20"/>
                <w:color w:val="auto"/>
              </w:rPr>
            </w:pPr>
            <w:r>
              <w:rPr>
                <w:rFonts w:ascii="Times New Roman" w:cs="Times New Roman" w:eastAsia="Times New Roman" w:hAnsi="Times New Roman"/>
                <w:sz w:val="17"/>
                <w:szCs w:val="17"/>
                <w:color w:val="auto"/>
                <w:w w:val="99"/>
              </w:rPr>
              <w:t>Minimum for</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00" w:type="dxa"/>
            <w:vAlign w:val="bottom"/>
            <w:gridSpan w:val="3"/>
          </w:tcPr>
          <w:p>
            <w:pPr>
              <w:jc w:val="center"/>
              <w:ind w:right="320"/>
              <w:spacing w:after="0" w:line="167" w:lineRule="exact"/>
              <w:rPr>
                <w:sz w:val="20"/>
                <w:szCs w:val="20"/>
                <w:color w:val="auto"/>
              </w:rPr>
            </w:pPr>
            <w:r>
              <w:rPr>
                <w:rFonts w:ascii="Times New Roman" w:cs="Times New Roman" w:eastAsia="Times New Roman" w:hAnsi="Times New Roman"/>
                <w:sz w:val="17"/>
                <w:szCs w:val="17"/>
                <w:color w:val="auto"/>
              </w:rPr>
              <w:t>Adequately Capitalized</w:t>
            </w:r>
          </w:p>
        </w:tc>
        <w:tc>
          <w:tcPr>
            <w:tcW w:w="240" w:type="dxa"/>
            <w:vAlign w:val="bottom"/>
          </w:tcPr>
          <w:p>
            <w:pPr>
              <w:spacing w:after="0"/>
              <w:rPr>
                <w:sz w:val="14"/>
                <w:szCs w:val="14"/>
                <w:color w:val="auto"/>
              </w:rPr>
            </w:pPr>
          </w:p>
        </w:tc>
        <w:tc>
          <w:tcPr>
            <w:tcW w:w="2600" w:type="dxa"/>
            <w:vAlign w:val="bottom"/>
            <w:gridSpan w:val="2"/>
          </w:tcPr>
          <w:p>
            <w:pPr>
              <w:jc w:val="center"/>
              <w:ind w:right="154"/>
              <w:spacing w:after="0" w:line="167" w:lineRule="exact"/>
              <w:rPr>
                <w:sz w:val="20"/>
                <w:szCs w:val="20"/>
                <w:color w:val="auto"/>
              </w:rPr>
            </w:pPr>
            <w:r>
              <w:rPr>
                <w:rFonts w:ascii="Times New Roman" w:cs="Times New Roman" w:eastAsia="Times New Roman" w:hAnsi="Times New Roman"/>
                <w:sz w:val="17"/>
                <w:szCs w:val="17"/>
                <w:color w:val="auto"/>
                <w:w w:val="99"/>
              </w:rPr>
              <w:t>Well-Capitalized</w:t>
            </w:r>
          </w:p>
        </w:tc>
        <w:tc>
          <w:tcPr>
            <w:tcW w:w="0" w:type="dxa"/>
            <w:vAlign w:val="bottom"/>
          </w:tcPr>
          <w:p>
            <w:pPr>
              <w:spacing w:after="0"/>
              <w:rPr>
                <w:sz w:val="1"/>
                <w:szCs w:val="1"/>
                <w:color w:val="auto"/>
              </w:rPr>
            </w:pPr>
          </w:p>
        </w:tc>
      </w:tr>
      <w:tr>
        <w:trPr>
          <w:trHeight w:val="232"/>
        </w:trPr>
        <w:tc>
          <w:tcPr>
            <w:tcW w:w="2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Actual</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left="614"/>
              <w:spacing w:after="0"/>
              <w:rPr>
                <w:sz w:val="20"/>
                <w:szCs w:val="20"/>
                <w:color w:val="auto"/>
              </w:rPr>
            </w:pPr>
            <w:r>
              <w:rPr>
                <w:rFonts w:ascii="Times New Roman" w:cs="Times New Roman" w:eastAsia="Times New Roman" w:hAnsi="Times New Roman"/>
                <w:sz w:val="17"/>
                <w:szCs w:val="17"/>
                <w:color w:val="auto"/>
              </w:rPr>
              <w:t>Institutions</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Institutions</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rPr>
              <w:t>Amount</w:t>
            </w: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Ratio</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7"/>
                <w:szCs w:val="17"/>
                <w:color w:val="auto"/>
              </w:rPr>
              <w:t>Amount</w:t>
            </w:r>
          </w:p>
        </w:tc>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Ratio</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Amount</w:t>
            </w: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w w:val="97"/>
              </w:rPr>
              <w:t>Ratio</w:t>
            </w:r>
          </w:p>
        </w:tc>
        <w:tc>
          <w:tcPr>
            <w:tcW w:w="0" w:type="dxa"/>
            <w:vAlign w:val="bottom"/>
          </w:tcPr>
          <w:p>
            <w:pPr>
              <w:spacing w:after="0"/>
              <w:rPr>
                <w:sz w:val="1"/>
                <w:szCs w:val="1"/>
                <w:color w:val="auto"/>
              </w:rPr>
            </w:pPr>
          </w:p>
        </w:tc>
      </w:tr>
      <w:tr>
        <w:trPr>
          <w:trHeight w:val="216"/>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September 30, 2025</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color w:val="auto"/>
              </w:rPr>
              <w:t>(Dollars in thousands)</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capital to risk-weighted assets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610,808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13.66 %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357,706</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9"/>
              </w:rPr>
              <w:t>8.00 %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tcPr>
          <w:p>
            <w:pPr>
              <w:spacing w:after="0"/>
              <w:rPr>
                <w:sz w:val="19"/>
                <w:szCs w:val="19"/>
                <w:color w:val="auto"/>
              </w:rPr>
            </w:pP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561,840</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12.58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357,199</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8.00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446,499</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Tier 1 capital to risk-weighted assets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554,774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12.41 %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268,280</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9"/>
              </w:rPr>
              <w:t>6.00 %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tcPr>
          <w:p>
            <w:pPr>
              <w:spacing w:after="0"/>
              <w:rPr>
                <w:sz w:val="19"/>
                <w:szCs w:val="19"/>
                <w:color w:val="auto"/>
              </w:rPr>
            </w:pP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505,884</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11.33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267,899</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6.00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357,199</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8.00 %</w:t>
            </w: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5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Common equity tier 1 capital to</w:t>
            </w: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risk-weighted assets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516,151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201,210</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9"/>
              </w:rPr>
              <w:t>4.50 %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tcPr>
          <w:p>
            <w:pPr>
              <w:spacing w:after="0"/>
              <w:rPr>
                <w:sz w:val="19"/>
                <w:szCs w:val="19"/>
                <w:color w:val="auto"/>
              </w:rPr>
            </w:pP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505,884</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11.33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200,925</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4.50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290,224</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6.50 %</w:t>
            </w: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Tier 1 capital to average assets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554,774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220,377</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9"/>
              </w:rPr>
              <w:t>4.00 %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tcPr>
          <w:p>
            <w:pPr>
              <w:spacing w:after="0"/>
              <w:rPr>
                <w:sz w:val="19"/>
                <w:szCs w:val="19"/>
                <w:color w:val="auto"/>
              </w:rPr>
            </w:pP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505,884</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9.19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220,083</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275,104</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5.00 %</w:t>
            </w: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2024</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capital to risk-weighted assets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622,444</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14.22 %</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350,113</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9"/>
              </w:rPr>
              <w:t>8.00 %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567,254</w:t>
            </w: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12.99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349,335</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8.00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436,668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155"/>
        </w:trPr>
        <w:tc>
          <w:tcPr>
            <w:tcW w:w="2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Tier 1 capital to risk-weighted assets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527,616</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12.06 %</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262,585</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9"/>
              </w:rPr>
              <w:t>6.00 %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512,546</w:t>
            </w: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11.74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262,001</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349,335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8.00 %</w:t>
            </w:r>
          </w:p>
        </w:tc>
        <w:tc>
          <w:tcPr>
            <w:tcW w:w="0" w:type="dxa"/>
            <w:vAlign w:val="bottom"/>
          </w:tcPr>
          <w:p>
            <w:pPr>
              <w:spacing w:after="0"/>
              <w:rPr>
                <w:sz w:val="1"/>
                <w:szCs w:val="1"/>
                <w:color w:val="auto"/>
              </w:rPr>
            </w:pPr>
          </w:p>
        </w:tc>
      </w:tr>
      <w:tr>
        <w:trPr>
          <w:trHeight w:val="155"/>
        </w:trPr>
        <w:tc>
          <w:tcPr>
            <w:tcW w:w="2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5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Common equity tier 1 capital to</w:t>
            </w: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risk-weighted assets</w:t>
            </w: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489,044</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11.17 %</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196,939</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9"/>
              </w:rPr>
              <w:t>4.50 %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512,546</w:t>
            </w: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11.74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196,501</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4.50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283,834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6.50 %</w:t>
            </w:r>
          </w:p>
        </w:tc>
        <w:tc>
          <w:tcPr>
            <w:tcW w:w="0" w:type="dxa"/>
            <w:vAlign w:val="bottom"/>
          </w:tcPr>
          <w:p>
            <w:pPr>
              <w:spacing w:after="0"/>
              <w:rPr>
                <w:sz w:val="1"/>
                <w:szCs w:val="1"/>
                <w:color w:val="auto"/>
              </w:rPr>
            </w:pPr>
          </w:p>
        </w:tc>
      </w:tr>
      <w:tr>
        <w:trPr>
          <w:trHeight w:val="155"/>
        </w:trPr>
        <w:tc>
          <w:tcPr>
            <w:tcW w:w="2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Tier 1 capital to average assets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527,616</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9.85 %</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214,332</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9"/>
              </w:rPr>
              <w:t>4.00 %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512,546</w:t>
            </w: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9.58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214,112</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267,640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5.00 %</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w:t>
      </w:r>
    </w:p>
    <w:p>
      <w:pPr>
        <w:spacing w:after="0" w:line="62" w:lineRule="exact"/>
        <w:rPr>
          <w:sz w:val="20"/>
          <w:szCs w:val="20"/>
          <w:color w:val="auto"/>
        </w:rPr>
      </w:pPr>
    </w:p>
    <w:p>
      <w:pPr>
        <w:ind w:right="2860" w:firstLine="20"/>
        <w:spacing w:after="0" w:line="413" w:lineRule="auto"/>
        <w:tabs>
          <w:tab w:leader="none" w:pos="58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ratios do not reflect a capital conservation buffer of 2.50% at September 30, 2025 and December 31, 2024. NA - Not applicable</w:t>
      </w:r>
    </w:p>
    <w:p>
      <w:pPr>
        <w:spacing w:after="0" w:line="200" w:lineRule="exact"/>
        <w:rPr>
          <w:sz w:val="20"/>
          <w:szCs w:val="20"/>
          <w:color w:val="auto"/>
        </w:rPr>
      </w:pPr>
    </w:p>
    <w:p>
      <w:pPr>
        <w:spacing w:after="0" w:line="2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The components of our regulatory capital are as follows: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25"/>
        </w:trPr>
        <w:tc>
          <w:tcPr>
            <w:tcW w:w="5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gridSpan w:val="5"/>
          </w:tcPr>
          <w:p>
            <w:pPr>
              <w:ind w:left="900"/>
              <w:spacing w:after="0"/>
              <w:rPr>
                <w:sz w:val="20"/>
                <w:szCs w:val="20"/>
                <w:color w:val="auto"/>
              </w:rPr>
            </w:pPr>
            <w:r>
              <w:rPr>
                <w:rFonts w:ascii="Times New Roman" w:cs="Times New Roman" w:eastAsia="Times New Roman" w:hAnsi="Times New Roman"/>
                <w:sz w:val="17"/>
                <w:szCs w:val="17"/>
                <w:color w:val="auto"/>
              </w:rPr>
              <w:t>Consolidated</w:t>
            </w:r>
          </w:p>
        </w:tc>
        <w:tc>
          <w:tcPr>
            <w:tcW w:w="180" w:type="dxa"/>
            <w:vAlign w:val="bottom"/>
          </w:tcPr>
          <w:p>
            <w:pPr>
              <w:spacing w:after="0"/>
              <w:rPr>
                <w:sz w:val="24"/>
                <w:szCs w:val="24"/>
                <w:color w:val="auto"/>
              </w:rPr>
            </w:pPr>
          </w:p>
        </w:tc>
        <w:tc>
          <w:tcPr>
            <w:tcW w:w="2880" w:type="dxa"/>
            <w:vAlign w:val="bottom"/>
            <w:gridSpan w:val="4"/>
          </w:tcPr>
          <w:p>
            <w:pPr>
              <w:jc w:val="right"/>
              <w:ind w:right="814"/>
              <w:spacing w:after="0"/>
              <w:rPr>
                <w:sz w:val="20"/>
                <w:szCs w:val="20"/>
                <w:color w:val="auto"/>
              </w:rPr>
            </w:pPr>
            <w:r>
              <w:rPr>
                <w:rFonts w:ascii="Times New Roman" w:cs="Times New Roman" w:eastAsia="Times New Roman" w:hAnsi="Times New Roman"/>
                <w:sz w:val="17"/>
                <w:szCs w:val="17"/>
                <w:color w:val="auto"/>
              </w:rPr>
              <w:t>Independent Bank</w:t>
            </w:r>
          </w:p>
        </w:tc>
      </w:tr>
      <w:tr>
        <w:trPr>
          <w:trHeight w:val="160"/>
        </w:trPr>
        <w:tc>
          <w:tcPr>
            <w:tcW w:w="50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60"/>
              <w:spacing w:after="0" w:line="161" w:lineRule="exact"/>
              <w:rPr>
                <w:sz w:val="20"/>
                <w:szCs w:val="20"/>
                <w:color w:val="auto"/>
              </w:rPr>
            </w:pPr>
            <w:r>
              <w:rPr>
                <w:rFonts w:ascii="Times New Roman" w:cs="Times New Roman" w:eastAsia="Times New Roman" w:hAnsi="Times New Roman"/>
                <w:sz w:val="17"/>
                <w:szCs w:val="17"/>
                <w:color w:val="auto"/>
              </w:rPr>
              <w:t>September 30,</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74"/>
              <w:spacing w:after="0" w:line="161" w:lineRule="exact"/>
              <w:rPr>
                <w:sz w:val="20"/>
                <w:szCs w:val="20"/>
                <w:color w:val="auto"/>
              </w:rPr>
            </w:pPr>
            <w:r>
              <w:rPr>
                <w:rFonts w:ascii="Times New Roman" w:cs="Times New Roman" w:eastAsia="Times New Roman" w:hAnsi="Times New Roman"/>
                <w:sz w:val="17"/>
                <w:szCs w:val="17"/>
                <w:color w:val="auto"/>
              </w:rPr>
              <w:t>December 31,</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80"/>
              <w:spacing w:after="0" w:line="161" w:lineRule="exact"/>
              <w:rPr>
                <w:sz w:val="20"/>
                <w:szCs w:val="20"/>
                <w:color w:val="auto"/>
              </w:rPr>
            </w:pPr>
            <w:r>
              <w:rPr>
                <w:rFonts w:ascii="Times New Roman" w:cs="Times New Roman" w:eastAsia="Times New Roman" w:hAnsi="Times New Roman"/>
                <w:sz w:val="17"/>
                <w:szCs w:val="17"/>
                <w:color w:val="auto"/>
              </w:rPr>
              <w:t>September 30,</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74"/>
              <w:spacing w:after="0" w:line="161" w:lineRule="exact"/>
              <w:rPr>
                <w:sz w:val="20"/>
                <w:szCs w:val="20"/>
                <w:color w:val="auto"/>
              </w:rPr>
            </w:pPr>
            <w:r>
              <w:rPr>
                <w:rFonts w:ascii="Times New Roman" w:cs="Times New Roman" w:eastAsia="Times New Roman" w:hAnsi="Times New Roman"/>
                <w:sz w:val="17"/>
                <w:szCs w:val="17"/>
                <w:color w:val="auto"/>
              </w:rPr>
              <w:t>December 31,</w:t>
            </w:r>
          </w:p>
        </w:tc>
      </w:tr>
      <w:tr>
        <w:trPr>
          <w:trHeight w:val="228"/>
        </w:trPr>
        <w:tc>
          <w:tcPr>
            <w:tcW w:w="5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r>
      <w:tr>
        <w:trPr>
          <w:trHeight w:val="217"/>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5"/>
          </w:tcPr>
          <w:p>
            <w:pPr>
              <w:ind w:left="860"/>
              <w:spacing w:after="0"/>
              <w:rPr>
                <w:sz w:val="20"/>
                <w:szCs w:val="20"/>
                <w:color w:val="auto"/>
              </w:rPr>
            </w:pPr>
            <w:r>
              <w:rPr>
                <w:rFonts w:ascii="Times New Roman" w:cs="Times New Roman" w:eastAsia="Times New Roman" w:hAnsi="Times New Roman"/>
                <w:sz w:val="17"/>
                <w:szCs w:val="17"/>
                <w:color w:val="auto"/>
              </w:rPr>
              <w:t>(In thousands)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490,742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454,686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480,475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478,188</w:t>
            </w:r>
          </w:p>
        </w:tc>
      </w:tr>
      <w:tr>
        <w:trPr>
          <w:trHeight w:val="21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 (deduct)</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45"/>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Accumulated other comprehensive loss for regulatory purposes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54,832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64,146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54,832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64,146</w:t>
            </w:r>
          </w:p>
        </w:tc>
      </w:tr>
      <w:tr>
        <w:trPr>
          <w:trHeight w:val="245"/>
        </w:trPr>
        <w:tc>
          <w:tcPr>
            <w:tcW w:w="50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Goodwill and other intangibles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(29,423)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(29,788)</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(29,423)</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(29,788)</w:t>
            </w:r>
          </w:p>
        </w:tc>
      </w:tr>
      <w:tr>
        <w:trPr>
          <w:trHeight w:val="212"/>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Common equity tier 1 capital</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516,151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489,044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505,884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512,546</w:t>
            </w:r>
          </w:p>
        </w:tc>
      </w:tr>
      <w:tr>
        <w:trPr>
          <w:trHeight w:val="245"/>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Qualifying trust preferred securities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38,572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504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Tier 1 capital</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554,774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527,616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505,884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512,546</w:t>
            </w:r>
          </w:p>
        </w:tc>
      </w:tr>
      <w:tr>
        <w:trPr>
          <w:trHeight w:val="245"/>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Subordinated debt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8"/>
        </w:trPr>
        <w:tc>
          <w:tcPr>
            <w:tcW w:w="5040" w:type="dxa"/>
            <w:vAlign w:val="bottom"/>
            <w:shd w:val="clear" w:color="auto" w:fill="CCEEFF"/>
          </w:tcPr>
          <w:p>
            <w:pPr>
              <w:ind w:left="320"/>
              <w:spacing w:after="0" w:line="167" w:lineRule="exact"/>
              <w:rPr>
                <w:sz w:val="20"/>
                <w:szCs w:val="20"/>
                <w:color w:val="auto"/>
              </w:rPr>
            </w:pPr>
            <w:r>
              <w:rPr>
                <w:rFonts w:ascii="Times New Roman" w:cs="Times New Roman" w:eastAsia="Times New Roman" w:hAnsi="Times New Roman"/>
                <w:sz w:val="17"/>
                <w:szCs w:val="17"/>
                <w:color w:val="auto"/>
              </w:rPr>
              <w:t>Allowance for credit losses and allowance for unfunded lending</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32"/>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commitments limited to 1.25% of total risk-weighted assets</w:t>
            </w: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56,034</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54,828</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55,956</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54,708</w:t>
            </w:r>
          </w:p>
        </w:tc>
      </w:tr>
      <w:tr>
        <w:trPr>
          <w:trHeight w:val="212"/>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Total risk-based capital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610,808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622,444</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561,840</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567,254</w:t>
            </w:r>
          </w:p>
        </w:tc>
      </w:tr>
      <w:tr>
        <w:trPr>
          <w:trHeight w:val="20"/>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80" w:hanging="377"/>
        <w:spacing w:after="0"/>
        <w:tabs>
          <w:tab w:leader="none" w:pos="3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Fair Value Disclosures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standard describes three levels of inputs that may be used to measure fair value:</w:t>
      </w:r>
    </w:p>
    <w:p>
      <w:pPr>
        <w:spacing w:after="0" w:line="178"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127"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140"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used the following methods and significant assumptions to estimate fair value:</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u w:val="single" w:color="auto"/>
          <w:color w:val="auto"/>
        </w:rPr>
        <w:t>Securities</w:t>
      </w:r>
      <w:r>
        <w:rPr>
          <w:rFonts w:ascii="Times New Roman" w:cs="Times New Roman" w:eastAsia="Times New Roman" w:hAnsi="Times New Roman"/>
          <w:sz w:val="17"/>
          <w:szCs w:val="17"/>
          <w:color w:val="auto"/>
        </w:rPr>
        <w:t>: Where quoted market prices are available in an active market, securities are classified as Level 1 of the valuation hierarchy. We currently do not have any Level 1 securities. If quoted market prices are not available for the specific security, then fair values are estimated by (1) using quoted market prices of securities with similar characteristics, (2) matrix pricing, which is a mathematical technique used widely in the industry to value debt securities without relying exclusively on quoted prices for specific securities but rather by relying on the securities’ relationship to other benchmark quoted prices, or (3) a discounted cash flow analysis whose significant fair value inputs can generally be verified and do not typically involve judgment by management. These securities are classified as Level 2 of the valuation hierarchy and</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primarily include agency securities, private label mortgage-backed securities, other asset backed securities, obligations of states and political subdivisions, trust preferred securities and corporate securities.</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u w:val="single" w:color="auto"/>
          <w:color w:val="auto"/>
        </w:rPr>
        <w:t>Loans held for sale</w:t>
      </w:r>
      <w:r>
        <w:rPr>
          <w:rFonts w:ascii="Times New Roman" w:cs="Times New Roman" w:eastAsia="Times New Roman" w:hAnsi="Times New Roman"/>
          <w:sz w:val="17"/>
          <w:szCs w:val="17"/>
          <w:color w:val="auto"/>
        </w:rPr>
        <w:t>: The fair value of mortgage loans held for sale, carried at fair value is based on agency cash window loan pricing for comparable assets (recurring Level 2).</w:t>
      </w:r>
    </w:p>
    <w:p>
      <w:pPr>
        <w:spacing w:after="0" w:line="1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Collateral dependent loans with specific loss allocations based on collateral value</w:t>
      </w:r>
      <w:r>
        <w:rPr>
          <w:rFonts w:ascii="Times New Roman" w:cs="Times New Roman" w:eastAsia="Times New Roman" w:hAnsi="Times New Roman"/>
          <w:sz w:val="17"/>
          <w:szCs w:val="17"/>
          <w:color w:val="auto"/>
        </w:rPr>
        <w:t>: From time to time, certain collateral dependent loans will have an ACL established. When the fair value of the collateral is based on an appraised value or when an appraised value is not available we record the collateral dependent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u w:val="single" w:color="auto"/>
          <w:color w:val="auto"/>
        </w:rPr>
        <w:t>Other real estate</w:t>
      </w:r>
      <w:r>
        <w:rPr>
          <w:rFonts w:ascii="Times New Roman" w:cs="Times New Roman" w:eastAsia="Times New Roman" w:hAnsi="Times New Roman"/>
          <w:sz w:val="17"/>
          <w:szCs w:val="17"/>
          <w:color w:val="auto"/>
          <w:highlight w:val="white"/>
        </w:rPr>
        <w:t>: At the time of acquisition, other real estate is recorded at fair value, less estimated costs to sell, which becomes the property’s new basis.</w:t>
      </w:r>
      <w:r>
        <w:rPr>
          <w:rFonts w:ascii="Times New Roman" w:cs="Times New Roman" w:eastAsia="Times New Roman" w:hAnsi="Times New Roman"/>
          <w:sz w:val="17"/>
          <w:szCs w:val="17"/>
          <w:color w:val="auto"/>
        </w:rPr>
        <w:t xml:space="preserve"> Subsequent write-downs to reflect declines in value since the time of acquisition may occur from time to time and are recorded in net gains (losses) on other real estate and repossessed assets, which is part of non-interest expense - other in the interim Condensed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Appraisals for both collateral-dependent loans and other real estate are performed by certified general appraisers (for commercial properties) or certified residential appraisers (for residential properties) whose qualifications and licenses have been reviewed and verified by us. Once received, an independent third party, or a member of our Collateral Evaluation Department (for commercial properties), or a member of our Special Assets Group (for residential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residential properties we typically discount an appraisal to account for various factors that the appraisal excludes in its assumptions.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Capitalized mortgage loan servicing rights</w:t>
      </w:r>
      <w:r>
        <w:rPr>
          <w:rFonts w:ascii="Times New Roman" w:cs="Times New Roman" w:eastAsia="Times New Roman" w:hAnsi="Times New Roman"/>
          <w:sz w:val="17"/>
          <w:szCs w:val="17"/>
          <w:color w:val="auto"/>
        </w:rPr>
        <w:t>: The fair value of capitalized mortgage loan servicing rights is based on a valuation model used by an 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Level 3. Management evaluates the third party valuation for reasonableness each quarter as part of our financial reporting control processes.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u w:val="single" w:color="auto"/>
          <w:color w:val="auto"/>
        </w:rPr>
        <w:t>Derivatives</w:t>
      </w:r>
      <w:r>
        <w:rPr>
          <w:rFonts w:ascii="Times New Roman" w:cs="Times New Roman" w:eastAsia="Times New Roman" w:hAnsi="Times New Roman"/>
          <w:sz w:val="17"/>
          <w:szCs w:val="17"/>
          <w:color w:val="auto"/>
          <w:highlight w:val="white"/>
        </w:rPr>
        <w:t>: The fair value of rate-lock mortgage loan commitments is based on agency cash window loan pricing for comparable assets and the fair value of</w:t>
      </w:r>
      <w:r>
        <w:rPr>
          <w:rFonts w:ascii="Times New Roman" w:cs="Times New Roman" w:eastAsia="Times New Roman" w:hAnsi="Times New Roman"/>
          <w:sz w:val="17"/>
          <w:szCs w:val="17"/>
          <w:color w:val="auto"/>
        </w:rPr>
        <w:t xml:space="preserve"> mandatory commitments to sell mortgage loans is based on mortgage backed security pricing for comparable assets (recurring Level 2). The fair value of interest rate swap, interest rate cap and interest rate floor agreements are derived from proprietary models which utilize current market data. The significant fair value inputs can generally be observed in the market place and do not typically involve judgment by management (recurring Level 2).</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Assets and liabilities measured at fair value, including financial assets for which we have elected the fair value option,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7"/>
                <w:szCs w:val="17"/>
                <w:color w:val="auto"/>
                <w:w w:val="99"/>
              </w:rPr>
              <w:t>Fair Value Measurements Using</w:t>
            </w:r>
          </w:p>
        </w:tc>
        <w:tc>
          <w:tcPr>
            <w:tcW w:w="0" w:type="dxa"/>
            <w:vAlign w:val="bottom"/>
          </w:tcPr>
          <w:p>
            <w:pPr>
              <w:spacing w:after="0"/>
              <w:rPr>
                <w:sz w:val="1"/>
                <w:szCs w:val="1"/>
                <w:color w:val="auto"/>
              </w:rPr>
            </w:pPr>
          </w:p>
        </w:tc>
      </w:tr>
      <w:tr>
        <w:trPr>
          <w:trHeight w:val="160"/>
        </w:trPr>
        <w:tc>
          <w:tcPr>
            <w:tcW w:w="4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0" w:type="dxa"/>
            <w:vAlign w:val="bottom"/>
          </w:tcPr>
          <w:p>
            <w:pPr>
              <w:jc w:val="center"/>
              <w:ind w:left="194"/>
              <w:spacing w:after="0" w:line="161" w:lineRule="exact"/>
              <w:rPr>
                <w:sz w:val="20"/>
                <w:szCs w:val="20"/>
                <w:color w:val="auto"/>
              </w:rPr>
            </w:pPr>
            <w:r>
              <w:rPr>
                <w:rFonts w:ascii="Times New Roman" w:cs="Times New Roman" w:eastAsia="Times New Roman" w:hAnsi="Times New Roman"/>
                <w:sz w:val="17"/>
                <w:szCs w:val="17"/>
                <w:color w:val="auto"/>
              </w:rPr>
              <w:t>Quoted</w:t>
            </w:r>
          </w:p>
        </w:tc>
        <w:tc>
          <w:tcPr>
            <w:tcW w:w="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center"/>
              <w:ind w:left="174"/>
              <w:spacing w:after="0" w:line="167" w:lineRule="exact"/>
              <w:rPr>
                <w:sz w:val="20"/>
                <w:szCs w:val="20"/>
                <w:color w:val="auto"/>
              </w:rPr>
            </w:pPr>
            <w:r>
              <w:rPr>
                <w:rFonts w:ascii="Times New Roman" w:cs="Times New Roman" w:eastAsia="Times New Roman" w:hAnsi="Times New Roman"/>
                <w:sz w:val="17"/>
                <w:szCs w:val="17"/>
                <w:color w:val="auto"/>
              </w:rPr>
              <w:t>Prices</w:t>
            </w: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jc w:val="center"/>
              <w:ind w:left="194"/>
              <w:spacing w:after="0" w:line="177" w:lineRule="exact"/>
              <w:rPr>
                <w:sz w:val="20"/>
                <w:szCs w:val="20"/>
                <w:color w:val="auto"/>
              </w:rPr>
            </w:pPr>
            <w:r>
              <w:rPr>
                <w:rFonts w:ascii="Times New Roman" w:cs="Times New Roman" w:eastAsia="Times New Roman" w:hAnsi="Times New Roman"/>
                <w:sz w:val="17"/>
                <w:szCs w:val="17"/>
                <w:color w:val="auto"/>
              </w:rPr>
              <w:t>in Active</w:t>
            </w:r>
          </w:p>
        </w:tc>
        <w:tc>
          <w:tcPr>
            <w:tcW w:w="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center"/>
              <w:ind w:left="194"/>
              <w:spacing w:after="0" w:line="172" w:lineRule="exact"/>
              <w:rPr>
                <w:sz w:val="20"/>
                <w:szCs w:val="20"/>
                <w:color w:val="auto"/>
              </w:rPr>
            </w:pPr>
            <w:r>
              <w:rPr>
                <w:rFonts w:ascii="Times New Roman" w:cs="Times New Roman" w:eastAsia="Times New Roman" w:hAnsi="Times New Roman"/>
                <w:sz w:val="17"/>
                <w:szCs w:val="17"/>
                <w:color w:val="auto"/>
              </w:rPr>
              <w:t>Markets</w:t>
            </w:r>
          </w:p>
        </w:tc>
        <w:tc>
          <w:tcPr>
            <w:tcW w:w="540" w:type="dxa"/>
            <w:vAlign w:val="bottom"/>
          </w:tcPr>
          <w:p>
            <w:pPr>
              <w:spacing w:after="0"/>
              <w:rPr>
                <w:sz w:val="14"/>
                <w:szCs w:val="14"/>
                <w:color w:val="auto"/>
              </w:rPr>
            </w:pPr>
          </w:p>
        </w:tc>
        <w:tc>
          <w:tcPr>
            <w:tcW w:w="1120" w:type="dxa"/>
            <w:vAlign w:val="bottom"/>
          </w:tcPr>
          <w:p>
            <w:pPr>
              <w:jc w:val="center"/>
              <w:ind w:right="114"/>
              <w:spacing w:after="0" w:line="172" w:lineRule="exact"/>
              <w:rPr>
                <w:sz w:val="20"/>
                <w:szCs w:val="20"/>
                <w:color w:val="auto"/>
              </w:rPr>
            </w:pPr>
            <w:r>
              <w:rPr>
                <w:rFonts w:ascii="Times New Roman" w:cs="Times New Roman" w:eastAsia="Times New Roman" w:hAnsi="Times New Roman"/>
                <w:sz w:val="17"/>
                <w:szCs w:val="17"/>
                <w:color w:val="auto"/>
              </w:rPr>
              <w:t>Significant</w:t>
            </w:r>
          </w:p>
        </w:tc>
        <w:tc>
          <w:tcPr>
            <w:tcW w:w="260" w:type="dxa"/>
            <w:vAlign w:val="bottom"/>
          </w:tcPr>
          <w:p>
            <w:pPr>
              <w:spacing w:after="0"/>
              <w:rPr>
                <w:sz w:val="14"/>
                <w:szCs w:val="14"/>
                <w:color w:val="auto"/>
              </w:rPr>
            </w:pPr>
          </w:p>
        </w:tc>
        <w:tc>
          <w:tcPr>
            <w:tcW w:w="1100" w:type="dxa"/>
            <w:vAlign w:val="bottom"/>
          </w:tcPr>
          <w:p>
            <w:pPr>
              <w:jc w:val="center"/>
              <w:ind w:right="114"/>
              <w:spacing w:after="0" w:line="172" w:lineRule="exact"/>
              <w:rPr>
                <w:sz w:val="20"/>
                <w:szCs w:val="20"/>
                <w:color w:val="auto"/>
              </w:rPr>
            </w:pPr>
            <w:r>
              <w:rPr>
                <w:rFonts w:ascii="Times New Roman" w:cs="Times New Roman" w:eastAsia="Times New Roman" w:hAnsi="Times New Roman"/>
                <w:sz w:val="17"/>
                <w:szCs w:val="17"/>
                <w:color w:val="auto"/>
                <w:w w:val="99"/>
              </w:rPr>
              <w:t>Significant</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center"/>
              <w:ind w:left="194"/>
              <w:spacing w:after="0" w:line="167" w:lineRule="exact"/>
              <w:rPr>
                <w:sz w:val="20"/>
                <w:szCs w:val="20"/>
                <w:color w:val="auto"/>
              </w:rPr>
            </w:pPr>
            <w:r>
              <w:rPr>
                <w:rFonts w:ascii="Times New Roman" w:cs="Times New Roman" w:eastAsia="Times New Roman" w:hAnsi="Times New Roman"/>
                <w:sz w:val="17"/>
                <w:szCs w:val="17"/>
                <w:color w:val="auto"/>
              </w:rPr>
              <w:t>for</w:t>
            </w:r>
          </w:p>
        </w:tc>
        <w:tc>
          <w:tcPr>
            <w:tcW w:w="540" w:type="dxa"/>
            <w:vAlign w:val="bottom"/>
          </w:tcPr>
          <w:p>
            <w:pPr>
              <w:spacing w:after="0"/>
              <w:rPr>
                <w:sz w:val="14"/>
                <w:szCs w:val="14"/>
                <w:color w:val="auto"/>
              </w:rPr>
            </w:pPr>
          </w:p>
        </w:tc>
        <w:tc>
          <w:tcPr>
            <w:tcW w:w="112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4"/>
                <w:szCs w:val="14"/>
                <w:color w:val="auto"/>
              </w:rPr>
            </w:pPr>
          </w:p>
        </w:tc>
        <w:tc>
          <w:tcPr>
            <w:tcW w:w="110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color w:val="auto"/>
                <w:w w:val="98"/>
              </w:rPr>
              <w:t>Un-</w:t>
            </w:r>
          </w:p>
        </w:tc>
        <w:tc>
          <w:tcPr>
            <w:tcW w:w="0" w:type="dxa"/>
            <w:vAlign w:val="bottom"/>
          </w:tcPr>
          <w:p>
            <w:pPr>
              <w:spacing w:after="0"/>
              <w:rPr>
                <w:sz w:val="1"/>
                <w:szCs w:val="1"/>
                <w:color w:val="auto"/>
              </w:rPr>
            </w:pPr>
          </w:p>
        </w:tc>
      </w:tr>
      <w:tr>
        <w:trPr>
          <w:trHeight w:val="180"/>
        </w:trPr>
        <w:tc>
          <w:tcPr>
            <w:tcW w:w="4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94"/>
              <w:spacing w:after="0" w:line="181" w:lineRule="exact"/>
              <w:rPr>
                <w:sz w:val="20"/>
                <w:szCs w:val="20"/>
                <w:color w:val="auto"/>
              </w:rPr>
            </w:pPr>
            <w:r>
              <w:rPr>
                <w:rFonts w:ascii="Times New Roman" w:cs="Times New Roman" w:eastAsia="Times New Roman" w:hAnsi="Times New Roman"/>
                <w:sz w:val="17"/>
                <w:szCs w:val="17"/>
                <w:color w:val="auto"/>
                <w:w w:val="96"/>
              </w:rPr>
              <w:t>Fair Value</w:t>
            </w:r>
          </w:p>
        </w:tc>
        <w:tc>
          <w:tcPr>
            <w:tcW w:w="1000" w:type="dxa"/>
            <w:vAlign w:val="bottom"/>
          </w:tcPr>
          <w:p>
            <w:pPr>
              <w:jc w:val="center"/>
              <w:ind w:left="194"/>
              <w:spacing w:after="0" w:line="181" w:lineRule="exact"/>
              <w:rPr>
                <w:sz w:val="20"/>
                <w:szCs w:val="20"/>
                <w:color w:val="auto"/>
              </w:rPr>
            </w:pPr>
            <w:r>
              <w:rPr>
                <w:rFonts w:ascii="Times New Roman" w:cs="Times New Roman" w:eastAsia="Times New Roman" w:hAnsi="Times New Roman"/>
                <w:sz w:val="17"/>
                <w:szCs w:val="17"/>
                <w:color w:val="auto"/>
              </w:rPr>
              <w:t>Identical</w:t>
            </w:r>
          </w:p>
        </w:tc>
        <w:tc>
          <w:tcPr>
            <w:tcW w:w="540" w:type="dxa"/>
            <w:vAlign w:val="bottom"/>
          </w:tcPr>
          <w:p>
            <w:pPr>
              <w:spacing w:after="0"/>
              <w:rPr>
                <w:sz w:val="15"/>
                <w:szCs w:val="15"/>
                <w:color w:val="auto"/>
              </w:rPr>
            </w:pPr>
          </w:p>
        </w:tc>
        <w:tc>
          <w:tcPr>
            <w:tcW w:w="1120" w:type="dxa"/>
            <w:vAlign w:val="bottom"/>
          </w:tcPr>
          <w:p>
            <w:pPr>
              <w:jc w:val="center"/>
              <w:ind w:right="94"/>
              <w:spacing w:after="0" w:line="181" w:lineRule="exact"/>
              <w:rPr>
                <w:sz w:val="20"/>
                <w:szCs w:val="20"/>
                <w:color w:val="auto"/>
              </w:rPr>
            </w:pPr>
            <w:r>
              <w:rPr>
                <w:rFonts w:ascii="Times New Roman" w:cs="Times New Roman" w:eastAsia="Times New Roman" w:hAnsi="Times New Roman"/>
                <w:sz w:val="17"/>
                <w:szCs w:val="17"/>
                <w:color w:val="auto"/>
              </w:rPr>
              <w:t>Observable</w:t>
            </w:r>
          </w:p>
        </w:tc>
        <w:tc>
          <w:tcPr>
            <w:tcW w:w="260" w:type="dxa"/>
            <w:vAlign w:val="bottom"/>
          </w:tcPr>
          <w:p>
            <w:pPr>
              <w:spacing w:after="0"/>
              <w:rPr>
                <w:sz w:val="15"/>
                <w:szCs w:val="15"/>
                <w:color w:val="auto"/>
              </w:rPr>
            </w:pPr>
          </w:p>
        </w:tc>
        <w:tc>
          <w:tcPr>
            <w:tcW w:w="1100" w:type="dxa"/>
            <w:vAlign w:val="bottom"/>
          </w:tcPr>
          <w:p>
            <w:pPr>
              <w:jc w:val="center"/>
              <w:ind w:right="114"/>
              <w:spacing w:after="0" w:line="181" w:lineRule="exact"/>
              <w:rPr>
                <w:sz w:val="20"/>
                <w:szCs w:val="20"/>
                <w:color w:val="auto"/>
              </w:rPr>
            </w:pPr>
            <w:r>
              <w:rPr>
                <w:rFonts w:ascii="Times New Roman" w:cs="Times New Roman" w:eastAsia="Times New Roman" w:hAnsi="Times New Roman"/>
                <w:sz w:val="17"/>
                <w:szCs w:val="17"/>
                <w:color w:val="auto"/>
              </w:rPr>
              <w:t>observable</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94"/>
              <w:spacing w:after="0" w:line="167" w:lineRule="exact"/>
              <w:rPr>
                <w:sz w:val="20"/>
                <w:szCs w:val="20"/>
                <w:color w:val="auto"/>
              </w:rPr>
            </w:pPr>
            <w:r>
              <w:rPr>
                <w:rFonts w:ascii="Times New Roman" w:cs="Times New Roman" w:eastAsia="Times New Roman" w:hAnsi="Times New Roman"/>
                <w:sz w:val="17"/>
                <w:szCs w:val="17"/>
                <w:color w:val="auto"/>
              </w:rPr>
              <w:t>Measure-</w:t>
            </w:r>
          </w:p>
        </w:tc>
        <w:tc>
          <w:tcPr>
            <w:tcW w:w="1000" w:type="dxa"/>
            <w:vAlign w:val="bottom"/>
          </w:tcPr>
          <w:p>
            <w:pPr>
              <w:jc w:val="center"/>
              <w:ind w:left="194"/>
              <w:spacing w:after="0" w:line="167" w:lineRule="exact"/>
              <w:rPr>
                <w:sz w:val="20"/>
                <w:szCs w:val="20"/>
                <w:color w:val="auto"/>
              </w:rPr>
            </w:pPr>
            <w:r>
              <w:rPr>
                <w:rFonts w:ascii="Times New Roman" w:cs="Times New Roman" w:eastAsia="Times New Roman" w:hAnsi="Times New Roman"/>
                <w:sz w:val="17"/>
                <w:szCs w:val="17"/>
                <w:color w:val="auto"/>
                <w:w w:val="99"/>
              </w:rPr>
              <w:t>Assets</w:t>
            </w:r>
          </w:p>
        </w:tc>
        <w:tc>
          <w:tcPr>
            <w:tcW w:w="540" w:type="dxa"/>
            <w:vAlign w:val="bottom"/>
          </w:tcPr>
          <w:p>
            <w:pPr>
              <w:spacing w:after="0"/>
              <w:rPr>
                <w:sz w:val="14"/>
                <w:szCs w:val="14"/>
                <w:color w:val="auto"/>
              </w:rPr>
            </w:pPr>
          </w:p>
        </w:tc>
        <w:tc>
          <w:tcPr>
            <w:tcW w:w="112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color w:val="auto"/>
              </w:rPr>
              <w:t>Inputs</w:t>
            </w:r>
          </w:p>
        </w:tc>
        <w:tc>
          <w:tcPr>
            <w:tcW w:w="260" w:type="dxa"/>
            <w:vAlign w:val="bottom"/>
          </w:tcPr>
          <w:p>
            <w:pPr>
              <w:spacing w:after="0"/>
              <w:rPr>
                <w:sz w:val="14"/>
                <w:szCs w:val="14"/>
                <w:color w:val="auto"/>
              </w:rPr>
            </w:pPr>
          </w:p>
        </w:tc>
        <w:tc>
          <w:tcPr>
            <w:tcW w:w="110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color w:val="auto"/>
                <w:w w:val="98"/>
              </w:rPr>
              <w:t>Inputs</w:t>
            </w:r>
          </w:p>
        </w:tc>
        <w:tc>
          <w:tcPr>
            <w:tcW w:w="0" w:type="dxa"/>
            <w:vAlign w:val="bottom"/>
          </w:tcPr>
          <w:p>
            <w:pPr>
              <w:spacing w:after="0"/>
              <w:rPr>
                <w:sz w:val="1"/>
                <w:szCs w:val="1"/>
                <w:color w:val="auto"/>
              </w:rPr>
            </w:pPr>
          </w:p>
        </w:tc>
      </w:tr>
      <w:tr>
        <w:trPr>
          <w:trHeight w:val="228"/>
        </w:trPr>
        <w:tc>
          <w:tcPr>
            <w:tcW w:w="4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color w:val="auto"/>
              </w:rPr>
              <w:t>ments</w:t>
            </w:r>
          </w:p>
        </w:tc>
        <w:tc>
          <w:tcPr>
            <w:tcW w:w="1000" w:type="dxa"/>
            <w:vAlign w:val="bottom"/>
            <w:tcBorders>
              <w:bottom w:val="single" w:sz="8" w:color="auto"/>
            </w:tcBorders>
          </w:tcPr>
          <w:p>
            <w:pPr>
              <w:jc w:val="center"/>
              <w:ind w:left="194"/>
              <w:spacing w:after="0"/>
              <w:rPr>
                <w:sz w:val="20"/>
                <w:szCs w:val="20"/>
                <w:color w:val="auto"/>
              </w:rPr>
            </w:pPr>
            <w:r>
              <w:rPr>
                <w:rFonts w:ascii="Times New Roman" w:cs="Times New Roman" w:eastAsia="Times New Roman" w:hAnsi="Times New Roman"/>
                <w:sz w:val="17"/>
                <w:szCs w:val="17"/>
                <w:color w:val="auto"/>
              </w:rPr>
              <w:t>(Level 1)</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rPr>
              <w:t>(Level 2)</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w w:val="98"/>
              </w:rPr>
              <w:t>(Level 3)</w:t>
            </w:r>
          </w:p>
        </w:tc>
        <w:tc>
          <w:tcPr>
            <w:tcW w:w="0" w:type="dxa"/>
            <w:vAlign w:val="bottom"/>
          </w:tcPr>
          <w:p>
            <w:pPr>
              <w:spacing w:after="0"/>
              <w:rPr>
                <w:sz w:val="1"/>
                <w:szCs w:val="1"/>
                <w:color w:val="auto"/>
              </w:rPr>
            </w:pPr>
          </w:p>
        </w:tc>
      </w:tr>
      <w:tr>
        <w:trPr>
          <w:trHeight w:val="220"/>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September 30, 2025:</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60" w:type="dxa"/>
            <w:vAlign w:val="bottom"/>
            <w:gridSpan w:val="3"/>
          </w:tcPr>
          <w:p>
            <w:pPr>
              <w:jc w:val="right"/>
              <w:ind w:right="754"/>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Measured at Fair Value on a Recurring Basis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U.S. agency</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8,071</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8,071</w:t>
            </w:r>
          </w:p>
        </w:tc>
        <w:tc>
          <w:tcPr>
            <w:tcW w:w="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78,196</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78,196</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7,455</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7,455</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41,936</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41,936</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Other asset backed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32,129</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32,129</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279,615</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279,615</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Corporate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54,200</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54,200</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Trust preferred</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981</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981</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held for sale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11,654</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11,654</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Capitalized mortgage loan servicing rights</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31,522</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31,522</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Derivatives (1)</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32,106</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32,106</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Liabilities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Derivatives (2)</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20,729</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20,729</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4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Measured at Fair Value on a Non-recurring Basis: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Collateral dependent loans (3)</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Commercial</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8,386</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8,386</w:t>
            </w:r>
          </w:p>
        </w:tc>
        <w:tc>
          <w:tcPr>
            <w:tcW w:w="0" w:type="dxa"/>
            <w:vAlign w:val="bottom"/>
          </w:tcPr>
          <w:p>
            <w:pPr>
              <w:spacing w:after="0"/>
              <w:rPr>
                <w:sz w:val="1"/>
                <w:szCs w:val="1"/>
                <w:color w:val="auto"/>
              </w:rPr>
            </w:pPr>
          </w:p>
        </w:tc>
      </w:tr>
      <w:tr>
        <w:trPr>
          <w:trHeight w:val="219"/>
        </w:trPr>
        <w:tc>
          <w:tcPr>
            <w:tcW w:w="43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Commercial real estate</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10,892</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10,892</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Mortgage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661</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19"/>
        </w:trPr>
        <w:tc>
          <w:tcPr>
            <w:tcW w:w="43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1-4 family - 2nd lien</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198</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Resort lending</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37</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19"/>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Installment</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Boat lending</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205</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0" w:type="dxa"/>
            <w:vAlign w:val="bottom"/>
          </w:tcPr>
          <w:p>
            <w:pPr>
              <w:spacing w:after="0"/>
              <w:rPr>
                <w:sz w:val="1"/>
                <w:szCs w:val="1"/>
                <w:color w:val="auto"/>
              </w:rPr>
            </w:pPr>
          </w:p>
        </w:tc>
      </w:tr>
      <w:tr>
        <w:trPr>
          <w:trHeight w:val="219"/>
        </w:trPr>
        <w:tc>
          <w:tcPr>
            <w:tcW w:w="43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139</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Other</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57</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w:t>
      </w:r>
    </w:p>
    <w:p>
      <w:pPr>
        <w:spacing w:after="0" w:line="21" w:lineRule="exact"/>
        <w:rPr>
          <w:sz w:val="20"/>
          <w:szCs w:val="20"/>
          <w:color w:val="auto"/>
        </w:rPr>
      </w:pPr>
    </w:p>
    <w:p>
      <w:pPr>
        <w:ind w:left="300" w:hanging="297"/>
        <w:spacing w:after="0"/>
        <w:tabs>
          <w:tab w:leader="none" w:pos="3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income and other assets</w:t>
      </w:r>
    </w:p>
    <w:p>
      <w:pPr>
        <w:spacing w:after="0" w:line="3"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expenses and other liabilities</w:t>
      </w:r>
    </w:p>
    <w:p>
      <w:pPr>
        <w:spacing w:after="0" w:line="6"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Only includes individually evaluated loans with specific allocations of the ACL based on collateral value.</w:t>
      </w:r>
    </w:p>
    <w:p>
      <w:pPr>
        <w:spacing w:after="0" w:line="200" w:lineRule="exact"/>
        <w:rPr>
          <w:sz w:val="20"/>
          <w:szCs w:val="20"/>
          <w:color w:val="auto"/>
        </w:rPr>
      </w:pPr>
    </w:p>
    <w:p>
      <w:pPr>
        <w:spacing w:after="0" w:line="36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(Unaudited)</w:t>
      </w:r>
    </w:p>
    <w:p>
      <w:pPr>
        <w:spacing w:after="0" w:line="290"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3"/>
          </w:tcPr>
          <w:p>
            <w:pPr>
              <w:jc w:val="center"/>
              <w:ind w:right="514"/>
              <w:spacing w:after="0"/>
              <w:rPr>
                <w:sz w:val="20"/>
                <w:szCs w:val="20"/>
                <w:color w:val="auto"/>
              </w:rPr>
            </w:pPr>
            <w:r>
              <w:rPr>
                <w:rFonts w:ascii="Times New Roman" w:cs="Times New Roman" w:eastAsia="Times New Roman" w:hAnsi="Times New Roman"/>
                <w:sz w:val="17"/>
                <w:szCs w:val="17"/>
                <w:color w:val="auto"/>
              </w:rPr>
              <w:t>Fair Value Measurements Using</w:t>
            </w:r>
          </w:p>
        </w:tc>
        <w:tc>
          <w:tcPr>
            <w:tcW w:w="0" w:type="dxa"/>
            <w:vAlign w:val="bottom"/>
          </w:tcPr>
          <w:p>
            <w:pPr>
              <w:spacing w:after="0"/>
              <w:rPr>
                <w:sz w:val="1"/>
                <w:szCs w:val="1"/>
                <w:color w:val="auto"/>
              </w:rPr>
            </w:pPr>
          </w:p>
        </w:tc>
      </w:tr>
      <w:tr>
        <w:trPr>
          <w:trHeight w:val="160"/>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20" w:type="dxa"/>
            <w:vAlign w:val="bottom"/>
          </w:tcPr>
          <w:p>
            <w:pPr>
              <w:jc w:val="center"/>
              <w:ind w:left="254"/>
              <w:spacing w:after="0" w:line="161" w:lineRule="exact"/>
              <w:rPr>
                <w:sz w:val="20"/>
                <w:szCs w:val="20"/>
                <w:color w:val="auto"/>
              </w:rPr>
            </w:pPr>
            <w:r>
              <w:rPr>
                <w:rFonts w:ascii="Times New Roman" w:cs="Times New Roman" w:eastAsia="Times New Roman" w:hAnsi="Times New Roman"/>
                <w:sz w:val="17"/>
                <w:szCs w:val="17"/>
                <w:color w:val="auto"/>
                <w:w w:val="99"/>
              </w:rPr>
              <w:t>Quoted</w:t>
            </w:r>
          </w:p>
        </w:tc>
        <w:tc>
          <w:tcPr>
            <w:tcW w:w="6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20" w:type="dxa"/>
            <w:vAlign w:val="bottom"/>
          </w:tcPr>
          <w:p>
            <w:pPr>
              <w:jc w:val="center"/>
              <w:ind w:left="254"/>
              <w:spacing w:after="0" w:line="177" w:lineRule="exact"/>
              <w:rPr>
                <w:sz w:val="20"/>
                <w:szCs w:val="20"/>
                <w:color w:val="auto"/>
              </w:rPr>
            </w:pPr>
            <w:r>
              <w:rPr>
                <w:rFonts w:ascii="Times New Roman" w:cs="Times New Roman" w:eastAsia="Times New Roman" w:hAnsi="Times New Roman"/>
                <w:sz w:val="17"/>
                <w:szCs w:val="17"/>
                <w:color w:val="auto"/>
              </w:rPr>
              <w:t>Prices</w:t>
            </w:r>
          </w:p>
        </w:tc>
        <w:tc>
          <w:tcPr>
            <w:tcW w:w="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jc w:val="center"/>
              <w:ind w:left="274"/>
              <w:spacing w:after="0" w:line="172" w:lineRule="exact"/>
              <w:rPr>
                <w:sz w:val="20"/>
                <w:szCs w:val="20"/>
                <w:color w:val="auto"/>
              </w:rPr>
            </w:pPr>
            <w:r>
              <w:rPr>
                <w:rFonts w:ascii="Times New Roman" w:cs="Times New Roman" w:eastAsia="Times New Roman" w:hAnsi="Times New Roman"/>
                <w:sz w:val="17"/>
                <w:szCs w:val="17"/>
                <w:color w:val="auto"/>
              </w:rPr>
              <w:t>in Active</w:t>
            </w:r>
          </w:p>
        </w:tc>
        <w:tc>
          <w:tcPr>
            <w:tcW w:w="680" w:type="dxa"/>
            <w:vAlign w:val="bottom"/>
          </w:tcPr>
          <w:p>
            <w:pPr>
              <w:spacing w:after="0"/>
              <w:rPr>
                <w:sz w:val="14"/>
                <w:szCs w:val="14"/>
                <w:color w:val="auto"/>
              </w:rPr>
            </w:pPr>
          </w:p>
        </w:tc>
        <w:tc>
          <w:tcPr>
            <w:tcW w:w="1280" w:type="dxa"/>
            <w:vAlign w:val="bottom"/>
            <w:vMerge w:val="restart"/>
          </w:tcPr>
          <w:p>
            <w:pPr>
              <w:jc w:val="center"/>
              <w:ind w:right="174"/>
              <w:spacing w:after="0"/>
              <w:rPr>
                <w:sz w:val="20"/>
                <w:szCs w:val="20"/>
                <w:color w:val="auto"/>
              </w:rPr>
            </w:pPr>
            <w:r>
              <w:rPr>
                <w:rFonts w:ascii="Times New Roman" w:cs="Times New Roman" w:eastAsia="Times New Roman" w:hAnsi="Times New Roman"/>
                <w:sz w:val="17"/>
                <w:szCs w:val="17"/>
                <w:color w:val="auto"/>
                <w:w w:val="99"/>
              </w:rPr>
              <w:t>Significant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Significa</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jc w:val="center"/>
              <w:ind w:left="274"/>
              <w:spacing w:after="0" w:line="167" w:lineRule="exact"/>
              <w:rPr>
                <w:sz w:val="20"/>
                <w:szCs w:val="20"/>
                <w:color w:val="auto"/>
              </w:rPr>
            </w:pPr>
            <w:r>
              <w:rPr>
                <w:rFonts w:ascii="Times New Roman" w:cs="Times New Roman" w:eastAsia="Times New Roman" w:hAnsi="Times New Roman"/>
                <w:sz w:val="17"/>
                <w:szCs w:val="17"/>
                <w:color w:val="auto"/>
              </w:rPr>
              <w:t>Markets</w:t>
            </w:r>
          </w:p>
        </w:tc>
        <w:tc>
          <w:tcPr>
            <w:tcW w:w="6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20" w:type="dxa"/>
            <w:vAlign w:val="bottom"/>
          </w:tcPr>
          <w:p>
            <w:pPr>
              <w:jc w:val="center"/>
              <w:ind w:left="274"/>
              <w:spacing w:after="0" w:line="177" w:lineRule="exact"/>
              <w:rPr>
                <w:sz w:val="20"/>
                <w:szCs w:val="20"/>
                <w:color w:val="auto"/>
              </w:rPr>
            </w:pPr>
            <w:r>
              <w:rPr>
                <w:rFonts w:ascii="Times New Roman" w:cs="Times New Roman" w:eastAsia="Times New Roman" w:hAnsi="Times New Roman"/>
                <w:sz w:val="17"/>
                <w:szCs w:val="17"/>
                <w:color w:val="auto"/>
              </w:rPr>
              <w:t>for</w:t>
            </w:r>
          </w:p>
        </w:tc>
        <w:tc>
          <w:tcPr>
            <w:tcW w:w="680" w:type="dxa"/>
            <w:vAlign w:val="bottom"/>
          </w:tcPr>
          <w:p>
            <w:pPr>
              <w:spacing w:after="0"/>
              <w:rPr>
                <w:sz w:val="15"/>
                <w:szCs w:val="15"/>
                <w:color w:val="auto"/>
              </w:rPr>
            </w:pPr>
          </w:p>
        </w:tc>
        <w:tc>
          <w:tcPr>
            <w:tcW w:w="1280" w:type="dxa"/>
            <w:vAlign w:val="bottom"/>
          </w:tcPr>
          <w:p>
            <w:pPr>
              <w:jc w:val="center"/>
              <w:ind w:right="174"/>
              <w:spacing w:after="0" w:line="177" w:lineRule="exact"/>
              <w:rPr>
                <w:sz w:val="20"/>
                <w:szCs w:val="20"/>
                <w:color w:val="auto"/>
              </w:rPr>
            </w:pPr>
            <w:r>
              <w:rPr>
                <w:rFonts w:ascii="Times New Roman" w:cs="Times New Roman" w:eastAsia="Times New Roman" w:hAnsi="Times New Roman"/>
                <w:sz w:val="17"/>
                <w:szCs w:val="17"/>
                <w:color w:val="auto"/>
                <w:w w:val="98"/>
              </w:rPr>
              <w:t>Other</w:t>
            </w:r>
          </w:p>
        </w:tc>
        <w:tc>
          <w:tcPr>
            <w:tcW w:w="1020" w:type="dxa"/>
            <w:vAlign w:val="bottom"/>
          </w:tcPr>
          <w:p>
            <w:pPr>
              <w:jc w:val="right"/>
              <w:spacing w:after="0" w:line="177" w:lineRule="exact"/>
              <w:rPr>
                <w:sz w:val="20"/>
                <w:szCs w:val="20"/>
                <w:color w:val="auto"/>
              </w:rPr>
            </w:pPr>
            <w:r>
              <w:rPr>
                <w:rFonts w:ascii="Times New Roman" w:cs="Times New Roman" w:eastAsia="Times New Roman" w:hAnsi="Times New Roman"/>
                <w:sz w:val="17"/>
                <w:szCs w:val="17"/>
                <w:color w:val="auto"/>
              </w:rPr>
              <w:t>Un-</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254"/>
              <w:spacing w:after="0" w:line="172" w:lineRule="exact"/>
              <w:rPr>
                <w:sz w:val="20"/>
                <w:szCs w:val="20"/>
                <w:color w:val="auto"/>
              </w:rPr>
            </w:pPr>
            <w:r>
              <w:rPr>
                <w:rFonts w:ascii="Times New Roman" w:cs="Times New Roman" w:eastAsia="Times New Roman" w:hAnsi="Times New Roman"/>
                <w:sz w:val="17"/>
                <w:szCs w:val="17"/>
                <w:color w:val="auto"/>
                <w:w w:val="99"/>
              </w:rPr>
              <w:t>Fair Value</w:t>
            </w:r>
          </w:p>
        </w:tc>
        <w:tc>
          <w:tcPr>
            <w:tcW w:w="1120" w:type="dxa"/>
            <w:vAlign w:val="bottom"/>
          </w:tcPr>
          <w:p>
            <w:pPr>
              <w:jc w:val="center"/>
              <w:ind w:left="274"/>
              <w:spacing w:after="0" w:line="172" w:lineRule="exact"/>
              <w:rPr>
                <w:sz w:val="20"/>
                <w:szCs w:val="20"/>
                <w:color w:val="auto"/>
              </w:rPr>
            </w:pPr>
            <w:r>
              <w:rPr>
                <w:rFonts w:ascii="Times New Roman" w:cs="Times New Roman" w:eastAsia="Times New Roman" w:hAnsi="Times New Roman"/>
                <w:sz w:val="17"/>
                <w:szCs w:val="17"/>
                <w:color w:val="auto"/>
              </w:rPr>
              <w:t>Identical</w:t>
            </w:r>
          </w:p>
        </w:tc>
        <w:tc>
          <w:tcPr>
            <w:tcW w:w="680" w:type="dxa"/>
            <w:vAlign w:val="bottom"/>
          </w:tcPr>
          <w:p>
            <w:pPr>
              <w:spacing w:after="0"/>
              <w:rPr>
                <w:sz w:val="14"/>
                <w:szCs w:val="14"/>
                <w:color w:val="auto"/>
              </w:rPr>
            </w:pPr>
          </w:p>
        </w:tc>
        <w:tc>
          <w:tcPr>
            <w:tcW w:w="1280" w:type="dxa"/>
            <w:vAlign w:val="bottom"/>
          </w:tcPr>
          <w:p>
            <w:pPr>
              <w:jc w:val="center"/>
              <w:ind w:right="174"/>
              <w:spacing w:after="0" w:line="172" w:lineRule="exact"/>
              <w:rPr>
                <w:sz w:val="20"/>
                <w:szCs w:val="20"/>
                <w:color w:val="auto"/>
              </w:rPr>
            </w:pPr>
            <w:r>
              <w:rPr>
                <w:rFonts w:ascii="Times New Roman" w:cs="Times New Roman" w:eastAsia="Times New Roman" w:hAnsi="Times New Roman"/>
                <w:sz w:val="17"/>
                <w:szCs w:val="17"/>
                <w:color w:val="auto"/>
              </w:rPr>
              <w:t>Observable</w:t>
            </w:r>
          </w:p>
        </w:tc>
        <w:tc>
          <w:tcPr>
            <w:tcW w:w="1020" w:type="dxa"/>
            <w:vAlign w:val="bottom"/>
          </w:tcPr>
          <w:p>
            <w:pPr>
              <w:jc w:val="right"/>
              <w:spacing w:after="0" w:line="172" w:lineRule="exact"/>
              <w:rPr>
                <w:sz w:val="20"/>
                <w:szCs w:val="20"/>
                <w:color w:val="auto"/>
              </w:rPr>
            </w:pPr>
            <w:r>
              <w:rPr>
                <w:rFonts w:ascii="Times New Roman" w:cs="Times New Roman" w:eastAsia="Times New Roman" w:hAnsi="Times New Roman"/>
                <w:sz w:val="17"/>
                <w:szCs w:val="17"/>
                <w:color w:val="auto"/>
              </w:rPr>
              <w:t>observab</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254"/>
              <w:spacing w:after="0" w:line="167" w:lineRule="exact"/>
              <w:rPr>
                <w:sz w:val="20"/>
                <w:szCs w:val="20"/>
                <w:color w:val="auto"/>
              </w:rPr>
            </w:pPr>
            <w:r>
              <w:rPr>
                <w:rFonts w:ascii="Times New Roman" w:cs="Times New Roman" w:eastAsia="Times New Roman" w:hAnsi="Times New Roman"/>
                <w:sz w:val="17"/>
                <w:szCs w:val="17"/>
                <w:color w:val="auto"/>
                <w:w w:val="99"/>
              </w:rPr>
              <w:t>Measure-</w:t>
            </w:r>
          </w:p>
        </w:tc>
        <w:tc>
          <w:tcPr>
            <w:tcW w:w="1120" w:type="dxa"/>
            <w:vAlign w:val="bottom"/>
          </w:tcPr>
          <w:p>
            <w:pPr>
              <w:jc w:val="center"/>
              <w:ind w:left="274"/>
              <w:spacing w:after="0" w:line="167" w:lineRule="exact"/>
              <w:rPr>
                <w:sz w:val="20"/>
                <w:szCs w:val="20"/>
                <w:color w:val="auto"/>
              </w:rPr>
            </w:pPr>
            <w:r>
              <w:rPr>
                <w:rFonts w:ascii="Times New Roman" w:cs="Times New Roman" w:eastAsia="Times New Roman" w:hAnsi="Times New Roman"/>
                <w:sz w:val="17"/>
                <w:szCs w:val="17"/>
                <w:color w:val="auto"/>
                <w:w w:val="99"/>
              </w:rPr>
              <w:t>Assets</w:t>
            </w:r>
          </w:p>
        </w:tc>
        <w:tc>
          <w:tcPr>
            <w:tcW w:w="680" w:type="dxa"/>
            <w:vAlign w:val="bottom"/>
          </w:tcPr>
          <w:p>
            <w:pPr>
              <w:spacing w:after="0"/>
              <w:rPr>
                <w:sz w:val="14"/>
                <w:szCs w:val="14"/>
                <w:color w:val="auto"/>
              </w:rPr>
            </w:pPr>
          </w:p>
        </w:tc>
        <w:tc>
          <w:tcPr>
            <w:tcW w:w="1280" w:type="dxa"/>
            <w:vAlign w:val="bottom"/>
          </w:tcPr>
          <w:p>
            <w:pPr>
              <w:jc w:val="center"/>
              <w:ind w:right="174"/>
              <w:spacing w:after="0" w:line="167" w:lineRule="exact"/>
              <w:rPr>
                <w:sz w:val="20"/>
                <w:szCs w:val="20"/>
                <w:color w:val="auto"/>
              </w:rPr>
            </w:pPr>
            <w:r>
              <w:rPr>
                <w:rFonts w:ascii="Times New Roman" w:cs="Times New Roman" w:eastAsia="Times New Roman" w:hAnsi="Times New Roman"/>
                <w:sz w:val="17"/>
                <w:szCs w:val="17"/>
                <w:color w:val="auto"/>
                <w:w w:val="98"/>
              </w:rPr>
              <w:t>Inputs</w:t>
            </w:r>
          </w:p>
        </w:tc>
        <w:tc>
          <w:tcPr>
            <w:tcW w:w="102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Inputs</w:t>
            </w:r>
          </w:p>
        </w:tc>
        <w:tc>
          <w:tcPr>
            <w:tcW w:w="0" w:type="dxa"/>
            <w:vAlign w:val="bottom"/>
          </w:tcPr>
          <w:p>
            <w:pPr>
              <w:spacing w:after="0"/>
              <w:rPr>
                <w:sz w:val="1"/>
                <w:szCs w:val="1"/>
                <w:color w:val="auto"/>
              </w:rPr>
            </w:pPr>
          </w:p>
        </w:tc>
      </w:tr>
      <w:tr>
        <w:trPr>
          <w:trHeight w:val="232"/>
        </w:trPr>
        <w:tc>
          <w:tcPr>
            <w:tcW w:w="5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7"/>
                <w:szCs w:val="17"/>
                <w:color w:val="auto"/>
                <w:w w:val="98"/>
              </w:rPr>
              <w:t>ments</w:t>
            </w:r>
          </w:p>
        </w:tc>
        <w:tc>
          <w:tcPr>
            <w:tcW w:w="1120" w:type="dxa"/>
            <w:vAlign w:val="bottom"/>
            <w:tcBorders>
              <w:bottom w:val="single" w:sz="8" w:color="auto"/>
            </w:tcBorders>
          </w:tcPr>
          <w:p>
            <w:pPr>
              <w:jc w:val="center"/>
              <w:ind w:left="274"/>
              <w:spacing w:after="0"/>
              <w:rPr>
                <w:sz w:val="20"/>
                <w:szCs w:val="20"/>
                <w:color w:val="auto"/>
              </w:rPr>
            </w:pPr>
            <w:r>
              <w:rPr>
                <w:rFonts w:ascii="Times New Roman" w:cs="Times New Roman" w:eastAsia="Times New Roman" w:hAnsi="Times New Roman"/>
                <w:sz w:val="17"/>
                <w:szCs w:val="17"/>
                <w:color w:val="auto"/>
              </w:rPr>
              <w:t>(Level 1)</w:t>
            </w:r>
          </w:p>
        </w:tc>
        <w:tc>
          <w:tcPr>
            <w:tcW w:w="6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7"/>
                <w:szCs w:val="17"/>
                <w:color w:val="auto"/>
                <w:w w:val="98"/>
              </w:rPr>
              <w:t>(Level 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16"/>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December 31, 2024:</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80" w:type="dxa"/>
            <w:vAlign w:val="bottom"/>
            <w:gridSpan w:val="3"/>
          </w:tcPr>
          <w:p>
            <w:pPr>
              <w:jc w:val="right"/>
              <w:ind w:right="974"/>
              <w:spacing w:after="0"/>
              <w:rPr>
                <w:sz w:val="20"/>
                <w:szCs w:val="20"/>
                <w:color w:val="auto"/>
              </w:rPr>
            </w:pPr>
            <w:r>
              <w:rPr>
                <w:rFonts w:ascii="Times New Roman" w:cs="Times New Roman" w:eastAsia="Times New Roman" w:hAnsi="Times New Roman"/>
                <w:sz w:val="17"/>
                <w:szCs w:val="17"/>
                <w:color w:val="auto"/>
              </w:rPr>
              <w:t>(In thousands)</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Measured at Fair Value on a Recurring Basis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U.S. agency</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8,159</w:t>
            </w: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  $</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8,159</w:t>
            </w:r>
          </w:p>
        </w:tc>
        <w:tc>
          <w:tcPr>
            <w:tcW w:w="102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71,137</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71,137</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11,641</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11,641</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70,035</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70,035</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Other asset backed</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38,516</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38,516</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288,791</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288,791</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Corporate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69,921</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69,921</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Trust preferred</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982</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982</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held for sale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7,643</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7,643</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Capitalized mortgage loan servicing rights</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46,796</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Derivatives (1)</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37,059</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37,059</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Derivatives (2)</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18,623</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18,623</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Measured at Fair Value on a Non-recurring Basis: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Collateral dependent loans (3)</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Commercial</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4,205</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Commercial real estate</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132</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Mortgage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627</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1-4 family - 2nd lien</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170</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Resort lending</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92</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Installment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Boat lending</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56</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172</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59</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28" w:lineRule="exact"/>
        <w:rPr>
          <w:sz w:val="20"/>
          <w:szCs w:val="20"/>
          <w:color w:val="auto"/>
        </w:rPr>
      </w:pPr>
    </w:p>
    <w:p>
      <w:pPr>
        <w:ind w:left="300" w:hanging="297"/>
        <w:spacing w:after="0"/>
        <w:tabs>
          <w:tab w:leader="none" w:pos="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accrued income and other assets</w:t>
      </w:r>
    </w:p>
    <w:p>
      <w:pPr>
        <w:spacing w:after="0" w:line="10"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accrued expenses and other liabilities</w:t>
      </w:r>
    </w:p>
    <w:p>
      <w:pPr>
        <w:spacing w:after="0" w:line="10"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includes individually evaluated loans with specific allocations of the ACL based on collateral value.</w:t>
      </w:r>
    </w:p>
    <w:p>
      <w:pPr>
        <w:spacing w:after="0" w:line="200" w:lineRule="exact"/>
        <w:rPr>
          <w:sz w:val="20"/>
          <w:szCs w:val="20"/>
          <w:color w:val="auto"/>
        </w:rPr>
      </w:pPr>
    </w:p>
    <w:p>
      <w:pPr>
        <w:spacing w:after="0" w:line="36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fair values for financial assets which we have elected the fair value option for the periods presented were as follows:</w:t>
      </w:r>
    </w:p>
    <w:p>
      <w:pPr>
        <w:spacing w:after="0" w:line="220"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7"/>
          <w:szCs w:val="17"/>
          <w:color w:val="auto"/>
        </w:rPr>
        <w:t>Changes in Fair Values for the Nine</w:t>
      </w:r>
    </w:p>
    <w:p>
      <w:pPr>
        <w:ind w:left="7560"/>
        <w:spacing w:after="0" w:line="205" w:lineRule="auto"/>
        <w:rPr>
          <w:sz w:val="20"/>
          <w:szCs w:val="20"/>
          <w:color w:val="auto"/>
        </w:rPr>
      </w:pPr>
      <w:r>
        <w:rPr>
          <w:rFonts w:ascii="Times New Roman" w:cs="Times New Roman" w:eastAsia="Times New Roman" w:hAnsi="Times New Roman"/>
          <w:sz w:val="17"/>
          <w:szCs w:val="17"/>
          <w:color w:val="auto"/>
        </w:rPr>
        <w:t>Month Periods Ended September 30 for</w:t>
      </w:r>
    </w:p>
    <w:p>
      <w:pPr>
        <w:ind w:left="7600"/>
        <w:spacing w:after="0" w:line="222" w:lineRule="auto"/>
        <w:rPr>
          <w:sz w:val="20"/>
          <w:szCs w:val="20"/>
          <w:color w:val="auto"/>
        </w:rPr>
      </w:pPr>
      <w:r>
        <w:rPr>
          <w:rFonts w:ascii="Times New Roman" w:cs="Times New Roman" w:eastAsia="Times New Roman" w:hAnsi="Times New Roman"/>
          <w:sz w:val="17"/>
          <w:szCs w:val="17"/>
          <w:color w:val="auto"/>
        </w:rPr>
        <w:t>items Measured at Fair Value Pursuant</w:t>
      </w:r>
    </w:p>
    <w:p>
      <w:pPr>
        <w:ind w:left="7700"/>
        <w:spacing w:after="0"/>
        <w:rPr>
          <w:sz w:val="20"/>
          <w:szCs w:val="20"/>
          <w:color w:val="auto"/>
        </w:rPr>
      </w:pPr>
      <w:r>
        <w:rPr>
          <w:rFonts w:ascii="Times New Roman" w:cs="Times New Roman" w:eastAsia="Times New Roman" w:hAnsi="Times New Roman"/>
          <w:sz w:val="17"/>
          <w:szCs w:val="17"/>
          <w:color w:val="auto"/>
        </w:rPr>
        <w:t>to Election of the Fair Value Option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6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ind w:right="154"/>
              <w:spacing w:after="0" w:line="161" w:lineRule="exact"/>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168"/>
        </w:trPr>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40" w:type="dxa"/>
            <w:vAlign w:val="bottom"/>
          </w:tcPr>
          <w:p>
            <w:pPr>
              <w:jc w:val="center"/>
              <w:ind w:right="154"/>
              <w:spacing w:after="0" w:line="167" w:lineRule="exact"/>
              <w:rPr>
                <w:sz w:val="20"/>
                <w:szCs w:val="20"/>
                <w:color w:val="auto"/>
              </w:rPr>
            </w:pPr>
            <w:r>
              <w:rPr>
                <w:rFonts w:ascii="Times New Roman" w:cs="Times New Roman" w:eastAsia="Times New Roman" w:hAnsi="Times New Roman"/>
                <w:sz w:val="17"/>
                <w:szCs w:val="17"/>
                <w:color w:val="auto"/>
              </w:rPr>
              <w:t>Change</w:t>
            </w:r>
          </w:p>
        </w:tc>
        <w:tc>
          <w:tcPr>
            <w:tcW w:w="0" w:type="dxa"/>
            <w:vAlign w:val="bottom"/>
          </w:tcPr>
          <w:p>
            <w:pPr>
              <w:spacing w:after="0"/>
              <w:rPr>
                <w:sz w:val="1"/>
                <w:szCs w:val="1"/>
                <w:color w:val="auto"/>
              </w:rPr>
            </w:pPr>
          </w:p>
        </w:tc>
      </w:tr>
      <w:tr>
        <w:trPr>
          <w:trHeight w:val="177"/>
        </w:trPr>
        <w:tc>
          <w:tcPr>
            <w:tcW w:w="6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40" w:type="dxa"/>
            <w:vAlign w:val="bottom"/>
          </w:tcPr>
          <w:p>
            <w:pPr>
              <w:jc w:val="center"/>
              <w:ind w:right="134"/>
              <w:spacing w:after="0" w:line="177" w:lineRule="exact"/>
              <w:rPr>
                <w:sz w:val="20"/>
                <w:szCs w:val="20"/>
                <w:color w:val="auto"/>
              </w:rPr>
            </w:pPr>
            <w:r>
              <w:rPr>
                <w:rFonts w:ascii="Times New Roman" w:cs="Times New Roman" w:eastAsia="Times New Roman" w:hAnsi="Times New Roman"/>
                <w:sz w:val="17"/>
                <w:szCs w:val="17"/>
                <w:color w:val="auto"/>
              </w:rPr>
              <w:t>in Fair</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auto"/>
              </w:rPr>
              <w:t>Net Gains (losses)</w:t>
            </w: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40" w:type="dxa"/>
            <w:vAlign w:val="bottom"/>
          </w:tcPr>
          <w:p>
            <w:pPr>
              <w:jc w:val="center"/>
              <w:ind w:right="134"/>
              <w:spacing w:after="0" w:line="172" w:lineRule="exact"/>
              <w:rPr>
                <w:sz w:val="20"/>
                <w:szCs w:val="20"/>
                <w:color w:val="auto"/>
              </w:rPr>
            </w:pPr>
            <w:r>
              <w:rPr>
                <w:rFonts w:ascii="Times New Roman" w:cs="Times New Roman" w:eastAsia="Times New Roman" w:hAnsi="Times New Roman"/>
                <w:sz w:val="17"/>
                <w:szCs w:val="17"/>
                <w:color w:val="auto"/>
                <w:w w:val="97"/>
              </w:rPr>
              <w:t>Values</w:t>
            </w:r>
          </w:p>
        </w:tc>
        <w:tc>
          <w:tcPr>
            <w:tcW w:w="0" w:type="dxa"/>
            <w:vAlign w:val="bottom"/>
          </w:tcPr>
          <w:p>
            <w:pPr>
              <w:spacing w:after="0"/>
              <w:rPr>
                <w:sz w:val="1"/>
                <w:szCs w:val="1"/>
                <w:color w:val="auto"/>
              </w:rPr>
            </w:pPr>
          </w:p>
        </w:tc>
      </w:tr>
      <w:tr>
        <w:trPr>
          <w:trHeight w:val="103"/>
        </w:trPr>
        <w:tc>
          <w:tcPr>
            <w:tcW w:w="6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40" w:type="dxa"/>
            <w:vAlign w:val="bottom"/>
            <w:vMerge w:val="restart"/>
          </w:tcPr>
          <w:p>
            <w:pPr>
              <w:jc w:val="center"/>
              <w:ind w:right="154"/>
              <w:spacing w:after="0" w:line="167" w:lineRule="exact"/>
              <w:rPr>
                <w:sz w:val="20"/>
                <w:szCs w:val="20"/>
                <w:color w:val="auto"/>
              </w:rPr>
            </w:pPr>
            <w:r>
              <w:rPr>
                <w:rFonts w:ascii="Times New Roman" w:cs="Times New Roman" w:eastAsia="Times New Roman" w:hAnsi="Times New Roman"/>
                <w:sz w:val="17"/>
                <w:szCs w:val="17"/>
                <w:color w:val="auto"/>
              </w:rPr>
              <w:t>Included</w:t>
            </w:r>
          </w:p>
        </w:tc>
        <w:tc>
          <w:tcPr>
            <w:tcW w:w="0" w:type="dxa"/>
            <w:vAlign w:val="bottom"/>
          </w:tcPr>
          <w:p>
            <w:pPr>
              <w:spacing w:after="0"/>
              <w:rPr>
                <w:sz w:val="1"/>
                <w:szCs w:val="1"/>
                <w:color w:val="auto"/>
              </w:rPr>
            </w:pPr>
          </w:p>
        </w:tc>
      </w:tr>
      <w:tr>
        <w:trPr>
          <w:trHeight w:val="64"/>
        </w:trPr>
        <w:tc>
          <w:tcPr>
            <w:tcW w:w="6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auto"/>
              </w:rPr>
              <w:t>on Assets</w:t>
            </w:r>
          </w:p>
        </w:tc>
        <w:tc>
          <w:tcPr>
            <w:tcW w:w="2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6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jc w:val="center"/>
              <w:ind w:right="414"/>
              <w:spacing w:after="0" w:line="161" w:lineRule="exact"/>
              <w:rPr>
                <w:sz w:val="20"/>
                <w:szCs w:val="20"/>
                <w:color w:val="auto"/>
              </w:rPr>
            </w:pPr>
            <w:r>
              <w:rPr>
                <w:rFonts w:ascii="Times New Roman" w:cs="Times New Roman" w:eastAsia="Times New Roman" w:hAnsi="Times New Roman"/>
                <w:sz w:val="17"/>
                <w:szCs w:val="17"/>
                <w:color w:val="auto"/>
                <w:w w:val="99"/>
              </w:rPr>
              <w:t>Mortgage</w:t>
            </w:r>
          </w:p>
        </w:tc>
        <w:tc>
          <w:tcPr>
            <w:tcW w:w="1240" w:type="dxa"/>
            <w:vAlign w:val="bottom"/>
          </w:tcPr>
          <w:p>
            <w:pPr>
              <w:jc w:val="center"/>
              <w:ind w:right="134"/>
              <w:spacing w:after="0" w:line="161" w:lineRule="exact"/>
              <w:rPr>
                <w:sz w:val="20"/>
                <w:szCs w:val="20"/>
                <w:color w:val="auto"/>
              </w:rPr>
            </w:pPr>
            <w:r>
              <w:rPr>
                <w:rFonts w:ascii="Times New Roman" w:cs="Times New Roman" w:eastAsia="Times New Roman" w:hAnsi="Times New Roman"/>
                <w:sz w:val="17"/>
                <w:szCs w:val="17"/>
                <w:color w:val="auto"/>
              </w:rPr>
              <w:t>in Current</w:t>
            </w:r>
          </w:p>
        </w:tc>
        <w:tc>
          <w:tcPr>
            <w:tcW w:w="0" w:type="dxa"/>
            <w:vAlign w:val="bottom"/>
          </w:tcPr>
          <w:p>
            <w:pPr>
              <w:spacing w:after="0"/>
              <w:rPr>
                <w:sz w:val="1"/>
                <w:szCs w:val="1"/>
                <w:color w:val="auto"/>
              </w:rPr>
            </w:pPr>
          </w:p>
        </w:tc>
      </w:tr>
      <w:tr>
        <w:trPr>
          <w:trHeight w:val="160"/>
        </w:trPr>
        <w:tc>
          <w:tcPr>
            <w:tcW w:w="6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ind w:right="14"/>
              <w:spacing w:after="0" w:line="161" w:lineRule="exact"/>
              <w:rPr>
                <w:sz w:val="20"/>
                <w:szCs w:val="20"/>
                <w:color w:val="auto"/>
              </w:rPr>
            </w:pPr>
            <w:r>
              <w:rPr>
                <w:rFonts w:ascii="Times New Roman" w:cs="Times New Roman" w:eastAsia="Times New Roman" w:hAnsi="Times New Roman"/>
                <w:sz w:val="17"/>
                <w:szCs w:val="17"/>
                <w:color w:val="auto"/>
              </w:rPr>
              <w:t>Mortgage</w:t>
            </w:r>
          </w:p>
        </w:tc>
        <w:tc>
          <w:tcPr>
            <w:tcW w:w="260" w:type="dxa"/>
            <w:vAlign w:val="bottom"/>
          </w:tcPr>
          <w:p>
            <w:pPr>
              <w:spacing w:after="0"/>
              <w:rPr>
                <w:sz w:val="13"/>
                <w:szCs w:val="13"/>
                <w:color w:val="auto"/>
              </w:rPr>
            </w:pPr>
          </w:p>
        </w:tc>
        <w:tc>
          <w:tcPr>
            <w:tcW w:w="1640" w:type="dxa"/>
            <w:vAlign w:val="bottom"/>
          </w:tcPr>
          <w:p>
            <w:pPr>
              <w:jc w:val="center"/>
              <w:ind w:right="414"/>
              <w:spacing w:after="0" w:line="161" w:lineRule="exact"/>
              <w:rPr>
                <w:sz w:val="20"/>
                <w:szCs w:val="20"/>
                <w:color w:val="auto"/>
              </w:rPr>
            </w:pPr>
            <w:r>
              <w:rPr>
                <w:rFonts w:ascii="Times New Roman" w:cs="Times New Roman" w:eastAsia="Times New Roman" w:hAnsi="Times New Roman"/>
                <w:sz w:val="17"/>
                <w:szCs w:val="17"/>
                <w:color w:val="auto"/>
                <w:w w:val="97"/>
              </w:rPr>
              <w:t>Loan</w:t>
            </w:r>
          </w:p>
        </w:tc>
        <w:tc>
          <w:tcPr>
            <w:tcW w:w="1240" w:type="dxa"/>
            <w:vAlign w:val="bottom"/>
          </w:tcPr>
          <w:p>
            <w:pPr>
              <w:jc w:val="center"/>
              <w:ind w:right="154"/>
              <w:spacing w:after="0" w:line="161" w:lineRule="exact"/>
              <w:rPr>
                <w:sz w:val="20"/>
                <w:szCs w:val="20"/>
                <w:color w:val="auto"/>
              </w:rPr>
            </w:pPr>
            <w:r>
              <w:rPr>
                <w:rFonts w:ascii="Times New Roman" w:cs="Times New Roman" w:eastAsia="Times New Roman" w:hAnsi="Times New Roman"/>
                <w:sz w:val="17"/>
                <w:szCs w:val="17"/>
                <w:color w:val="auto"/>
                <w:w w:val="99"/>
              </w:rPr>
              <w:t>Period</w:t>
            </w:r>
          </w:p>
        </w:tc>
        <w:tc>
          <w:tcPr>
            <w:tcW w:w="0" w:type="dxa"/>
            <w:vAlign w:val="bottom"/>
          </w:tcPr>
          <w:p>
            <w:pPr>
              <w:spacing w:after="0"/>
              <w:rPr>
                <w:sz w:val="1"/>
                <w:szCs w:val="1"/>
                <w:color w:val="auto"/>
              </w:rPr>
            </w:pPr>
          </w:p>
        </w:tc>
      </w:tr>
      <w:tr>
        <w:trPr>
          <w:trHeight w:val="228"/>
        </w:trPr>
        <w:tc>
          <w:tcPr>
            <w:tcW w:w="6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color w:val="auto"/>
              </w:rPr>
              <w:t>Loans</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414"/>
              <w:spacing w:after="0"/>
              <w:rPr>
                <w:sz w:val="20"/>
                <w:szCs w:val="20"/>
                <w:color w:val="auto"/>
              </w:rPr>
            </w:pPr>
            <w:r>
              <w:rPr>
                <w:rFonts w:ascii="Times New Roman" w:cs="Times New Roman" w:eastAsia="Times New Roman" w:hAnsi="Times New Roman"/>
                <w:sz w:val="17"/>
                <w:szCs w:val="17"/>
                <w:color w:val="auto"/>
                <w:w w:val="99"/>
              </w:rPr>
              <w:t>Servicing, net</w:t>
            </w:r>
          </w:p>
        </w:tc>
        <w:tc>
          <w:tcPr>
            <w:tcW w:w="12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7"/>
                <w:szCs w:val="17"/>
                <w:color w:val="auto"/>
                <w:w w:val="99"/>
              </w:rPr>
              <w:t>Earnings</w:t>
            </w:r>
          </w:p>
        </w:tc>
        <w:tc>
          <w:tcPr>
            <w:tcW w:w="0" w:type="dxa"/>
            <w:vAlign w:val="bottom"/>
          </w:tcPr>
          <w:p>
            <w:pPr>
              <w:spacing w:after="0"/>
              <w:rPr>
                <w:sz w:val="1"/>
                <w:szCs w:val="1"/>
                <w:color w:val="auto"/>
              </w:rPr>
            </w:pPr>
          </w:p>
        </w:tc>
      </w:tr>
      <w:tr>
        <w:trPr>
          <w:trHeight w:val="220"/>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rPr>
              <w:t>(In thousands)</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Loans held for sale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1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Capitalized mortgage loan servicing rights</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64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(4,984)</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(4,984)</w:t>
            </w: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Loans held for sale</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0" w:type="dxa"/>
            <w:vAlign w:val="bottom"/>
          </w:tcPr>
          <w:p>
            <w:pPr>
              <w:spacing w:after="0"/>
              <w:rPr>
                <w:sz w:val="1"/>
                <w:szCs w:val="1"/>
                <w:color w:val="auto"/>
              </w:rPr>
            </w:pPr>
          </w:p>
        </w:tc>
      </w:tr>
      <w:tr>
        <w:trPr>
          <w:trHeight w:val="223"/>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Capitalized mortgage loan servicing rights</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64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(4,995)</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(4,995)</w:t>
            </w: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those items measured at fair value pursuant to our election of the fair value option, interest income is recorded within the interim Condensed Consolidated Statements of Operations based on the contractual amount of interest income earned on these financial assets.</w:t>
      </w:r>
    </w:p>
    <w:p>
      <w:pPr>
        <w:spacing w:after="0" w:line="1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following represent impairment charges recognized during the three and nine month periods ended September 30, 2025 and 2024 relating to assets measured at fair value on a non-recurring basis:</w:t>
      </w:r>
    </w:p>
    <w:p>
      <w:pPr>
        <w:spacing w:after="0" w:line="1" w:lineRule="exact"/>
        <w:rPr>
          <w:sz w:val="20"/>
          <w:szCs w:val="20"/>
          <w:color w:val="auto"/>
        </w:rPr>
      </w:pPr>
    </w:p>
    <w:p>
      <w:pPr>
        <w:jc w:val="both"/>
        <w:ind w:left="620" w:hanging="307"/>
        <w:spacing w:after="0" w:line="256"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Loans that are individually evaluated using the fair value of collateral for collateral dependent loans had a carrying amount of $20.6 million, which is net of a valuation allowance of $5.7 million at September 30, 2025, and had a carrying amount of $5.5 million, which is net of a valuation allowance of $2.3 million at December 31, 2024. The provision for credit losses included in our results of operations relating to collateral dependent loans was a net expense of $1.3 million and $0.9 million for the three month periods ending September 30, 2025 and 2024, respectively, and a net expense of $3.3 million and $2.0 million for the nine month periods ending September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for all assets measured at fair value on a recurring basis using significant unobservable inputs (Level 3)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7"/>
                <w:szCs w:val="17"/>
                <w:color w:val="auto"/>
              </w:rPr>
              <w:t>Capitalized Mortgage Loan Servicing Rights</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040" w:type="dxa"/>
            <w:vAlign w:val="bottom"/>
          </w:tcPr>
          <w:p>
            <w:pPr>
              <w:spacing w:after="0"/>
              <w:rPr>
                <w:sz w:val="13"/>
                <w:szCs w:val="13"/>
                <w:color w:val="auto"/>
              </w:rPr>
            </w:pPr>
          </w:p>
        </w:tc>
        <w:tc>
          <w:tcPr>
            <w:tcW w:w="2480" w:type="dxa"/>
            <w:vAlign w:val="bottom"/>
            <w:gridSpan w:val="4"/>
          </w:tcPr>
          <w:p>
            <w:pPr>
              <w:jc w:val="right"/>
              <w:ind w:right="154"/>
              <w:spacing w:after="0" w:line="161" w:lineRule="exact"/>
              <w:rPr>
                <w:sz w:val="20"/>
                <w:szCs w:val="20"/>
                <w:color w:val="auto"/>
              </w:rPr>
            </w:pPr>
            <w:r>
              <w:rPr>
                <w:rFonts w:ascii="Times New Roman" w:cs="Times New Roman" w:eastAsia="Times New Roman" w:hAnsi="Times New Roman"/>
                <w:sz w:val="17"/>
                <w:szCs w:val="17"/>
                <w:color w:val="auto"/>
              </w:rPr>
              <w:t>Three Months Ended</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4"/>
          </w:tcPr>
          <w:p>
            <w:pPr>
              <w:jc w:val="right"/>
              <w:ind w:right="754"/>
              <w:spacing w:after="0" w:line="161" w:lineRule="exact"/>
              <w:rPr>
                <w:sz w:val="20"/>
                <w:szCs w:val="20"/>
                <w:color w:val="auto"/>
              </w:rPr>
            </w:pPr>
            <w:r>
              <w:rPr>
                <w:rFonts w:ascii="Times New Roman" w:cs="Times New Roman" w:eastAsia="Times New Roman" w:hAnsi="Times New Roman"/>
                <w:sz w:val="17"/>
                <w:szCs w:val="17"/>
                <w:color w:val="auto"/>
              </w:rPr>
              <w:t>Nine Months Ended</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80" w:type="dxa"/>
            <w:vAlign w:val="bottom"/>
            <w:gridSpan w:val="3"/>
          </w:tcPr>
          <w:p>
            <w:pPr>
              <w:jc w:val="right"/>
              <w:ind w:right="394"/>
              <w:spacing w:after="0"/>
              <w:rPr>
                <w:sz w:val="20"/>
                <w:szCs w:val="20"/>
                <w:color w:val="auto"/>
              </w:rPr>
            </w:pPr>
            <w:r>
              <w:rPr>
                <w:rFonts w:ascii="Times New Roman" w:cs="Times New Roman" w:eastAsia="Times New Roman" w:hAnsi="Times New Roman"/>
                <w:sz w:val="17"/>
                <w:szCs w:val="17"/>
                <w:color w:val="auto"/>
              </w:rPr>
              <w:t>September 30,</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September 30,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2024</w:t>
            </w:r>
          </w:p>
        </w:tc>
        <w:tc>
          <w:tcPr>
            <w:tcW w:w="0" w:type="dxa"/>
            <w:vAlign w:val="bottom"/>
          </w:tcPr>
          <w:p>
            <w:pPr>
              <w:spacing w:after="0"/>
              <w:rPr>
                <w:sz w:val="1"/>
                <w:szCs w:val="1"/>
                <w:color w:val="auto"/>
              </w:rPr>
            </w:pPr>
          </w:p>
        </w:tc>
      </w:tr>
      <w:tr>
        <w:trPr>
          <w:trHeight w:val="212"/>
        </w:trPr>
        <w:tc>
          <w:tcPr>
            <w:tcW w:w="5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80" w:type="dxa"/>
            <w:vAlign w:val="bottom"/>
            <w:gridSpan w:val="3"/>
          </w:tcPr>
          <w:p>
            <w:pPr>
              <w:jc w:val="right"/>
              <w:ind w:right="394"/>
              <w:spacing w:after="0"/>
              <w:rPr>
                <w:sz w:val="20"/>
                <w:szCs w:val="20"/>
                <w:color w:val="auto"/>
              </w:rPr>
            </w:pPr>
            <w:r>
              <w:rPr>
                <w:rFonts w:ascii="Times New Roman" w:cs="Times New Roman" w:eastAsia="Times New Roman" w:hAnsi="Times New Roman"/>
                <w:sz w:val="17"/>
                <w:szCs w:val="17"/>
                <w:color w:val="auto"/>
              </w:rPr>
              <w:t>(In thousands)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32,053</w:t>
            </w:r>
          </w:p>
        </w:tc>
        <w:tc>
          <w:tcPr>
            <w:tcW w:w="1020" w:type="dxa"/>
            <w:vAlign w:val="bottom"/>
            <w:gridSpan w:val="2"/>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44,406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46,796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42,243</w:t>
            </w: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gains (losses) realized and unrealized:</w:t>
            </w: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Included in results of operations</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(4,995)</w:t>
            </w:r>
          </w:p>
        </w:tc>
        <w:tc>
          <w:tcPr>
            <w:tcW w:w="0" w:type="dxa"/>
            <w:vAlign w:val="bottom"/>
          </w:tcPr>
          <w:p>
            <w:pPr>
              <w:spacing w:after="0"/>
              <w:rPr>
                <w:sz w:val="1"/>
                <w:szCs w:val="1"/>
                <w:color w:val="auto"/>
              </w:rPr>
            </w:pPr>
          </w:p>
        </w:tc>
      </w:tr>
      <w:tr>
        <w:trPr>
          <w:trHeight w:val="219"/>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Included in results of operations - gain on sale(1)</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Included in other comprehensive loss</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Purchases, issuances, settlements, maturities and calls</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2,956</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Sales(1)</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Transfers in and/or out of Level 3</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900" w:type="dxa"/>
            <w:vAlign w:val="bottom"/>
            <w:tcBorders>
              <w:top w:val="single" w:sz="8" w:color="auto"/>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40,204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40,204</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04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Amount of total losses for the period included in earnings attributable to</w:t>
            </w: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4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the change in unrealized gains (losses) relating to assets and liabilities</w:t>
            </w:r>
          </w:p>
        </w:tc>
        <w:tc>
          <w:tcPr>
            <w:tcW w:w="900" w:type="dxa"/>
            <w:vAlign w:val="bottom"/>
            <w:vMerge w:val="restart"/>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(1,479)</w:t>
            </w:r>
          </w:p>
        </w:tc>
        <w:tc>
          <w:tcPr>
            <w:tcW w:w="1020" w:type="dxa"/>
            <w:vAlign w:val="bottom"/>
            <w:gridSpan w:val="2"/>
            <w:vMerge w:val="restart"/>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(5,378)</w:t>
            </w:r>
          </w:p>
        </w:tc>
        <w:tc>
          <w:tcPr>
            <w:tcW w:w="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(4,984)</w:t>
            </w:r>
          </w:p>
        </w:tc>
        <w:tc>
          <w:tcPr>
            <w:tcW w:w="10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(4,995)</w:t>
            </w:r>
          </w:p>
        </w:tc>
        <w:tc>
          <w:tcPr>
            <w:tcW w:w="0" w:type="dxa"/>
            <w:vAlign w:val="bottom"/>
          </w:tcPr>
          <w:p>
            <w:pPr>
              <w:spacing w:after="0"/>
              <w:rPr>
                <w:sz w:val="1"/>
                <w:szCs w:val="1"/>
                <w:color w:val="auto"/>
              </w:rPr>
            </w:pPr>
          </w:p>
        </w:tc>
      </w:tr>
      <w:tr>
        <w:trPr>
          <w:trHeight w:val="226"/>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still held at September 30</w:t>
            </w:r>
          </w:p>
        </w:tc>
        <w:tc>
          <w:tcPr>
            <w:tcW w:w="90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left="320" w:hanging="317"/>
        <w:spacing w:after="0" w:line="258" w:lineRule="auto"/>
        <w:tabs>
          <w:tab w:leader="none" w:pos="463"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31, 2025 we sold $931.6 million of mortgage loan servicing rights (26.3% of total servicing portfolio) and transferred the servicing on March 3, 2025. This sale represented approximately $13.1 million (27.9%) of the total capitalized mortgage loan servicing right asset. While there remains a customary hold back of final settlement funds of approximately $0.6 million relating to this transaction, we are not aware of any issues that will have a material impact on this final payment. We have until the first quarter, 2026 to receive this final payment. Transaction expenses relating to this sale were approximately $0.2 million and was expensed during the first nine months of 2025.</w:t>
      </w:r>
    </w:p>
    <w:p>
      <w:pPr>
        <w:spacing w:after="0" w:line="1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fair value of our capitalized mortgage loan servicing rights has been determined based on a valuation model used by an independent third party as discussed above. The significant unobservable inputs used in the fair value measurement of the capitalized mortgage loan servicing rights are discount rate, cost to service, ancillary income, float rate and prepayment rate. Significant changes in all five of these assumptions in isolation would result in significant changes to the value of our capitalized mortgage loan servicing rights. Quantitative information about our Level 3 fair value measurements measured on a recurring basis follows:</w:t>
      </w:r>
    </w:p>
    <w:p>
      <w:pPr>
        <w:sectPr>
          <w:pgSz w:w="11900" w:h="16838" w:orient="portrait"/>
          <w:cols w:equalWidth="0" w:num="1">
            <w:col w:w="11240"/>
          </w:cols>
          <w:pgMar w:left="320" w:top="119" w:right="339" w:bottom="1440" w:gutter="0" w:footer="0" w:header="0"/>
        </w:sectPr>
      </w:pPr>
    </w:p>
    <w:p>
      <w:pPr>
        <w:spacing w:after="0" w:line="16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Asset</w:t>
      </w:r>
    </w:p>
    <w:p>
      <w:pPr>
        <w:ind w:left="2660"/>
        <w:spacing w:after="0" w:line="221" w:lineRule="auto"/>
        <w:rPr>
          <w:sz w:val="20"/>
          <w:szCs w:val="20"/>
          <w:color w:val="auto"/>
        </w:rPr>
      </w:pPr>
      <w:r>
        <w:rPr>
          <w:rFonts w:ascii="Times New Roman" w:cs="Times New Roman" w:eastAsia="Times New Roman" w:hAnsi="Times New Roman"/>
          <w:sz w:val="17"/>
          <w:szCs w:val="17"/>
          <w:color w:val="auto"/>
        </w:rPr>
        <w:t>Fair</w:t>
      </w:r>
    </w:p>
    <w:p>
      <w:pPr>
        <w:jc w:val="center"/>
        <w:ind w:left="2300"/>
        <w:spacing w:after="0"/>
        <w:rPr>
          <w:sz w:val="20"/>
          <w:szCs w:val="20"/>
          <w:color w:val="auto"/>
        </w:rPr>
      </w:pPr>
      <w:r>
        <w:rPr>
          <w:rFonts w:ascii="Times New Roman" w:cs="Times New Roman" w:eastAsia="Times New Roman" w:hAnsi="Times New Roman"/>
          <w:sz w:val="17"/>
          <w:szCs w:val="17"/>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1320165</wp:posOffset>
            </wp:positionH>
            <wp:positionV relativeFrom="paragraph">
              <wp:posOffset>5715</wp:posOffset>
            </wp:positionV>
            <wp:extent cx="91694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jc w:val="center"/>
        <w:ind w:left="2300"/>
        <w:spacing w:after="0"/>
        <w:rPr>
          <w:sz w:val="20"/>
          <w:szCs w:val="20"/>
          <w:color w:val="auto"/>
        </w:rPr>
      </w:pPr>
      <w:r>
        <w:rPr>
          <w:rFonts w:ascii="Times New Roman" w:cs="Times New Roman" w:eastAsia="Times New Roman" w:hAnsi="Times New Roman"/>
          <w:sz w:val="17"/>
          <w:szCs w:val="17"/>
          <w:color w:val="auto"/>
        </w:rPr>
        <w:t>(In thousands)</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Valuation</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Unobservable</w:t>
            </w: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Weighted</w:t>
            </w:r>
          </w:p>
        </w:tc>
      </w:tr>
      <w:tr>
        <w:trPr>
          <w:trHeight w:val="232"/>
        </w:trPr>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Technique</w:t>
            </w:r>
          </w:p>
        </w:tc>
        <w:tc>
          <w:tcPr>
            <w:tcW w:w="10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Inputs</w:t>
            </w:r>
          </w:p>
        </w:tc>
        <w:tc>
          <w:tcPr>
            <w:tcW w:w="100" w:type="dxa"/>
            <w:vAlign w:val="bottom"/>
          </w:tcPr>
          <w:p>
            <w:pPr>
              <w:spacing w:after="0"/>
              <w:rPr>
                <w:sz w:val="20"/>
                <w:szCs w:val="20"/>
                <w:color w:val="auto"/>
              </w:rPr>
            </w:pPr>
          </w:p>
        </w:tc>
        <w:tc>
          <w:tcPr>
            <w:tcW w:w="18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7"/>
                <w:szCs w:val="17"/>
                <w:color w:val="auto"/>
              </w:rPr>
              <w:t>Range</w:t>
            </w:r>
          </w:p>
        </w:tc>
        <w:tc>
          <w:tcPr>
            <w:tcW w:w="10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Average</w:t>
            </w:r>
          </w:p>
        </w:tc>
      </w:tr>
    </w:tbl>
    <w:p>
      <w:pPr>
        <w:spacing w:after="0" w:line="219" w:lineRule="exact"/>
        <w:rPr>
          <w:sz w:val="20"/>
          <w:szCs w:val="20"/>
          <w:color w:val="auto"/>
        </w:rPr>
      </w:pPr>
    </w:p>
    <w:p>
      <w:pPr>
        <w:sectPr>
          <w:pgSz w:w="11900" w:h="16838" w:orient="portrait"/>
          <w:cols w:equalWidth="0" w:num="2">
            <w:col w:w="3300" w:space="320"/>
            <w:col w:w="7620"/>
          </w:cols>
          <w:pgMar w:left="320" w:top="119" w:right="339" w:bottom="1440" w:gutter="0" w:footer="0" w:header="0"/>
          <w:type w:val="continuous"/>
        </w:sectPr>
      </w:pPr>
    </w:p>
    <w:tbl>
      <w:tblPr>
        <w:tblLayout w:type="fixed"/>
        <w:tblInd w:w="20" w:type="dxa"/>
        <w:tblCellMar>
          <w:top w:w="0" w:type="dxa"/>
          <w:left w:w="0" w:type="dxa"/>
          <w:bottom w:w="0" w:type="dxa"/>
          <w:right w:w="0" w:type="dxa"/>
        </w:tblCellMar>
      </w:tblPr>
      <w:tr>
        <w:trPr>
          <w:trHeight w:val="215"/>
        </w:trPr>
        <w:tc>
          <w:tcPr>
            <w:tcW w:w="2020" w:type="dxa"/>
            <w:vAlign w:val="bottom"/>
          </w:tcPr>
          <w:p>
            <w:pPr>
              <w:jc w:val="right"/>
              <w:ind w:right="554"/>
              <w:spacing w:after="0"/>
              <w:rPr>
                <w:sz w:val="20"/>
                <w:szCs w:val="20"/>
                <w:color w:val="auto"/>
              </w:rPr>
            </w:pPr>
            <w:r>
              <w:rPr>
                <w:rFonts w:ascii="Times New Roman" w:cs="Times New Roman" w:eastAsia="Times New Roman" w:hAnsi="Times New Roman"/>
                <w:sz w:val="17"/>
                <w:szCs w:val="17"/>
                <w:color w:val="auto"/>
                <w:w w:val="99"/>
              </w:rPr>
              <w:t>September 30, 2025</w:t>
            </w: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71"/>
        </w:trPr>
        <w:tc>
          <w:tcPr>
            <w:tcW w:w="2020" w:type="dxa"/>
            <w:vAlign w:val="bottom"/>
          </w:tcPr>
          <w:p>
            <w:pPr>
              <w:jc w:val="right"/>
              <w:spacing w:after="0" w:line="172" w:lineRule="exact"/>
              <w:rPr>
                <w:sz w:val="20"/>
                <w:szCs w:val="20"/>
                <w:color w:val="auto"/>
              </w:rPr>
            </w:pPr>
            <w:r>
              <w:rPr>
                <w:rFonts w:ascii="Times New Roman" w:cs="Times New Roman" w:eastAsia="Times New Roman" w:hAnsi="Times New Roman"/>
                <w:sz w:val="17"/>
                <w:szCs w:val="17"/>
                <w:color w:val="auto"/>
              </w:rPr>
              <w:t>Capitalized mortgage loan</w:t>
            </w: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2"/>
        </w:trPr>
        <w:tc>
          <w:tcPr>
            <w:tcW w:w="2020" w:type="dxa"/>
            <w:vAlign w:val="bottom"/>
          </w:tcPr>
          <w:p>
            <w:pPr>
              <w:jc w:val="right"/>
              <w:ind w:right="554"/>
              <w:spacing w:after="0"/>
              <w:rPr>
                <w:sz w:val="20"/>
                <w:szCs w:val="20"/>
                <w:color w:val="auto"/>
              </w:rPr>
            </w:pPr>
            <w:r>
              <w:rPr>
                <w:rFonts w:ascii="Times New Roman" w:cs="Times New Roman" w:eastAsia="Times New Roman" w:hAnsi="Times New Roman"/>
                <w:sz w:val="17"/>
                <w:szCs w:val="17"/>
                <w:color w:val="auto"/>
              </w:rPr>
              <w:t>servicing rights</w:t>
            </w:r>
          </w:p>
        </w:tc>
        <w:tc>
          <w:tcPr>
            <w:tcW w:w="54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31,522</w:t>
            </w:r>
          </w:p>
        </w:tc>
      </w:tr>
    </w:tbl>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hanging="154"/>
        <w:spacing w:after="0" w:line="239" w:lineRule="auto"/>
        <w:rPr>
          <w:sz w:val="20"/>
          <w:szCs w:val="20"/>
          <w:color w:val="auto"/>
        </w:rPr>
      </w:pPr>
      <w:r>
        <w:rPr>
          <w:rFonts w:ascii="Times New Roman" w:cs="Times New Roman" w:eastAsia="Times New Roman" w:hAnsi="Times New Roman"/>
          <w:sz w:val="17"/>
          <w:szCs w:val="17"/>
          <w:color w:val="auto"/>
        </w:rPr>
        <w:t>Present value of net servicing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-244475</wp:posOffset>
            </wp:positionV>
            <wp:extent cx="7138670" cy="2540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147955</wp:posOffset>
            </wp:positionV>
            <wp:extent cx="7138670" cy="1390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426085</wp:posOffset>
            </wp:positionV>
            <wp:extent cx="7138670" cy="1390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1880" w:type="dxa"/>
            <w:vAlign w:val="bottom"/>
          </w:tcPr>
          <w:p>
            <w:pPr>
              <w:spacing w:after="0"/>
              <w:rPr>
                <w:sz w:val="20"/>
                <w:szCs w:val="20"/>
                <w:color w:val="auto"/>
              </w:rPr>
            </w:pPr>
            <w:r>
              <w:rPr>
                <w:rFonts w:ascii="Times New Roman" w:cs="Times New Roman" w:eastAsia="Times New Roman" w:hAnsi="Times New Roman"/>
                <w:sz w:val="17"/>
                <w:szCs w:val="17"/>
                <w:color w:val="auto"/>
              </w:rPr>
              <w:t>Discount rate</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 to 31.06%</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9.93 %</w:t>
            </w:r>
          </w:p>
        </w:tc>
      </w:tr>
      <w:tr>
        <w:trPr>
          <w:trHeight w:val="219"/>
        </w:trPr>
        <w:tc>
          <w:tcPr>
            <w:tcW w:w="1880" w:type="dxa"/>
            <w:vAlign w:val="bottom"/>
          </w:tcPr>
          <w:p>
            <w:pPr>
              <w:spacing w:after="0"/>
              <w:rPr>
                <w:sz w:val="20"/>
                <w:szCs w:val="20"/>
                <w:color w:val="auto"/>
              </w:rPr>
            </w:pPr>
            <w:r>
              <w:rPr>
                <w:rFonts w:ascii="Times New Roman" w:cs="Times New Roman" w:eastAsia="Times New Roman" w:hAnsi="Times New Roman"/>
                <w:sz w:val="17"/>
                <w:szCs w:val="17"/>
                <w:color w:val="auto"/>
              </w:rPr>
              <w:t>Cost to service</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 to $817</w:t>
            </w:r>
          </w:p>
        </w:tc>
        <w:tc>
          <w:tcPr>
            <w:tcW w:w="62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80</w:t>
            </w:r>
          </w:p>
        </w:tc>
      </w:tr>
      <w:tr>
        <w:trPr>
          <w:trHeight w:val="219"/>
        </w:trPr>
        <w:tc>
          <w:tcPr>
            <w:tcW w:w="1880" w:type="dxa"/>
            <w:vAlign w:val="bottom"/>
          </w:tcPr>
          <w:p>
            <w:pPr>
              <w:spacing w:after="0"/>
              <w:rPr>
                <w:sz w:val="20"/>
                <w:szCs w:val="20"/>
                <w:color w:val="auto"/>
              </w:rPr>
            </w:pPr>
            <w:r>
              <w:rPr>
                <w:rFonts w:ascii="Times New Roman" w:cs="Times New Roman" w:eastAsia="Times New Roman" w:hAnsi="Times New Roman"/>
                <w:sz w:val="17"/>
                <w:szCs w:val="17"/>
                <w:color w:val="auto"/>
              </w:rPr>
              <w:t>Ancillary income</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 to 30</w:t>
            </w:r>
          </w:p>
        </w:tc>
        <w:tc>
          <w:tcPr>
            <w:tcW w:w="620" w:type="dxa"/>
            <w:vAlign w:val="bottom"/>
          </w:tcPr>
          <w:p>
            <w:pPr>
              <w:spacing w:after="0"/>
              <w:rPr>
                <w:sz w:val="19"/>
                <w:szCs w:val="19"/>
                <w:color w:val="auto"/>
              </w:rPr>
            </w:pP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21</w:t>
            </w:r>
          </w:p>
        </w:tc>
      </w:tr>
      <w:tr>
        <w:trPr>
          <w:trHeight w:val="219"/>
        </w:trPr>
        <w:tc>
          <w:tcPr>
            <w:tcW w:w="1880" w:type="dxa"/>
            <w:vAlign w:val="bottom"/>
          </w:tcPr>
          <w:p>
            <w:pPr>
              <w:spacing w:after="0"/>
              <w:rPr>
                <w:sz w:val="20"/>
                <w:szCs w:val="20"/>
                <w:color w:val="auto"/>
              </w:rPr>
            </w:pPr>
            <w:r>
              <w:rPr>
                <w:rFonts w:ascii="Times New Roman" w:cs="Times New Roman" w:eastAsia="Times New Roman" w:hAnsi="Times New Roman"/>
                <w:sz w:val="17"/>
                <w:szCs w:val="17"/>
                <w:color w:val="auto"/>
              </w:rPr>
              <w:t>Float rate</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3.68 %</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3.68 %</w:t>
            </w:r>
          </w:p>
        </w:tc>
      </w:tr>
      <w:tr>
        <w:trPr>
          <w:trHeight w:val="223"/>
        </w:trPr>
        <w:tc>
          <w:tcPr>
            <w:tcW w:w="1880" w:type="dxa"/>
            <w:vAlign w:val="bottom"/>
          </w:tcPr>
          <w:p>
            <w:pPr>
              <w:spacing w:after="0"/>
              <w:rPr>
                <w:sz w:val="20"/>
                <w:szCs w:val="20"/>
                <w:color w:val="auto"/>
              </w:rPr>
            </w:pPr>
            <w:r>
              <w:rPr>
                <w:rFonts w:ascii="Times New Roman" w:cs="Times New Roman" w:eastAsia="Times New Roman" w:hAnsi="Times New Roman"/>
                <w:sz w:val="17"/>
                <w:szCs w:val="17"/>
                <w:color w:val="auto"/>
              </w:rPr>
              <w:t>Prepayment rate</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 to 32.90%</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9.80 %</w:t>
            </w:r>
          </w:p>
        </w:tc>
      </w:tr>
    </w:tbl>
    <w:p>
      <w:pPr>
        <w:spacing w:after="0" w:line="1" w:lineRule="exact"/>
        <w:rPr>
          <w:sz w:val="20"/>
          <w:szCs w:val="20"/>
          <w:color w:val="auto"/>
        </w:rPr>
      </w:pPr>
    </w:p>
    <w:p>
      <w:pPr>
        <w:sectPr>
          <w:pgSz w:w="11900" w:h="16838" w:orient="portrait"/>
          <w:cols w:equalWidth="0" w:num="3">
            <w:col w:w="3460" w:space="320"/>
            <w:col w:w="1880" w:space="140"/>
            <w:col w:w="5440"/>
          </w:cols>
          <w:pgMar w:left="320" w:top="119" w:right="339" w:bottom="1440" w:gutter="0" w:footer="0" w:header="0"/>
          <w:type w:val="continuous"/>
        </w:sectPr>
      </w:pPr>
    </w:p>
    <w:tbl>
      <w:tblPr>
        <w:tblLayout w:type="fixed"/>
        <w:tblInd w:w="20" w:type="dxa"/>
        <w:tblCellMar>
          <w:top w:w="0" w:type="dxa"/>
          <w:left w:w="0" w:type="dxa"/>
          <w:bottom w:w="0" w:type="dxa"/>
          <w:right w:w="0" w:type="dxa"/>
        </w:tblCellMar>
      </w:tblPr>
      <w:tr>
        <w:trPr>
          <w:trHeight w:val="215"/>
        </w:trPr>
        <w:tc>
          <w:tcPr>
            <w:tcW w:w="2020" w:type="dxa"/>
            <w:vAlign w:val="bottom"/>
          </w:tcPr>
          <w:p>
            <w:pPr>
              <w:spacing w:after="0"/>
              <w:rPr>
                <w:sz w:val="20"/>
                <w:szCs w:val="20"/>
                <w:color w:val="auto"/>
              </w:rPr>
            </w:pPr>
            <w:r>
              <w:rPr>
                <w:rFonts w:ascii="Times New Roman" w:cs="Times New Roman" w:eastAsia="Times New Roman" w:hAnsi="Times New Roman"/>
                <w:sz w:val="17"/>
                <w:szCs w:val="17"/>
                <w:color w:val="auto"/>
              </w:rPr>
              <w:t>December 31, 2024</w:t>
            </w: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71"/>
        </w:trPr>
        <w:tc>
          <w:tcPr>
            <w:tcW w:w="2020" w:type="dxa"/>
            <w:vAlign w:val="bottom"/>
          </w:tcPr>
          <w:p>
            <w:pPr>
              <w:ind w:left="160"/>
              <w:spacing w:after="0" w:line="172" w:lineRule="exact"/>
              <w:rPr>
                <w:sz w:val="20"/>
                <w:szCs w:val="20"/>
                <w:color w:val="auto"/>
              </w:rPr>
            </w:pPr>
            <w:r>
              <w:rPr>
                <w:rFonts w:ascii="Times New Roman" w:cs="Times New Roman" w:eastAsia="Times New Roman" w:hAnsi="Times New Roman"/>
                <w:sz w:val="17"/>
                <w:szCs w:val="17"/>
                <w:color w:val="auto"/>
              </w:rPr>
              <w:t>Capitalized mortgage loan</w:t>
            </w: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2"/>
        </w:trPr>
        <w:tc>
          <w:tcPr>
            <w:tcW w:w="20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servicing rights</w:t>
            </w:r>
          </w:p>
        </w:tc>
        <w:tc>
          <w:tcPr>
            <w:tcW w:w="54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46,796</w:t>
            </w:r>
          </w:p>
        </w:tc>
      </w:tr>
    </w:tbl>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hanging="154"/>
        <w:spacing w:after="0" w:line="239" w:lineRule="auto"/>
        <w:rPr>
          <w:sz w:val="20"/>
          <w:szCs w:val="20"/>
          <w:color w:val="auto"/>
        </w:rPr>
      </w:pPr>
      <w:r>
        <w:rPr>
          <w:rFonts w:ascii="Times New Roman" w:cs="Times New Roman" w:eastAsia="Times New Roman" w:hAnsi="Times New Roman"/>
          <w:sz w:val="17"/>
          <w:szCs w:val="17"/>
          <w:color w:val="auto"/>
        </w:rPr>
        <w:t>Present value of net servicing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-244475</wp:posOffset>
            </wp:positionV>
            <wp:extent cx="7138670" cy="2540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147955</wp:posOffset>
            </wp:positionV>
            <wp:extent cx="7138670" cy="1390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426085</wp:posOffset>
            </wp:positionV>
            <wp:extent cx="7138670" cy="1390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1840" w:type="dxa"/>
            <w:vAlign w:val="bottom"/>
          </w:tcPr>
          <w:p>
            <w:pPr>
              <w:spacing w:after="0"/>
              <w:rPr>
                <w:sz w:val="20"/>
                <w:szCs w:val="20"/>
                <w:color w:val="auto"/>
              </w:rPr>
            </w:pPr>
            <w:r>
              <w:rPr>
                <w:rFonts w:ascii="Times New Roman" w:cs="Times New Roman" w:eastAsia="Times New Roman" w:hAnsi="Times New Roman"/>
                <w:sz w:val="17"/>
                <w:szCs w:val="17"/>
                <w:color w:val="auto"/>
              </w:rPr>
              <w:t>Discount rate</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to</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19.15%</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10.37 %</w:t>
            </w:r>
          </w:p>
        </w:tc>
      </w:tr>
      <w:tr>
        <w:trPr>
          <w:trHeight w:val="219"/>
        </w:trPr>
        <w:tc>
          <w:tcPr>
            <w:tcW w:w="1840" w:type="dxa"/>
            <w:vAlign w:val="bottom"/>
          </w:tcPr>
          <w:p>
            <w:pPr>
              <w:spacing w:after="0"/>
              <w:rPr>
                <w:sz w:val="20"/>
                <w:szCs w:val="20"/>
                <w:color w:val="auto"/>
              </w:rPr>
            </w:pPr>
            <w:r>
              <w:rPr>
                <w:rFonts w:ascii="Times New Roman" w:cs="Times New Roman" w:eastAsia="Times New Roman" w:hAnsi="Times New Roman"/>
                <w:sz w:val="17"/>
                <w:szCs w:val="17"/>
                <w:color w:val="auto"/>
              </w:rPr>
              <w:t>Cost to service</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$70 to $817</w:t>
            </w:r>
          </w:p>
        </w:tc>
        <w:tc>
          <w:tcPr>
            <w:tcW w:w="58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79</w:t>
            </w:r>
          </w:p>
        </w:tc>
      </w:tr>
      <w:tr>
        <w:trPr>
          <w:trHeight w:val="219"/>
        </w:trPr>
        <w:tc>
          <w:tcPr>
            <w:tcW w:w="1840" w:type="dxa"/>
            <w:vAlign w:val="bottom"/>
          </w:tcPr>
          <w:p>
            <w:pPr>
              <w:spacing w:after="0"/>
              <w:rPr>
                <w:sz w:val="20"/>
                <w:szCs w:val="20"/>
                <w:color w:val="auto"/>
              </w:rPr>
            </w:pPr>
            <w:r>
              <w:rPr>
                <w:rFonts w:ascii="Times New Roman" w:cs="Times New Roman" w:eastAsia="Times New Roman" w:hAnsi="Times New Roman"/>
                <w:sz w:val="17"/>
                <w:szCs w:val="17"/>
                <w:color w:val="auto"/>
              </w:rPr>
              <w:t>Ancillary income</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 to 30</w:t>
            </w:r>
          </w:p>
        </w:tc>
        <w:tc>
          <w:tcPr>
            <w:tcW w:w="580" w:type="dxa"/>
            <w:vAlign w:val="bottom"/>
          </w:tcPr>
          <w:p>
            <w:pPr>
              <w:spacing w:after="0"/>
              <w:rPr>
                <w:sz w:val="19"/>
                <w:szCs w:val="19"/>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20</w:t>
            </w:r>
          </w:p>
        </w:tc>
      </w:tr>
      <w:tr>
        <w:trPr>
          <w:trHeight w:val="219"/>
        </w:trPr>
        <w:tc>
          <w:tcPr>
            <w:tcW w:w="1840" w:type="dxa"/>
            <w:vAlign w:val="bottom"/>
          </w:tcPr>
          <w:p>
            <w:pPr>
              <w:spacing w:after="0"/>
              <w:rPr>
                <w:sz w:val="20"/>
                <w:szCs w:val="20"/>
                <w:color w:val="auto"/>
              </w:rPr>
            </w:pPr>
            <w:r>
              <w:rPr>
                <w:rFonts w:ascii="Times New Roman" w:cs="Times New Roman" w:eastAsia="Times New Roman" w:hAnsi="Times New Roman"/>
                <w:sz w:val="17"/>
                <w:szCs w:val="17"/>
                <w:color w:val="auto"/>
              </w:rPr>
              <w:t>Float rate</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4.33 %</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4.33 %</w:t>
            </w:r>
          </w:p>
        </w:tc>
      </w:tr>
      <w:tr>
        <w:trPr>
          <w:trHeight w:val="223"/>
        </w:trPr>
        <w:tc>
          <w:tcPr>
            <w:tcW w:w="1840" w:type="dxa"/>
            <w:vAlign w:val="bottom"/>
          </w:tcPr>
          <w:p>
            <w:pPr>
              <w:spacing w:after="0"/>
              <w:rPr>
                <w:sz w:val="20"/>
                <w:szCs w:val="20"/>
                <w:color w:val="auto"/>
              </w:rPr>
            </w:pPr>
            <w:r>
              <w:rPr>
                <w:rFonts w:ascii="Times New Roman" w:cs="Times New Roman" w:eastAsia="Times New Roman" w:hAnsi="Times New Roman"/>
                <w:sz w:val="17"/>
                <w:szCs w:val="17"/>
                <w:color w:val="auto"/>
              </w:rPr>
              <w:t>Prepayment rate</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 to</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28.28%</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w:t>
            </w:r>
          </w:p>
        </w:tc>
      </w:tr>
    </w:tbl>
    <w:p>
      <w:pPr>
        <w:spacing w:after="0" w:line="200" w:lineRule="exact"/>
        <w:rPr>
          <w:sz w:val="20"/>
          <w:szCs w:val="20"/>
          <w:color w:val="auto"/>
        </w:rPr>
      </w:pPr>
    </w:p>
    <w:p>
      <w:pPr>
        <w:sectPr>
          <w:pgSz w:w="11900" w:h="16838" w:orient="portrait"/>
          <w:cols w:equalWidth="0" w:num="3">
            <w:col w:w="3460" w:space="320"/>
            <w:col w:w="1880" w:space="140"/>
            <w:col w:w="5440"/>
          </w:cols>
          <w:pgMar w:left="320" w:top="119" w:right="33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(Unaudited)</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Quantitative information about Level 3 fair value measurements measured on a non-recurring basis follows:</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Asset</w:t>
            </w: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6"/>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Fair</w:t>
            </w:r>
          </w:p>
        </w:tc>
        <w:tc>
          <w:tcPr>
            <w:tcW w:w="220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Valuation</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Unobservable</w:t>
            </w:r>
          </w:p>
        </w:tc>
      </w:tr>
      <w:tr>
        <w:trPr>
          <w:trHeight w:val="223"/>
        </w:trPr>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3"/>
              </w:rPr>
              <w:t>Value</w:t>
            </w:r>
          </w:p>
        </w:tc>
        <w:tc>
          <w:tcPr>
            <w:tcW w:w="220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Technique</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Inputs</w:t>
            </w:r>
          </w:p>
        </w:tc>
      </w:tr>
      <w:tr>
        <w:trPr>
          <w:trHeight w:val="25"/>
        </w:trPr>
        <w:tc>
          <w:tcPr>
            <w:tcW w:w="2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25"/>
        </w:trPr>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 thousands)</w:t>
            </w: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45"/>
        </w:trPr>
        <w:tc>
          <w:tcPr>
            <w:tcW w:w="2260" w:type="dxa"/>
            <w:vAlign w:val="bottom"/>
            <w:gridSpan w:val="2"/>
          </w:tcPr>
          <w:p>
            <w:pPr>
              <w:jc w:val="center"/>
              <w:ind w:right="880"/>
              <w:spacing w:after="0"/>
              <w:rPr>
                <w:sz w:val="20"/>
                <w:szCs w:val="20"/>
                <w:color w:val="auto"/>
              </w:rPr>
            </w:pPr>
            <w:r>
              <w:rPr>
                <w:rFonts w:ascii="Times New Roman" w:cs="Times New Roman" w:eastAsia="Times New Roman" w:hAnsi="Times New Roman"/>
                <w:sz w:val="17"/>
                <w:szCs w:val="17"/>
                <w:color w:val="auto"/>
              </w:rPr>
              <w:t>September 30, 2025</w:t>
            </w: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45"/>
        </w:trPr>
        <w:tc>
          <w:tcPr>
            <w:tcW w:w="22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Collateral dependent loans</w:t>
            </w: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28"/>
        </w:trPr>
        <w:tc>
          <w:tcPr>
            <w:tcW w:w="2260" w:type="dxa"/>
            <w:vAlign w:val="bottom"/>
            <w:gridSpan w:val="2"/>
          </w:tcPr>
          <w:p>
            <w:pPr>
              <w:jc w:val="center"/>
              <w:ind w:right="900"/>
              <w:spacing w:after="0"/>
              <w:rPr>
                <w:sz w:val="20"/>
                <w:szCs w:val="20"/>
                <w:color w:val="auto"/>
              </w:rPr>
            </w:pPr>
            <w:r>
              <w:rPr>
                <w:rFonts w:ascii="Times New Roman" w:cs="Times New Roman" w:eastAsia="Times New Roman" w:hAnsi="Times New Roman"/>
                <w:sz w:val="17"/>
                <w:szCs w:val="17"/>
                <w:color w:val="auto"/>
                <w:w w:val="99"/>
              </w:rPr>
              <w:t>Commercial</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Discounting financial</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Discount rates used</w:t>
            </w:r>
          </w:p>
        </w:tc>
      </w:tr>
      <w:tr>
        <w:trPr>
          <w:trHeight w:val="206"/>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statement and machinery</w:t>
            </w:r>
          </w:p>
        </w:tc>
        <w:tc>
          <w:tcPr>
            <w:tcW w:w="2140" w:type="dxa"/>
            <w:vAlign w:val="bottom"/>
          </w:tcPr>
          <w:p>
            <w:pPr>
              <w:spacing w:after="0"/>
              <w:rPr>
                <w:sz w:val="17"/>
                <w:szCs w:val="17"/>
                <w:color w:val="auto"/>
              </w:rPr>
            </w:pPr>
          </w:p>
        </w:tc>
      </w:tr>
      <w:tr>
        <w:trPr>
          <w:trHeight w:val="206"/>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and equipment appraised</w:t>
            </w:r>
          </w:p>
        </w:tc>
        <w:tc>
          <w:tcPr>
            <w:tcW w:w="2140" w:type="dxa"/>
            <w:vAlign w:val="bottom"/>
          </w:tcPr>
          <w:p>
            <w:pPr>
              <w:spacing w:after="0"/>
              <w:rPr>
                <w:sz w:val="17"/>
                <w:szCs w:val="17"/>
                <w:color w:val="auto"/>
              </w:rPr>
            </w:pPr>
          </w:p>
        </w:tc>
      </w:tr>
      <w:tr>
        <w:trPr>
          <w:trHeight w:val="236"/>
        </w:trPr>
        <w:tc>
          <w:tcPr>
            <w:tcW w:w="2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7,272</w:t>
            </w:r>
          </w:p>
        </w:tc>
        <w:tc>
          <w:tcPr>
            <w:tcW w:w="80" w:type="dxa"/>
            <w:vAlign w:val="bottom"/>
          </w:tcPr>
          <w:p>
            <w:pPr>
              <w:spacing w:after="0"/>
              <w:rPr>
                <w:sz w:val="20"/>
                <w:szCs w:val="20"/>
                <w:color w:val="auto"/>
              </w:rPr>
            </w:pP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values</w:t>
            </w:r>
          </w:p>
        </w:tc>
        <w:tc>
          <w:tcPr>
            <w:tcW w:w="2140" w:type="dxa"/>
            <w:vAlign w:val="bottom"/>
          </w:tcPr>
          <w:p>
            <w:pPr>
              <w:spacing w:after="0"/>
              <w:rPr>
                <w:sz w:val="20"/>
                <w:szCs w:val="20"/>
                <w:color w:val="auto"/>
              </w:rPr>
            </w:pPr>
          </w:p>
        </w:tc>
      </w:tr>
      <w:tr>
        <w:trPr>
          <w:trHeight w:val="228"/>
        </w:trPr>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Sales comparison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 for differences</w:t>
            </w:r>
          </w:p>
        </w:tc>
      </w:tr>
      <w:tr>
        <w:trPr>
          <w:trHeight w:val="236"/>
        </w:trPr>
        <w:tc>
          <w:tcPr>
            <w:tcW w:w="2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12,006</w:t>
            </w: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comparable sales</w:t>
            </w:r>
          </w:p>
        </w:tc>
      </w:tr>
      <w:tr>
        <w:trPr>
          <w:trHeight w:val="215"/>
        </w:trPr>
        <w:tc>
          <w:tcPr>
            <w:tcW w:w="2260" w:type="dxa"/>
            <w:vAlign w:val="bottom"/>
            <w:gridSpan w:val="2"/>
          </w:tcPr>
          <w:p>
            <w:pPr>
              <w:jc w:val="right"/>
              <w:ind w:right="1000"/>
              <w:spacing w:after="0"/>
              <w:rPr>
                <w:sz w:val="20"/>
                <w:szCs w:val="20"/>
                <w:color w:val="auto"/>
              </w:rPr>
            </w:pPr>
            <w:r>
              <w:rPr>
                <w:rFonts w:ascii="Times New Roman" w:cs="Times New Roman" w:eastAsia="Times New Roman" w:hAnsi="Times New Roman"/>
                <w:sz w:val="17"/>
                <w:szCs w:val="17"/>
                <w:color w:val="auto"/>
              </w:rPr>
              <w:t>Mortgage and</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Sales comparison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 for differences</w:t>
            </w:r>
          </w:p>
        </w:tc>
      </w:tr>
      <w:tr>
        <w:trPr>
          <w:trHeight w:val="249"/>
        </w:trPr>
        <w:tc>
          <w:tcPr>
            <w:tcW w:w="2260" w:type="dxa"/>
            <w:vAlign w:val="bottom"/>
            <w:gridSpan w:val="2"/>
          </w:tcPr>
          <w:p>
            <w:pPr>
              <w:jc w:val="right"/>
              <w:ind w:right="820"/>
              <w:spacing w:after="0"/>
              <w:rPr>
                <w:sz w:val="20"/>
                <w:szCs w:val="20"/>
                <w:color w:val="auto"/>
              </w:rPr>
            </w:pPr>
            <w:r>
              <w:rPr>
                <w:rFonts w:ascii="Times New Roman" w:cs="Times New Roman" w:eastAsia="Times New Roman" w:hAnsi="Times New Roman"/>
                <w:sz w:val="17"/>
                <w:szCs w:val="17"/>
                <w:color w:val="auto"/>
              </w:rPr>
              <w:t>Installment(1)</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1,306</w:t>
            </w: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comparable sales</w:t>
            </w:r>
          </w:p>
        </w:tc>
      </w:tr>
      <w:tr>
        <w:trPr>
          <w:trHeight w:val="503"/>
        </w:trPr>
        <w:tc>
          <w:tcPr>
            <w:tcW w:w="2260" w:type="dxa"/>
            <w:vAlign w:val="bottom"/>
            <w:gridSpan w:val="2"/>
          </w:tcPr>
          <w:p>
            <w:pPr>
              <w:jc w:val="center"/>
              <w:ind w:right="900"/>
              <w:spacing w:after="0"/>
              <w:rPr>
                <w:sz w:val="20"/>
                <w:szCs w:val="20"/>
                <w:color w:val="auto"/>
              </w:rPr>
            </w:pPr>
            <w:r>
              <w:rPr>
                <w:rFonts w:ascii="Times New Roman" w:cs="Times New Roman" w:eastAsia="Times New Roman" w:hAnsi="Times New Roman"/>
                <w:sz w:val="17"/>
                <w:szCs w:val="17"/>
                <w:color w:val="auto"/>
              </w:rPr>
              <w:t>December 31, 2024</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45"/>
        </w:trPr>
        <w:tc>
          <w:tcPr>
            <w:tcW w:w="22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Collateral dependent loans</w:t>
            </w: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28"/>
        </w:trPr>
        <w:tc>
          <w:tcPr>
            <w:tcW w:w="2260" w:type="dxa"/>
            <w:vAlign w:val="bottom"/>
            <w:gridSpan w:val="2"/>
          </w:tcPr>
          <w:p>
            <w:pPr>
              <w:jc w:val="center"/>
              <w:ind w:right="900"/>
              <w:spacing w:after="0"/>
              <w:rPr>
                <w:sz w:val="20"/>
                <w:szCs w:val="20"/>
                <w:color w:val="auto"/>
              </w:rPr>
            </w:pPr>
            <w:r>
              <w:rPr>
                <w:rFonts w:ascii="Times New Roman" w:cs="Times New Roman" w:eastAsia="Times New Roman" w:hAnsi="Times New Roman"/>
                <w:sz w:val="17"/>
                <w:szCs w:val="17"/>
                <w:color w:val="auto"/>
                <w:w w:val="99"/>
              </w:rPr>
              <w:t>Commercial</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Discounting financial</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Discount rates used</w:t>
            </w:r>
          </w:p>
        </w:tc>
      </w:tr>
      <w:tr>
        <w:trPr>
          <w:trHeight w:val="206"/>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statement and machinery</w:t>
            </w:r>
          </w:p>
        </w:tc>
        <w:tc>
          <w:tcPr>
            <w:tcW w:w="2140" w:type="dxa"/>
            <w:vAlign w:val="bottom"/>
          </w:tcPr>
          <w:p>
            <w:pPr>
              <w:spacing w:after="0"/>
              <w:rPr>
                <w:sz w:val="17"/>
                <w:szCs w:val="17"/>
                <w:color w:val="auto"/>
              </w:rPr>
            </w:pPr>
          </w:p>
        </w:tc>
      </w:tr>
      <w:tr>
        <w:trPr>
          <w:trHeight w:val="206"/>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and equipment appraised</w:t>
            </w:r>
          </w:p>
        </w:tc>
        <w:tc>
          <w:tcPr>
            <w:tcW w:w="2140" w:type="dxa"/>
            <w:vAlign w:val="bottom"/>
          </w:tcPr>
          <w:p>
            <w:pPr>
              <w:spacing w:after="0"/>
              <w:rPr>
                <w:sz w:val="17"/>
                <w:szCs w:val="17"/>
                <w:color w:val="auto"/>
              </w:rPr>
            </w:pPr>
          </w:p>
        </w:tc>
      </w:tr>
      <w:tr>
        <w:trPr>
          <w:trHeight w:val="236"/>
        </w:trPr>
        <w:tc>
          <w:tcPr>
            <w:tcW w:w="2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3,478</w:t>
            </w:r>
          </w:p>
        </w:tc>
        <w:tc>
          <w:tcPr>
            <w:tcW w:w="80" w:type="dxa"/>
            <w:vAlign w:val="bottom"/>
          </w:tcPr>
          <w:p>
            <w:pPr>
              <w:spacing w:after="0"/>
              <w:rPr>
                <w:sz w:val="20"/>
                <w:szCs w:val="20"/>
                <w:color w:val="auto"/>
              </w:rPr>
            </w:pP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values</w:t>
            </w:r>
          </w:p>
        </w:tc>
        <w:tc>
          <w:tcPr>
            <w:tcW w:w="2140" w:type="dxa"/>
            <w:vAlign w:val="bottom"/>
          </w:tcPr>
          <w:p>
            <w:pPr>
              <w:spacing w:after="0"/>
              <w:rPr>
                <w:sz w:val="20"/>
                <w:szCs w:val="20"/>
                <w:color w:val="auto"/>
              </w:rPr>
            </w:pPr>
          </w:p>
        </w:tc>
      </w:tr>
      <w:tr>
        <w:trPr>
          <w:trHeight w:val="228"/>
        </w:trPr>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Sales comparison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 for differences</w:t>
            </w:r>
          </w:p>
        </w:tc>
      </w:tr>
      <w:tr>
        <w:trPr>
          <w:trHeight w:val="236"/>
        </w:trPr>
        <w:tc>
          <w:tcPr>
            <w:tcW w:w="2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859</w:t>
            </w: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comparable sales</w:t>
            </w:r>
          </w:p>
        </w:tc>
      </w:tr>
      <w:tr>
        <w:trPr>
          <w:trHeight w:val="215"/>
        </w:trPr>
        <w:tc>
          <w:tcPr>
            <w:tcW w:w="2260" w:type="dxa"/>
            <w:vAlign w:val="bottom"/>
            <w:gridSpan w:val="2"/>
          </w:tcPr>
          <w:p>
            <w:pPr>
              <w:jc w:val="right"/>
              <w:ind w:right="1000"/>
              <w:spacing w:after="0"/>
              <w:rPr>
                <w:sz w:val="20"/>
                <w:szCs w:val="20"/>
                <w:color w:val="auto"/>
              </w:rPr>
            </w:pPr>
            <w:r>
              <w:rPr>
                <w:rFonts w:ascii="Times New Roman" w:cs="Times New Roman" w:eastAsia="Times New Roman" w:hAnsi="Times New Roman"/>
                <w:sz w:val="17"/>
                <w:szCs w:val="17"/>
                <w:color w:val="auto"/>
              </w:rPr>
              <w:t>Mortgage and</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Sales comparison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 for differences</w:t>
            </w:r>
          </w:p>
        </w:tc>
      </w:tr>
      <w:tr>
        <w:trPr>
          <w:trHeight w:val="249"/>
        </w:trPr>
        <w:tc>
          <w:tcPr>
            <w:tcW w:w="2260" w:type="dxa"/>
            <w:vAlign w:val="bottom"/>
            <w:gridSpan w:val="2"/>
          </w:tcPr>
          <w:p>
            <w:pPr>
              <w:jc w:val="right"/>
              <w:ind w:right="820"/>
              <w:spacing w:after="0"/>
              <w:rPr>
                <w:sz w:val="20"/>
                <w:szCs w:val="20"/>
                <w:color w:val="auto"/>
              </w:rPr>
            </w:pPr>
            <w:r>
              <w:rPr>
                <w:rFonts w:ascii="Times New Roman" w:cs="Times New Roman" w:eastAsia="Times New Roman" w:hAnsi="Times New Roman"/>
                <w:sz w:val="17"/>
                <w:szCs w:val="17"/>
                <w:color w:val="auto"/>
              </w:rPr>
              <w:t>Installment(1)</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1,176</w:t>
            </w: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comparable sales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-2758440</wp:posOffset>
            </wp:positionV>
            <wp:extent cx="7138670" cy="5568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8670" cy="5568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-1906905</wp:posOffset>
            </wp:positionV>
            <wp:extent cx="7138670" cy="294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8670" cy="2946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-1448435</wp:posOffset>
            </wp:positionV>
            <wp:extent cx="7138670" cy="1555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8670" cy="155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-1137285</wp:posOffset>
            </wp:positionV>
            <wp:extent cx="7138670" cy="5568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8670" cy="5568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-286385</wp:posOffset>
            </wp:positionV>
            <wp:extent cx="7138670" cy="294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8670" cy="29464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187960</wp:posOffset>
            </wp:positionV>
            <wp:extent cx="6777990" cy="425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77990" cy="425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Weighted</w:t>
      </w:r>
    </w:p>
    <w:p>
      <w:pPr>
        <w:spacing w:after="0" w:line="28" w:lineRule="exact"/>
        <w:rPr>
          <w:sz w:val="20"/>
          <w:szCs w:val="20"/>
          <w:color w:val="auto"/>
        </w:rPr>
      </w:pPr>
    </w:p>
    <w:p>
      <w:pPr>
        <w:ind w:left="20"/>
        <w:spacing w:after="0"/>
        <w:tabs>
          <w:tab w:leader="none" w:pos="1560" w:val="left"/>
        </w:tabs>
        <w:rPr>
          <w:sz w:val="20"/>
          <w:szCs w:val="20"/>
          <w:color w:val="auto"/>
        </w:rPr>
      </w:pPr>
      <w:r>
        <w:rPr>
          <w:rFonts w:ascii="Times New Roman" w:cs="Times New Roman" w:eastAsia="Times New Roman" w:hAnsi="Times New Roman"/>
          <w:sz w:val="17"/>
          <w:szCs w:val="17"/>
          <w:color w:val="auto"/>
        </w:rPr>
        <w:t>Range</w:t>
      </w:r>
      <w:r>
        <w:rPr>
          <w:sz w:val="20"/>
          <w:szCs w:val="20"/>
          <w:color w:val="auto"/>
        </w:rPr>
        <w:tab/>
      </w:r>
      <w:r>
        <w:rPr>
          <w:rFonts w:ascii="Times New Roman" w:cs="Times New Roman" w:eastAsia="Times New Roman" w:hAnsi="Times New Roman"/>
          <w:sz w:val="17"/>
          <w:szCs w:val="17"/>
          <w:color w:val="auto"/>
        </w:rPr>
        <w:t>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22860</wp:posOffset>
            </wp:positionV>
            <wp:extent cx="200596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40.0% to 70.0%</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48.0 %</w:t>
            </w:r>
          </w:p>
        </w:tc>
      </w:tr>
      <w:tr>
        <w:trPr>
          <w:trHeight w:val="464"/>
        </w:trPr>
        <w:tc>
          <w:tcPr>
            <w:tcW w:w="15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(18.0) to 42.0</w:t>
            </w: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(1.0)</w:t>
            </w:r>
          </w:p>
        </w:tc>
      </w:tr>
      <w:tr>
        <w:trPr>
          <w:trHeight w:val="477"/>
        </w:trPr>
        <w:tc>
          <w:tcPr>
            <w:tcW w:w="15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(28.0) to 16.9</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45.0% to 55.0%</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w w:val="95"/>
              </w:rPr>
              <w:t>50.5 %</w:t>
            </w:r>
          </w:p>
        </w:tc>
      </w:tr>
      <w:tr>
        <w:trPr>
          <w:trHeight w:val="464"/>
        </w:trPr>
        <w:tc>
          <w:tcPr>
            <w:tcW w:w="15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(20.0) to 35.0</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(1.4)</w:t>
            </w:r>
          </w:p>
        </w:tc>
      </w:tr>
      <w:tr>
        <w:trPr>
          <w:trHeight w:val="464"/>
        </w:trPr>
        <w:tc>
          <w:tcPr>
            <w:tcW w:w="15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(22.0) to 21.7</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(0.4)</w:t>
            </w:r>
          </w:p>
        </w:tc>
      </w:tr>
    </w:tbl>
    <w:p>
      <w:pPr>
        <w:spacing w:after="0" w:line="200" w:lineRule="exact"/>
        <w:rPr>
          <w:sz w:val="20"/>
          <w:szCs w:val="20"/>
          <w:color w:val="auto"/>
        </w:rPr>
      </w:pPr>
    </w:p>
    <w:p>
      <w:pPr>
        <w:sectPr>
          <w:pgSz w:w="11900" w:h="16838" w:orient="portrait"/>
          <w:cols w:equalWidth="0" w:num="2">
            <w:col w:w="8000" w:space="720"/>
            <w:col w:w="2520"/>
          </w:cols>
          <w:pgMar w:left="320" w:top="119" w:right="339" w:bottom="1440" w:gutter="0" w:footer="0" w:header="0"/>
          <w:type w:val="continuous"/>
        </w:sectPr>
      </w:pPr>
    </w:p>
    <w:p>
      <w:pPr>
        <w:spacing w:after="0" w:line="105" w:lineRule="exact"/>
        <w:rPr>
          <w:sz w:val="20"/>
          <w:szCs w:val="20"/>
          <w:color w:val="auto"/>
        </w:rPr>
      </w:pPr>
    </w:p>
    <w:p>
      <w:pPr>
        <w:jc w:val="both"/>
        <w:ind w:left="580" w:right="20" w:hanging="560"/>
        <w:spacing w:after="0" w:line="270" w:lineRule="auto"/>
        <w:tabs>
          <w:tab w:leader="none" w:pos="5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valuation techniques and unobservable inputs discussed above, at September 30, 2025 and December 31, 2024 certain collateral dependent installment loans totaling approximately $0.40 million and $0.29 million, respectively, are secured by collateral other than real estate. For the majority of these loans, we apply internal discount rates to industry valuation guides.</w:t>
      </w:r>
    </w:p>
    <w:p>
      <w:pPr>
        <w:spacing w:after="0" w:line="24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following table reflects the difference between the aggregate fair value and the aggregate remaining contractual principal balance outstanding for loans held for sale for which the fair value option has been elected for the periods presented.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Aggregate</w:t>
            </w: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Contractual</w:t>
            </w:r>
          </w:p>
        </w:tc>
      </w:tr>
      <w:tr>
        <w:trPr>
          <w:trHeight w:val="232"/>
        </w:trPr>
        <w:tc>
          <w:tcPr>
            <w:tcW w:w="36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Fair Value</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Difference</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Principal</w:t>
            </w:r>
          </w:p>
        </w:tc>
      </w:tr>
      <w:tr>
        <w:trPr>
          <w:trHeight w:val="225"/>
        </w:trPr>
        <w:tc>
          <w:tcPr>
            <w:tcW w:w="36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(In thousands)</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1"/>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 held for sale</w:t>
            </w:r>
          </w:p>
        </w:tc>
        <w:tc>
          <w:tcPr>
            <w:tcW w:w="3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1"/>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September 30, 2025</w:t>
            </w:r>
          </w:p>
        </w:tc>
        <w:tc>
          <w:tcPr>
            <w:tcW w:w="3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11,654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116</w:t>
            </w:r>
          </w:p>
        </w:tc>
        <w:tc>
          <w:tcPr>
            <w:tcW w:w="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11,538</w:t>
            </w:r>
          </w:p>
        </w:tc>
      </w:tr>
      <w:tr>
        <w:trPr>
          <w:trHeight w:val="232"/>
        </w:trPr>
        <w:tc>
          <w:tcPr>
            <w:tcW w:w="3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December 31, 2024</w:t>
            </w:r>
          </w:p>
        </w:tc>
        <w:tc>
          <w:tcPr>
            <w:tcW w:w="3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7,643</w:t>
            </w:r>
          </w:p>
        </w:tc>
        <w:tc>
          <w:tcPr>
            <w:tcW w:w="240" w:type="dxa"/>
            <w:vAlign w:val="bottom"/>
          </w:tcPr>
          <w:p>
            <w:pPr>
              <w:spacing w:after="0"/>
              <w:rPr>
                <w:sz w:val="20"/>
                <w:szCs w:val="20"/>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78</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7,565</w:t>
            </w:r>
          </w:p>
        </w:tc>
      </w:tr>
      <w:tr>
        <w:trPr>
          <w:trHeight w:val="877"/>
        </w:trPr>
        <w:tc>
          <w:tcPr>
            <w:tcW w:w="3620" w:type="dxa"/>
            <w:vAlign w:val="bottom"/>
          </w:tcPr>
          <w:p>
            <w:pPr>
              <w:spacing w:after="0"/>
              <w:rPr>
                <w:sz w:val="24"/>
                <w:szCs w:val="24"/>
                <w:color w:val="auto"/>
              </w:rPr>
            </w:pPr>
          </w:p>
        </w:tc>
        <w:tc>
          <w:tcPr>
            <w:tcW w:w="3000" w:type="dxa"/>
            <w:vAlign w:val="bottom"/>
          </w:tcPr>
          <w:p>
            <w:pPr>
              <w:jc w:val="right"/>
              <w:ind w:right="674"/>
              <w:spacing w:after="0"/>
              <w:rPr>
                <w:sz w:val="20"/>
                <w:szCs w:val="20"/>
                <w:color w:val="auto"/>
              </w:rPr>
            </w:pPr>
            <w:r>
              <w:rPr>
                <w:rFonts w:ascii="Times New Roman" w:cs="Times New Roman" w:eastAsia="Times New Roman" w:hAnsi="Times New Roman"/>
                <w:sz w:val="17"/>
                <w:szCs w:val="17"/>
                <w:color w:val="auto"/>
              </w:rPr>
              <w:t>50</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08"/>
        </w:trPr>
        <w:tc>
          <w:tcPr>
            <w:tcW w:w="3620" w:type="dxa"/>
            <w:vAlign w:val="bottom"/>
            <w:tcBorders>
              <w:bottom w:val="single" w:sz="8" w:color="9A9A9A"/>
            </w:tcBorders>
          </w:tcPr>
          <w:p>
            <w:pPr>
              <w:spacing w:after="0"/>
              <w:rPr>
                <w:sz w:val="9"/>
                <w:szCs w:val="9"/>
                <w:color w:val="auto"/>
              </w:rPr>
            </w:pPr>
          </w:p>
        </w:tc>
        <w:tc>
          <w:tcPr>
            <w:tcW w:w="30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ind w:left="380" w:hanging="377"/>
        <w:spacing w:after="0"/>
        <w:tabs>
          <w:tab w:leader="none" w:pos="3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Fair Values of Financial Instruments</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spacing w:after="0" w:line="1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w:t>
      </w:r>
    </w:p>
    <w:p>
      <w:pPr>
        <w:spacing w:after="0" w:line="2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estimated recorded book balances and fair values follow:</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color w:val="auto"/>
                <w:w w:val="99"/>
              </w:rPr>
              <w:t>Fair Value Using</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74"/>
              <w:spacing w:after="0" w:line="176" w:lineRule="exact"/>
              <w:rPr>
                <w:sz w:val="20"/>
                <w:szCs w:val="20"/>
                <w:color w:val="auto"/>
              </w:rPr>
            </w:pPr>
            <w:r>
              <w:rPr>
                <w:rFonts w:ascii="Times New Roman" w:cs="Times New Roman" w:eastAsia="Times New Roman" w:hAnsi="Times New Roman"/>
                <w:sz w:val="17"/>
                <w:szCs w:val="17"/>
                <w:color w:val="auto"/>
                <w:w w:val="99"/>
              </w:rPr>
              <w:t>Quoted</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74"/>
              <w:spacing w:after="0" w:line="172" w:lineRule="exact"/>
              <w:rPr>
                <w:sz w:val="20"/>
                <w:szCs w:val="20"/>
                <w:color w:val="auto"/>
              </w:rPr>
            </w:pPr>
            <w:r>
              <w:rPr>
                <w:rFonts w:ascii="Times New Roman" w:cs="Times New Roman" w:eastAsia="Times New Roman" w:hAnsi="Times New Roman"/>
                <w:sz w:val="17"/>
                <w:szCs w:val="17"/>
                <w:color w:val="auto"/>
              </w:rPr>
              <w:t>Prices</w:t>
            </w: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74"/>
              <w:spacing w:after="0" w:line="167" w:lineRule="exact"/>
              <w:rPr>
                <w:sz w:val="20"/>
                <w:szCs w:val="20"/>
                <w:color w:val="auto"/>
              </w:rPr>
            </w:pPr>
            <w:r>
              <w:rPr>
                <w:rFonts w:ascii="Times New Roman" w:cs="Times New Roman" w:eastAsia="Times New Roman" w:hAnsi="Times New Roman"/>
                <w:sz w:val="17"/>
                <w:szCs w:val="17"/>
                <w:color w:val="auto"/>
                <w:w w:val="98"/>
              </w:rPr>
              <w:t>in Active</w:t>
            </w:r>
          </w:p>
        </w:tc>
        <w:tc>
          <w:tcPr>
            <w:tcW w:w="140" w:type="dxa"/>
            <w:vAlign w:val="bottom"/>
          </w:tcPr>
          <w:p>
            <w:pPr>
              <w:spacing w:after="0"/>
              <w:rPr>
                <w:sz w:val="14"/>
                <w:szCs w:val="14"/>
                <w:color w:val="auto"/>
              </w:rPr>
            </w:pPr>
          </w:p>
        </w:tc>
        <w:tc>
          <w:tcPr>
            <w:tcW w:w="1320" w:type="dxa"/>
            <w:vAlign w:val="bottom"/>
            <w:vMerge w:val="restart"/>
          </w:tcPr>
          <w:p>
            <w:pPr>
              <w:jc w:val="center"/>
              <w:ind w:right="74"/>
              <w:spacing w:after="0"/>
              <w:rPr>
                <w:sz w:val="20"/>
                <w:szCs w:val="20"/>
                <w:color w:val="auto"/>
              </w:rPr>
            </w:pPr>
            <w:r>
              <w:rPr>
                <w:rFonts w:ascii="Times New Roman" w:cs="Times New Roman" w:eastAsia="Times New Roman" w:hAnsi="Times New Roman"/>
                <w:sz w:val="17"/>
                <w:szCs w:val="17"/>
                <w:color w:val="auto"/>
              </w:rPr>
              <w:t>Significant</w:t>
            </w:r>
          </w:p>
        </w:tc>
        <w:tc>
          <w:tcPr>
            <w:tcW w:w="240" w:type="dxa"/>
            <w:vAlign w:val="bottom"/>
          </w:tcPr>
          <w:p>
            <w:pPr>
              <w:spacing w:after="0"/>
              <w:rPr>
                <w:sz w:val="14"/>
                <w:szCs w:val="14"/>
                <w:color w:val="auto"/>
              </w:rPr>
            </w:pPr>
          </w:p>
        </w:tc>
        <w:tc>
          <w:tcPr>
            <w:tcW w:w="1160" w:type="dxa"/>
            <w:vAlign w:val="bottom"/>
            <w:vMerge w:val="restart"/>
          </w:tcPr>
          <w:p>
            <w:pPr>
              <w:jc w:val="center"/>
              <w:ind w:right="114"/>
              <w:spacing w:after="0"/>
              <w:rPr>
                <w:sz w:val="20"/>
                <w:szCs w:val="20"/>
                <w:color w:val="auto"/>
              </w:rPr>
            </w:pPr>
            <w:r>
              <w:rPr>
                <w:rFonts w:ascii="Times New Roman" w:cs="Times New Roman" w:eastAsia="Times New Roman" w:hAnsi="Times New Roman"/>
                <w:sz w:val="17"/>
                <w:szCs w:val="17"/>
                <w:color w:val="auto"/>
              </w:rPr>
              <w:t>Significant</w:t>
            </w:r>
          </w:p>
        </w:tc>
        <w:tc>
          <w:tcPr>
            <w:tcW w:w="0" w:type="dxa"/>
            <w:vAlign w:val="bottom"/>
          </w:tcPr>
          <w:p>
            <w:pPr>
              <w:spacing w:after="0"/>
              <w:rPr>
                <w:sz w:val="1"/>
                <w:szCs w:val="1"/>
                <w:color w:val="auto"/>
              </w:rPr>
            </w:pPr>
          </w:p>
        </w:tc>
      </w:tr>
      <w:tr>
        <w:trPr>
          <w:trHeight w:val="177"/>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94"/>
              <w:spacing w:after="0" w:line="177" w:lineRule="exact"/>
              <w:rPr>
                <w:sz w:val="20"/>
                <w:szCs w:val="20"/>
                <w:color w:val="auto"/>
              </w:rPr>
            </w:pPr>
            <w:r>
              <w:rPr>
                <w:rFonts w:ascii="Times New Roman" w:cs="Times New Roman" w:eastAsia="Times New Roman" w:hAnsi="Times New Roman"/>
                <w:sz w:val="17"/>
                <w:szCs w:val="17"/>
                <w:color w:val="auto"/>
              </w:rPr>
              <w:t>Markets</w:t>
            </w:r>
          </w:p>
        </w:tc>
        <w:tc>
          <w:tcPr>
            <w:tcW w:w="1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vMerge w:val="restart"/>
          </w:tcPr>
          <w:p>
            <w:pPr>
              <w:jc w:val="center"/>
              <w:ind w:right="174"/>
              <w:spacing w:after="0"/>
              <w:rPr>
                <w:sz w:val="20"/>
                <w:szCs w:val="20"/>
                <w:color w:val="auto"/>
              </w:rPr>
            </w:pPr>
            <w:r>
              <w:rPr>
                <w:rFonts w:ascii="Times New Roman" w:cs="Times New Roman" w:eastAsia="Times New Roman" w:hAnsi="Times New Roman"/>
                <w:sz w:val="17"/>
                <w:szCs w:val="17"/>
                <w:color w:val="auto"/>
              </w:rPr>
              <w:t>Recorded</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94"/>
              <w:spacing w:after="0" w:line="172" w:lineRule="exact"/>
              <w:rPr>
                <w:sz w:val="20"/>
                <w:szCs w:val="20"/>
                <w:color w:val="auto"/>
              </w:rPr>
            </w:pPr>
            <w:r>
              <w:rPr>
                <w:rFonts w:ascii="Times New Roman" w:cs="Times New Roman" w:eastAsia="Times New Roman" w:hAnsi="Times New Roman"/>
                <w:sz w:val="17"/>
                <w:szCs w:val="17"/>
                <w:color w:val="auto"/>
              </w:rPr>
              <w:t>for</w:t>
            </w:r>
          </w:p>
        </w:tc>
        <w:tc>
          <w:tcPr>
            <w:tcW w:w="140" w:type="dxa"/>
            <w:vAlign w:val="bottom"/>
          </w:tcPr>
          <w:p>
            <w:pPr>
              <w:spacing w:after="0"/>
              <w:rPr>
                <w:sz w:val="14"/>
                <w:szCs w:val="14"/>
                <w:color w:val="auto"/>
              </w:rPr>
            </w:pPr>
          </w:p>
        </w:tc>
        <w:tc>
          <w:tcPr>
            <w:tcW w:w="1320" w:type="dxa"/>
            <w:vAlign w:val="bottom"/>
          </w:tcPr>
          <w:p>
            <w:pPr>
              <w:jc w:val="center"/>
              <w:ind w:right="74"/>
              <w:spacing w:after="0" w:line="172"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4"/>
                <w:szCs w:val="14"/>
                <w:color w:val="auto"/>
              </w:rPr>
            </w:pPr>
          </w:p>
        </w:tc>
        <w:tc>
          <w:tcPr>
            <w:tcW w:w="1160" w:type="dxa"/>
            <w:vAlign w:val="bottom"/>
          </w:tcPr>
          <w:p>
            <w:pPr>
              <w:jc w:val="center"/>
              <w:ind w:right="114"/>
              <w:spacing w:after="0" w:line="172" w:lineRule="exact"/>
              <w:rPr>
                <w:sz w:val="20"/>
                <w:szCs w:val="20"/>
                <w:color w:val="auto"/>
              </w:rPr>
            </w:pPr>
            <w:r>
              <w:rPr>
                <w:rFonts w:ascii="Times New Roman" w:cs="Times New Roman" w:eastAsia="Times New Roman" w:hAnsi="Times New Roman"/>
                <w:sz w:val="17"/>
                <w:szCs w:val="17"/>
                <w:color w:val="auto"/>
              </w:rPr>
              <w:t>Un-</w:t>
            </w: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94"/>
              <w:spacing w:after="0" w:line="167" w:lineRule="exact"/>
              <w:rPr>
                <w:sz w:val="20"/>
                <w:szCs w:val="20"/>
                <w:color w:val="auto"/>
              </w:rPr>
            </w:pPr>
            <w:r>
              <w:rPr>
                <w:rFonts w:ascii="Times New Roman" w:cs="Times New Roman" w:eastAsia="Times New Roman" w:hAnsi="Times New Roman"/>
                <w:sz w:val="17"/>
                <w:szCs w:val="17"/>
                <w:color w:val="auto"/>
              </w:rPr>
              <w:t>Identical</w:t>
            </w:r>
          </w:p>
        </w:tc>
        <w:tc>
          <w:tcPr>
            <w:tcW w:w="140" w:type="dxa"/>
            <w:vAlign w:val="bottom"/>
          </w:tcPr>
          <w:p>
            <w:pPr>
              <w:spacing w:after="0"/>
              <w:rPr>
                <w:sz w:val="14"/>
                <w:szCs w:val="14"/>
                <w:color w:val="auto"/>
              </w:rPr>
            </w:pPr>
          </w:p>
        </w:tc>
        <w:tc>
          <w:tcPr>
            <w:tcW w:w="1320" w:type="dxa"/>
            <w:vAlign w:val="bottom"/>
          </w:tcPr>
          <w:p>
            <w:pPr>
              <w:jc w:val="center"/>
              <w:ind w:right="54"/>
              <w:spacing w:after="0" w:line="167" w:lineRule="exact"/>
              <w:rPr>
                <w:sz w:val="20"/>
                <w:szCs w:val="20"/>
                <w:color w:val="auto"/>
              </w:rPr>
            </w:pPr>
            <w:r>
              <w:rPr>
                <w:rFonts w:ascii="Times New Roman" w:cs="Times New Roman" w:eastAsia="Times New Roman" w:hAnsi="Times New Roman"/>
                <w:sz w:val="17"/>
                <w:szCs w:val="17"/>
                <w:color w:val="auto"/>
              </w:rPr>
              <w:t>Observable</w:t>
            </w:r>
          </w:p>
        </w:tc>
        <w:tc>
          <w:tcPr>
            <w:tcW w:w="240" w:type="dxa"/>
            <w:vAlign w:val="bottom"/>
          </w:tcPr>
          <w:p>
            <w:pPr>
              <w:spacing w:after="0"/>
              <w:rPr>
                <w:sz w:val="14"/>
                <w:szCs w:val="14"/>
                <w:color w:val="auto"/>
              </w:rPr>
            </w:pPr>
          </w:p>
        </w:tc>
        <w:tc>
          <w:tcPr>
            <w:tcW w:w="116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color w:val="auto"/>
              </w:rPr>
              <w:t>observable</w:t>
            </w: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right="174"/>
              <w:spacing w:after="0" w:line="181" w:lineRule="exact"/>
              <w:rPr>
                <w:sz w:val="20"/>
                <w:szCs w:val="20"/>
                <w:color w:val="auto"/>
              </w:rPr>
            </w:pPr>
            <w:r>
              <w:rPr>
                <w:rFonts w:ascii="Times New Roman" w:cs="Times New Roman" w:eastAsia="Times New Roman" w:hAnsi="Times New Roman"/>
                <w:sz w:val="17"/>
                <w:szCs w:val="17"/>
                <w:color w:val="auto"/>
              </w:rPr>
              <w:t>Book</w:t>
            </w:r>
          </w:p>
        </w:tc>
        <w:tc>
          <w:tcPr>
            <w:tcW w:w="280" w:type="dxa"/>
            <w:vAlign w:val="bottom"/>
          </w:tcPr>
          <w:p>
            <w:pPr>
              <w:spacing w:after="0"/>
              <w:rPr>
                <w:sz w:val="15"/>
                <w:szCs w:val="15"/>
                <w:color w:val="auto"/>
              </w:rPr>
            </w:pPr>
          </w:p>
        </w:tc>
        <w:tc>
          <w:tcPr>
            <w:tcW w:w="1220" w:type="dxa"/>
            <w:vAlign w:val="bottom"/>
            <w:vMerge w:val="restart"/>
          </w:tcPr>
          <w:p>
            <w:pPr>
              <w:jc w:val="right"/>
              <w:ind w:right="314"/>
              <w:spacing w:after="0"/>
              <w:rPr>
                <w:sz w:val="20"/>
                <w:szCs w:val="20"/>
                <w:color w:val="auto"/>
              </w:rPr>
            </w:pPr>
            <w:r>
              <w:rPr>
                <w:rFonts w:ascii="Times New Roman" w:cs="Times New Roman" w:eastAsia="Times New Roman" w:hAnsi="Times New Roman"/>
                <w:sz w:val="17"/>
                <w:szCs w:val="17"/>
                <w:color w:val="auto"/>
              </w:rPr>
              <w:t>Fair Value</w:t>
            </w:r>
          </w:p>
        </w:tc>
        <w:tc>
          <w:tcPr>
            <w:tcW w:w="120" w:type="dxa"/>
            <w:vAlign w:val="bottom"/>
          </w:tcPr>
          <w:p>
            <w:pPr>
              <w:spacing w:after="0"/>
              <w:rPr>
                <w:sz w:val="15"/>
                <w:szCs w:val="15"/>
                <w:color w:val="auto"/>
              </w:rPr>
            </w:pPr>
          </w:p>
        </w:tc>
        <w:tc>
          <w:tcPr>
            <w:tcW w:w="1300" w:type="dxa"/>
            <w:vAlign w:val="bottom"/>
          </w:tcPr>
          <w:p>
            <w:pPr>
              <w:jc w:val="center"/>
              <w:ind w:right="74"/>
              <w:spacing w:after="0" w:line="181" w:lineRule="exact"/>
              <w:rPr>
                <w:sz w:val="20"/>
                <w:szCs w:val="20"/>
                <w:color w:val="auto"/>
              </w:rPr>
            </w:pPr>
            <w:r>
              <w:rPr>
                <w:rFonts w:ascii="Times New Roman" w:cs="Times New Roman" w:eastAsia="Times New Roman" w:hAnsi="Times New Roman"/>
                <w:sz w:val="17"/>
                <w:szCs w:val="17"/>
                <w:color w:val="auto"/>
              </w:rPr>
              <w:t>Assets</w:t>
            </w:r>
          </w:p>
        </w:tc>
        <w:tc>
          <w:tcPr>
            <w:tcW w:w="140" w:type="dxa"/>
            <w:vAlign w:val="bottom"/>
          </w:tcPr>
          <w:p>
            <w:pPr>
              <w:spacing w:after="0"/>
              <w:rPr>
                <w:sz w:val="15"/>
                <w:szCs w:val="15"/>
                <w:color w:val="auto"/>
              </w:rPr>
            </w:pPr>
          </w:p>
        </w:tc>
        <w:tc>
          <w:tcPr>
            <w:tcW w:w="1320" w:type="dxa"/>
            <w:vAlign w:val="bottom"/>
          </w:tcPr>
          <w:p>
            <w:pPr>
              <w:jc w:val="center"/>
              <w:ind w:right="54"/>
              <w:spacing w:after="0" w:line="181" w:lineRule="exact"/>
              <w:rPr>
                <w:sz w:val="20"/>
                <w:szCs w:val="20"/>
                <w:color w:val="auto"/>
              </w:rPr>
            </w:pPr>
            <w:r>
              <w:rPr>
                <w:rFonts w:ascii="Times New Roman" w:cs="Times New Roman" w:eastAsia="Times New Roman" w:hAnsi="Times New Roman"/>
                <w:sz w:val="17"/>
                <w:szCs w:val="17"/>
                <w:color w:val="auto"/>
                <w:w w:val="98"/>
              </w:rPr>
              <w:t>Inputs</w:t>
            </w:r>
          </w:p>
        </w:tc>
        <w:tc>
          <w:tcPr>
            <w:tcW w:w="240" w:type="dxa"/>
            <w:vAlign w:val="bottom"/>
          </w:tcPr>
          <w:p>
            <w:pPr>
              <w:spacing w:after="0"/>
              <w:rPr>
                <w:sz w:val="15"/>
                <w:szCs w:val="15"/>
                <w:color w:val="auto"/>
              </w:rPr>
            </w:pPr>
          </w:p>
        </w:tc>
        <w:tc>
          <w:tcPr>
            <w:tcW w:w="1160" w:type="dxa"/>
            <w:vAlign w:val="bottom"/>
          </w:tcPr>
          <w:p>
            <w:pPr>
              <w:jc w:val="center"/>
              <w:ind w:right="114"/>
              <w:spacing w:after="0" w:line="181" w:lineRule="exact"/>
              <w:rPr>
                <w:sz w:val="20"/>
                <w:szCs w:val="20"/>
                <w:color w:val="auto"/>
              </w:rPr>
            </w:pPr>
            <w:r>
              <w:rPr>
                <w:rFonts w:ascii="Times New Roman" w:cs="Times New Roman" w:eastAsia="Times New Roman" w:hAnsi="Times New Roman"/>
                <w:sz w:val="17"/>
                <w:szCs w:val="17"/>
                <w:color w:val="auto"/>
              </w:rPr>
              <w:t>Inputs</w:t>
            </w:r>
          </w:p>
        </w:tc>
        <w:tc>
          <w:tcPr>
            <w:tcW w:w="0" w:type="dxa"/>
            <w:vAlign w:val="bottom"/>
          </w:tcPr>
          <w:p>
            <w:pPr>
              <w:spacing w:after="0"/>
              <w:rPr>
                <w:sz w:val="1"/>
                <w:szCs w:val="1"/>
                <w:color w:val="auto"/>
              </w:rPr>
            </w:pPr>
          </w:p>
        </w:tc>
      </w:tr>
      <w:tr>
        <w:trPr>
          <w:trHeight w:val="219"/>
        </w:trPr>
        <w:tc>
          <w:tcPr>
            <w:tcW w:w="4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7"/>
                <w:szCs w:val="17"/>
                <w:color w:val="auto"/>
              </w:rPr>
              <w:t>Balance</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color w:val="auto"/>
                <w:w w:val="98"/>
              </w:rPr>
              <w:t>(Level 1)</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color w:val="auto"/>
              </w:rPr>
              <w:t>(Level 2)</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25"/>
        </w:trPr>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(In thousands)</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September 30, 2025</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Assets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Cash and due from banks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56,378</w:t>
            </w:r>
          </w:p>
        </w:tc>
        <w:tc>
          <w:tcPr>
            <w:tcW w:w="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56,378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56,378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Interest bearing deposits</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152,308</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152,308</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152,308</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502,583</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502,583</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502,583</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Securities held to maturity</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321,450</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293,242</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293,242</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Federal Home Loan Bank and Federal</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Reserve Bank Stock</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18,102</w:t>
            </w:r>
          </w:p>
        </w:tc>
        <w:tc>
          <w:tcPr>
            <w:tcW w:w="2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loans and loans held for sale</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4,147,478</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3,991,609</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11,654</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3,979,955</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Accrued interest receivable</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19,270</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19,270</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250</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4,863</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14,157</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32,106</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32,106</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32,106</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5"/>
        </w:trPr>
        <w:tc>
          <w:tcPr>
            <w:tcW w:w="4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Liabilities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Deposits with no stated maturity (1)</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3,911,405</w:t>
            </w:r>
          </w:p>
        </w:tc>
        <w:tc>
          <w:tcPr>
            <w:tcW w:w="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3,911,405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3,911,405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Deposits with stated maturity (1)</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947,750</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946,153</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946,153</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Other borrowings</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2,006</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1,673</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1,673</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Subordinated debentures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39,847</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39,585</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39,585</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Accrued interest payable</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3,245</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3,245</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323</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2,922</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20,729</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20,729</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20,729</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5"/>
        </w:trPr>
        <w:tc>
          <w:tcPr>
            <w:tcW w:w="4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2024</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Assets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Cash and due from banks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56,984</w:t>
            </w:r>
          </w:p>
        </w:tc>
        <w:tc>
          <w:tcPr>
            <w:tcW w:w="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56,984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56,984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Interest bearing deposits</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62,898</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62,898</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62,898</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559,182</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559,182</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559,182</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Securities held to maturity</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339,436</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301,860</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301,860</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Federal Home Loan Bank and Federal</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Reserve Bank Stock</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16,099</w:t>
            </w:r>
          </w:p>
        </w:tc>
        <w:tc>
          <w:tcPr>
            <w:tcW w:w="2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loans and loans held for sale</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3,987,089</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3,772,862</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7,643</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3,765,219</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Accrued interest receivable</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19,113</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19,113</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46</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5,606</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13,461</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37,059</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37,059</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37,059</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4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Liabilities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Deposits with no stated maturity (1)</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3,806,185</w:t>
            </w:r>
          </w:p>
        </w:tc>
        <w:tc>
          <w:tcPr>
            <w:tcW w:w="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3,806,185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3,806,185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Deposits with stated maturity (1)</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847,903</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845,534</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845,534</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Other borrowings</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45,009</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44,996</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44,996</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Subordinated debt</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39,586</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40,412</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40,412</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Subordinated debentures</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39,796</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40,235</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40,235</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Accrued interest payable</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3,109</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3,109</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374</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2,735</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2"/>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18,623</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18,623</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18,623</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left="580" w:right="20" w:hanging="560"/>
        <w:spacing w:after="0" w:line="233" w:lineRule="auto"/>
        <w:tabs>
          <w:tab w:leader="none" w:pos="580" w:val="left"/>
        </w:tabs>
        <w:numPr>
          <w:ilvl w:val="0"/>
          <w:numId w:val="23"/>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3"/>
          <w:szCs w:val="13"/>
          <w:color w:val="auto"/>
        </w:rPr>
        <w:t>Deposits with no stated maturity include reciprocal deposits with a recorded book balance of $867.422 million and $797.224 million at September 30, 2025 and December 31, 2024, respectively. Deposits with a stated maturity include reciprocal deposits with a recorded book balance of $113.693 million and $109.807 million at September 30, 2025 and December 31, 2024, respectively.</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fair values for commitments to extend credit and standby letters of credit are estimated to approximate their aggregate book balance, which is nominal and therefore are not disclosed.</w:t>
      </w:r>
    </w:p>
    <w:p>
      <w:pPr>
        <w:spacing w:after="0" w:line="12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11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11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2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ind w:left="380" w:hanging="377"/>
        <w:spacing w:after="0"/>
        <w:tabs>
          <w:tab w:leader="none" w:pos="3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Contingencies</w:t>
      </w:r>
    </w:p>
    <w:p>
      <w:pPr>
        <w:spacing w:after="0" w:line="23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7"/>
          <w:szCs w:val="17"/>
          <w:color w:val="auto"/>
        </w:rPr>
        <w:t>Pressures from various global and national macroeconomic conditions, including significant volatility and uncertainty with U.S. and global market conditions, the direct and indirect impacts of potential changes to U.S. trade policies, recessionary concerns, uncertainty regarding future interest rates, foreign currency exchange rate fluctuations, the continuation of the Russia-Ukraine war, ongoing and potentially increasing conflict in the Middle East, and potential governmental responses to these events, continue to create significant economic uncertainty. In addition, pursuit of various initiatives announced by the Trump administration may create some degree of volatility in our customers’ businesses, regulation of the financial services industry, and the markets in which we operate.</w:t>
      </w:r>
    </w:p>
    <w:p>
      <w:pPr>
        <w:spacing w:after="0" w:line="20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7"/>
          <w:szCs w:val="17"/>
          <w:color w:val="auto"/>
        </w:rPr>
        <w:t>The extent to which these pressures and other factors may impact our business, results of operations, asset valuations, financial condition, and customers will depend on future developments, which continue to be highly uncertain and difficult to predict. Material adverse impacts may include all or a combination of valuation impairments on our other intangibles, goodwill, securities available for sale, securities held to maturity, loans, capitalized mortgage loan servicing rights or deferred tax assets.</w:t>
      </w:r>
    </w:p>
    <w:p>
      <w:pPr>
        <w:spacing w:after="0" w:line="20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We continue to closely monitor and analyze the higher risk segments within our portfolio, and senior management is cautiously optimistic that we are positioned to continue managing the impact of the varied set of risks and uncertainties currently impacting the global and U.S. economies. However, a high degree of uncertainty still exists with respect to the impact of these fluid macroeconomic conditions on the future performance of our loan portfolio and our financial results.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Litigation</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involved in various litigation matters in the ordinary course of business. At the present time, we do not believe any of these matters will have a significant impact on our interim condensed consolidated financial position or results of operations. The aggregate amount we have accrued for losses we consider probable as a result of these litigation matters is not 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Visa Stock</w:t>
      </w:r>
    </w:p>
    <w:p>
      <w:pPr>
        <w:spacing w:after="0" w:line="1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May 6, 2024, we exchanged 12,566 shares of Visa Inc. Class B-1 common stock (all of the Class B-1 shares we owned) for 2,493 shares of Visa Inc. Class C common stock and 6,283 shares of Visa Inc. Class B-2 common stock pursuant to an exchange offer conducted by Visa. Each Class C share automatically converts to 4 shares of Visa Inc. Class A common stock upon a transfer to anyone other than a Visa member or an affiliate of a Visa member. The Class B-2 shares have the same transfer restrictions as the transfer restrictions on the Class B-1 shares and can only be sold to other Class B shareholders.</w:t>
      </w:r>
    </w:p>
    <w:p>
      <w:pPr>
        <w:spacing w:after="0" w:line="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Because of the very limited liquidity for the Class B-1 shares (prior to completion of the exchange offer) and uncertainty regarding the likelihood, ultimate timing, and eventual exchange rate for Class B-1 shares into Class A shares, we were carrying these shares at zero (prior to the completion of the exchange offer), representing cost basis less impairment. In light of the continued uncertainty regarding the likelihood, ultimate timing, and eventual exchange rate for Class B-2 shares into Class A shares, we are carrying the Class B-2 shares at zero at both September 30, 2025 and December 31, 2024, representing cost basis less impairment. However, given the current conversion ratio of 1.5223 Class A shares for every 1 Class B-2 share and the closing price of Visa Class A shares on October 27, 2025 of $347.82 per share, our 6,283 Class B-2 shares would have a current “value” of approximately $3.3 million.</w:t>
      </w:r>
    </w:p>
    <w:p>
      <w:pPr>
        <w:spacing w:after="0" w:line="13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a condition to our participation in the exchange offer, we were required to enter into a Makewhole Agreement that will require us to reimburse Visa in certain circumstances if certain litigation in which Visa has been involved since 2008 results in damages significantly higher than Visa currently expects. Potential payments under the Makewhole Agreement are designed to equal the decline in value we would have experienced had we not participated in Visa’s exchange offer.</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Based on the disclosures that have been made by Visa regarding the status of this litigation and other circumstances relating to the exchange offer and potential future, similar exchange offers, we believe the likelihood we will have to make any payments under the Makewhole Agreement is remote.</w:t>
      </w:r>
    </w:p>
    <w:p>
      <w:pPr>
        <w:spacing w:after="0" w:line="125" w:lineRule="exact"/>
        <w:rPr>
          <w:sz w:val="20"/>
          <w:szCs w:val="20"/>
          <w:color w:val="auto"/>
        </w:rPr>
      </w:pPr>
    </w:p>
    <w:p>
      <w:pPr>
        <w:ind w:right="7240" w:firstLine="3"/>
        <w:spacing w:after="0" w:line="490" w:lineRule="auto"/>
        <w:tabs>
          <w:tab w:leader="none" w:pos="38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xml:space="preserve">Accumulated Other Comprehensive Loss (“AOCL”) </w:t>
      </w:r>
      <w:r>
        <w:rPr>
          <w:rFonts w:ascii="Times New Roman" w:cs="Times New Roman" w:eastAsia="Times New Roman" w:hAnsi="Times New Roman"/>
          <w:sz w:val="17"/>
          <w:szCs w:val="17"/>
          <w:color w:val="auto"/>
        </w:rPr>
        <w:t>A summary of changes in AOCL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9"/>
              </w:rPr>
              <w:t>Unrealized</w:t>
            </w:r>
          </w:p>
        </w:tc>
        <w:tc>
          <w:tcPr>
            <w:tcW w:w="12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Dispropor-</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Losses on</w:t>
            </w:r>
          </w:p>
        </w:tc>
        <w:tc>
          <w:tcPr>
            <w:tcW w:w="12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tionate</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9"/>
              </w:rPr>
              <w:t>Unrealized</w:t>
            </w: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Securities</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Tax Effects</w:t>
            </w: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color w:val="auto"/>
              </w:rPr>
              <w:t>Unrealized Gains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Losses on</w:t>
            </w:r>
          </w:p>
        </w:tc>
        <w:tc>
          <w:tcPr>
            <w:tcW w:w="14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Transferred</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from</w:t>
            </w: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(Losses) on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Securities</w:t>
            </w:r>
          </w:p>
        </w:tc>
        <w:tc>
          <w:tcPr>
            <w:tcW w:w="14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to Securities</w:t>
            </w:r>
          </w:p>
        </w:tc>
        <w:tc>
          <w:tcPr>
            <w:tcW w:w="12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Securities</w:t>
            </w: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Derivative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6"/>
              </w:rPr>
              <w:t>AFS</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HTM (1)</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AFS</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9"/>
              </w:rPr>
              <w:t>Instruments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(In thousands)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 the three months ended September 30,</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2025</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Balances at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(51,816)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(11,489)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10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(69,887)</w:t>
            </w:r>
          </w:p>
        </w:tc>
        <w:tc>
          <w:tcPr>
            <w:tcW w:w="0" w:type="dxa"/>
            <w:vAlign w:val="bottom"/>
          </w:tcPr>
          <w:p>
            <w:pPr>
              <w:spacing w:after="0"/>
              <w:rPr>
                <w:sz w:val="1"/>
                <w:szCs w:val="1"/>
                <w:color w:val="auto"/>
              </w:rPr>
            </w:pPr>
          </w:p>
        </w:tc>
      </w:tr>
      <w:tr>
        <w:trPr>
          <w:trHeight w:val="222"/>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Other comprehensive income (loss) before</w:t>
            </w:r>
          </w:p>
        </w:tc>
        <w:tc>
          <w:tcPr>
            <w:tcW w:w="18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8,748</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reclassifications</w:t>
            </w: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Amounts reclassified from AOCL</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0" w:type="dxa"/>
            <w:vAlign w:val="bottom"/>
          </w:tcPr>
          <w:p>
            <w:pPr>
              <w:spacing w:after="0"/>
              <w:rPr>
                <w:sz w:val="1"/>
                <w:szCs w:val="1"/>
                <w:color w:val="auto"/>
              </w:rPr>
            </w:pPr>
          </w:p>
        </w:tc>
      </w:tr>
      <w:tr>
        <w:trPr>
          <w:trHeight w:val="202"/>
        </w:trPr>
        <w:tc>
          <w:tcPr>
            <w:tcW w:w="4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Net current period other comprehensive income</w:t>
            </w:r>
          </w:p>
        </w:tc>
        <w:tc>
          <w:tcPr>
            <w:tcW w:w="1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9,257</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(loss)</w:t>
            </w: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Balances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(42,723)</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(10,875)</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(1,234)</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(60,630)</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2024</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Balances at beginning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(49,482)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(14,084)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(70,828)</w:t>
            </w:r>
          </w:p>
        </w:tc>
        <w:tc>
          <w:tcPr>
            <w:tcW w:w="0" w:type="dxa"/>
            <w:vAlign w:val="bottom"/>
          </w:tcPr>
          <w:p>
            <w:pPr>
              <w:spacing w:after="0"/>
              <w:rPr>
                <w:sz w:val="1"/>
                <w:szCs w:val="1"/>
                <w:color w:val="auto"/>
              </w:rPr>
            </w:pPr>
          </w:p>
        </w:tc>
      </w:tr>
      <w:tr>
        <w:trPr>
          <w:trHeight w:val="216"/>
        </w:trPr>
        <w:tc>
          <w:tcPr>
            <w:tcW w:w="4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Other comprehensive income before</w:t>
            </w:r>
          </w:p>
        </w:tc>
        <w:tc>
          <w:tcPr>
            <w:tcW w:w="18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9,340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restart"/>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2,168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12,154</w:t>
            </w:r>
          </w:p>
        </w:tc>
        <w:tc>
          <w:tcPr>
            <w:tcW w:w="0" w:type="dxa"/>
            <w:vAlign w:val="bottom"/>
          </w:tcPr>
          <w:p>
            <w:pPr>
              <w:spacing w:after="0"/>
              <w:rPr>
                <w:sz w:val="1"/>
                <w:szCs w:val="1"/>
                <w:color w:val="auto"/>
              </w:rPr>
            </w:pPr>
          </w:p>
        </w:tc>
      </w:tr>
      <w:tr>
        <w:trPr>
          <w:trHeight w:val="223"/>
        </w:trPr>
        <w:tc>
          <w:tcPr>
            <w:tcW w:w="4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reclassifications</w:t>
            </w: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Amounts reclassified from AOCL</w:t>
            </w: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0" w:type="dxa"/>
            <w:vAlign w:val="bottom"/>
          </w:tcPr>
          <w:p>
            <w:pPr>
              <w:spacing w:after="0"/>
              <w:rPr>
                <w:sz w:val="1"/>
                <w:szCs w:val="1"/>
                <w:color w:val="auto"/>
              </w:rPr>
            </w:pPr>
          </w:p>
        </w:tc>
      </w:tr>
      <w:tr>
        <w:trPr>
          <w:trHeight w:val="232"/>
        </w:trPr>
        <w:tc>
          <w:tcPr>
            <w:tcW w:w="4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Net current period other comprehensive income</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12,576</w:t>
            </w:r>
          </w:p>
        </w:tc>
        <w:tc>
          <w:tcPr>
            <w:tcW w:w="0" w:type="dxa"/>
            <w:vAlign w:val="bottom"/>
          </w:tcPr>
          <w:p>
            <w:pPr>
              <w:spacing w:after="0"/>
              <w:rPr>
                <w:sz w:val="1"/>
                <w:szCs w:val="1"/>
                <w:color w:val="auto"/>
              </w:rPr>
            </w:pPr>
          </w:p>
        </w:tc>
      </w:tr>
      <w:tr>
        <w:trPr>
          <w:trHeight w:val="263"/>
        </w:trPr>
        <w:tc>
          <w:tcPr>
            <w:tcW w:w="40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Balances at end of period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(40,028)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(13,438)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(58,252)</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 the nine months ended September 30,</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2025</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Balances at beginning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(49,301)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(12,775)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(69,944)</w:t>
            </w:r>
          </w:p>
        </w:tc>
        <w:tc>
          <w:tcPr>
            <w:tcW w:w="0" w:type="dxa"/>
            <w:vAlign w:val="bottom"/>
          </w:tcPr>
          <w:p>
            <w:pPr>
              <w:spacing w:after="0"/>
              <w:rPr>
                <w:sz w:val="1"/>
                <w:szCs w:val="1"/>
                <w:color w:val="auto"/>
              </w:rPr>
            </w:pPr>
          </w:p>
        </w:tc>
      </w:tr>
      <w:tr>
        <w:trPr>
          <w:trHeight w:val="216"/>
        </w:trPr>
        <w:tc>
          <w:tcPr>
            <w:tcW w:w="4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Other comprehensive income (loss) before</w:t>
            </w:r>
          </w:p>
        </w:tc>
        <w:tc>
          <w:tcPr>
            <w:tcW w:w="18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6,298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1,900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restart"/>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7,815</w:t>
            </w:r>
          </w:p>
        </w:tc>
        <w:tc>
          <w:tcPr>
            <w:tcW w:w="0" w:type="dxa"/>
            <w:vAlign w:val="bottom"/>
          </w:tcPr>
          <w:p>
            <w:pPr>
              <w:spacing w:after="0"/>
              <w:rPr>
                <w:sz w:val="1"/>
                <w:szCs w:val="1"/>
                <w:color w:val="auto"/>
              </w:rPr>
            </w:pPr>
          </w:p>
        </w:tc>
      </w:tr>
      <w:tr>
        <w:trPr>
          <w:trHeight w:val="223"/>
        </w:trPr>
        <w:tc>
          <w:tcPr>
            <w:tcW w:w="4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reclassifications</w:t>
            </w: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Amounts reclassified from AOCL</w:t>
            </w: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1,499</w:t>
            </w:r>
          </w:p>
        </w:tc>
        <w:tc>
          <w:tcPr>
            <w:tcW w:w="0" w:type="dxa"/>
            <w:vAlign w:val="bottom"/>
          </w:tcPr>
          <w:p>
            <w:pPr>
              <w:spacing w:after="0"/>
              <w:rPr>
                <w:sz w:val="1"/>
                <w:szCs w:val="1"/>
                <w:color w:val="auto"/>
              </w:rPr>
            </w:pPr>
          </w:p>
        </w:tc>
      </w:tr>
      <w:tr>
        <w:trPr>
          <w:trHeight w:val="232"/>
        </w:trPr>
        <w:tc>
          <w:tcPr>
            <w:tcW w:w="4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Net current period other comprehensive income</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9,314</w:t>
            </w:r>
          </w:p>
        </w:tc>
        <w:tc>
          <w:tcPr>
            <w:tcW w:w="0" w:type="dxa"/>
            <w:vAlign w:val="bottom"/>
          </w:tcPr>
          <w:p>
            <w:pPr>
              <w:spacing w:after="0"/>
              <w:rPr>
                <w:sz w:val="1"/>
                <w:szCs w:val="1"/>
                <w:color w:val="auto"/>
              </w:rPr>
            </w:pPr>
          </w:p>
        </w:tc>
      </w:tr>
      <w:tr>
        <w:trPr>
          <w:trHeight w:val="263"/>
        </w:trPr>
        <w:tc>
          <w:tcPr>
            <w:tcW w:w="40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Balances at end of period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(42,723)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(10,875)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(60,630)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2024</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Balances at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(51,113)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(15,408)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(72,142)</w:t>
            </w:r>
          </w:p>
        </w:tc>
        <w:tc>
          <w:tcPr>
            <w:tcW w:w="0" w:type="dxa"/>
            <w:vAlign w:val="bottom"/>
          </w:tcPr>
          <w:p>
            <w:pPr>
              <w:spacing w:after="0"/>
              <w:rPr>
                <w:sz w:val="1"/>
                <w:szCs w:val="1"/>
                <w:color w:val="auto"/>
              </w:rPr>
            </w:pPr>
          </w:p>
        </w:tc>
      </w:tr>
      <w:tr>
        <w:trPr>
          <w:trHeight w:val="222"/>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Other comprehensive income before</w:t>
            </w:r>
          </w:p>
        </w:tc>
        <w:tc>
          <w:tcPr>
            <w:tcW w:w="18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12,769</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reclassifications</w:t>
            </w: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Amounts reclassified from AOCL</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1,121</w:t>
            </w:r>
          </w:p>
        </w:tc>
        <w:tc>
          <w:tcPr>
            <w:tcW w:w="0" w:type="dxa"/>
            <w:vAlign w:val="bottom"/>
          </w:tcPr>
          <w:p>
            <w:pPr>
              <w:spacing w:after="0"/>
              <w:rPr>
                <w:sz w:val="1"/>
                <w:szCs w:val="1"/>
                <w:color w:val="auto"/>
              </w:rPr>
            </w:pPr>
          </w:p>
        </w:tc>
      </w:tr>
      <w:tr>
        <w:trPr>
          <w:trHeight w:val="244"/>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Net current period other comprehensive income</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13,890</w:t>
            </w:r>
          </w:p>
        </w:tc>
        <w:tc>
          <w:tcPr>
            <w:tcW w:w="0" w:type="dxa"/>
            <w:vAlign w:val="bottom"/>
          </w:tcPr>
          <w:p>
            <w:pPr>
              <w:spacing w:after="0"/>
              <w:rPr>
                <w:sz w:val="1"/>
                <w:szCs w:val="1"/>
                <w:color w:val="auto"/>
              </w:rPr>
            </w:pPr>
          </w:p>
        </w:tc>
      </w:tr>
      <w:tr>
        <w:trPr>
          <w:trHeight w:val="232"/>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Balances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(40,028)</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(13,438)</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1,012</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(58,252)</w:t>
            </w:r>
          </w:p>
        </w:tc>
        <w:tc>
          <w:tcPr>
            <w:tcW w:w="0" w:type="dxa"/>
            <w:vAlign w:val="bottom"/>
          </w:tcPr>
          <w:p>
            <w:pPr>
              <w:spacing w:after="0"/>
              <w:rPr>
                <w:sz w:val="1"/>
                <w:szCs w:val="1"/>
                <w:color w:val="auto"/>
              </w:rPr>
            </w:pPr>
          </w:p>
        </w:tc>
      </w:tr>
      <w:tr>
        <w:trPr>
          <w:trHeight w:val="25"/>
        </w:trPr>
        <w:tc>
          <w:tcPr>
            <w:tcW w:w="4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Represents the remaining unrealized loss to be accreted on securities that were transferred from AFS to HTM on April 1, 2022.</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disproportionate tax effects from securities AFS arose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 Release of material disproportionate tax effects from other comprehensive income to earnings is done by the portfolio method whereby the effects will remain in AOCL as long as we carry a more than inconsequential portfolio of securities AFS.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reclassifications out of each component of AOCL for the three months ended September 30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Amount</w:t>
            </w:r>
          </w:p>
        </w:tc>
        <w:tc>
          <w:tcPr>
            <w:tcW w:w="4780" w:type="dxa"/>
            <w:vAlign w:val="bottom"/>
          </w:tcPr>
          <w:p>
            <w:pPr>
              <w:spacing w:after="0"/>
              <w:rPr>
                <w:sz w:val="17"/>
                <w:szCs w:val="17"/>
                <w:color w:val="auto"/>
              </w:rPr>
            </w:pPr>
          </w:p>
        </w:tc>
      </w:t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Reclassified</w:t>
            </w:r>
          </w:p>
        </w:tc>
        <w:tc>
          <w:tcPr>
            <w:tcW w:w="4780" w:type="dxa"/>
            <w:vAlign w:val="bottom"/>
          </w:tcPr>
          <w:p>
            <w:pPr>
              <w:spacing w:after="0"/>
              <w:rPr>
                <w:sz w:val="17"/>
                <w:szCs w:val="17"/>
                <w:color w:val="auto"/>
              </w:rPr>
            </w:pPr>
          </w:p>
        </w:tc>
      </w:t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From</w:t>
            </w:r>
          </w:p>
        </w:tc>
        <w:tc>
          <w:tcPr>
            <w:tcW w:w="4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Affected Line Item in Interim Condensed</w:t>
            </w:r>
          </w:p>
        </w:tc>
      </w:tr>
      <w:tr>
        <w:trPr>
          <w:trHeight w:val="242"/>
        </w:trPr>
        <w:tc>
          <w:tcPr>
            <w:tcW w:w="4860" w:type="dxa"/>
            <w:vAlign w:val="bottom"/>
            <w:gridSpan w:val="2"/>
          </w:tcPr>
          <w:p>
            <w:pPr>
              <w:ind w:left="1680"/>
              <w:spacing w:after="0"/>
              <w:rPr>
                <w:sz w:val="20"/>
                <w:szCs w:val="20"/>
                <w:color w:val="auto"/>
              </w:rPr>
            </w:pPr>
            <w:r>
              <w:rPr>
                <w:rFonts w:ascii="Times New Roman" w:cs="Times New Roman" w:eastAsia="Times New Roman" w:hAnsi="Times New Roman"/>
                <w:sz w:val="17"/>
                <w:szCs w:val="17"/>
                <w:color w:val="auto"/>
              </w:rPr>
              <w:t>AOCL Component</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AOCL</w:t>
            </w:r>
          </w:p>
        </w:tc>
        <w:tc>
          <w:tcPr>
            <w:tcW w:w="4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Consolidated Statements of Operations</w:t>
            </w:r>
          </w:p>
        </w:tc>
      </w:tr>
      <w:tr>
        <w:trPr>
          <w:trHeight w:val="222"/>
        </w:trPr>
        <w:tc>
          <w:tcPr>
            <w:tcW w:w="4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(In thousands)</w:t>
            </w:r>
          </w:p>
        </w:tc>
        <w:tc>
          <w:tcPr>
            <w:tcW w:w="100" w:type="dxa"/>
            <w:vAlign w:val="bottom"/>
          </w:tcPr>
          <w:p>
            <w:pPr>
              <w:spacing w:after="0"/>
              <w:rPr>
                <w:sz w:val="19"/>
                <w:szCs w:val="19"/>
                <w:color w:val="auto"/>
              </w:rPr>
            </w:pPr>
          </w:p>
        </w:tc>
        <w:tc>
          <w:tcPr>
            <w:tcW w:w="4780" w:type="dxa"/>
            <w:vAlign w:val="bottom"/>
            <w:tcBorders>
              <w:top w:val="single" w:sz="8" w:color="auto"/>
            </w:tcBorders>
          </w:tcPr>
          <w:p>
            <w:pPr>
              <w:spacing w:after="0"/>
              <w:rPr>
                <w:sz w:val="19"/>
                <w:szCs w:val="19"/>
                <w:color w:val="auto"/>
              </w:rPr>
            </w:pPr>
          </w:p>
        </w:tc>
      </w:tr>
    </w:tbl>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losses on securities available for sale</w:t>
      </w:r>
    </w:p>
    <w:p>
      <w:pPr>
        <w:spacing w:after="0" w:line="62" w:lineRule="exact"/>
        <w:rPr>
          <w:sz w:val="20"/>
          <w:szCs w:val="20"/>
          <w:color w:val="auto"/>
        </w:rPr>
      </w:pPr>
    </w:p>
    <w:p>
      <w:pPr>
        <w:ind w:left="6040" w:hanging="1159"/>
        <w:spacing w:after="0"/>
        <w:tabs>
          <w:tab w:leader="none" w:pos="60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(36)  Net losses on securities available for sale</w:t>
      </w:r>
    </w:p>
    <w:p>
      <w:pPr>
        <w:spacing w:after="0" w:line="49" w:lineRule="exact"/>
        <w:rPr>
          <w:rFonts w:ascii="Times New Roman" w:cs="Times New Roman" w:eastAsia="Times New Roman" w:hAnsi="Times New Roman"/>
          <w:sz w:val="17"/>
          <w:szCs w:val="17"/>
          <w:color w:val="auto"/>
        </w:rPr>
      </w:pPr>
    </w:p>
    <w:p>
      <w:pPr>
        <w:ind w:left="6460" w:hanging="340"/>
        <w:spacing w:after="0"/>
        <w:tabs>
          <w:tab w:leader="none" w:pos="646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122160" cy="163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6040" w:hanging="1159"/>
        <w:spacing w:after="0"/>
        <w:tabs>
          <w:tab w:leader="none" w:pos="60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gains (losses) on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22160" cy="1555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22160" cy="155575"/>
                    </a:xfrm>
                    <a:prstGeom prst="rect">
                      <a:avLst/>
                    </a:prstGeom>
                    <a:noFill/>
                  </pic:spPr>
                </pic:pic>
              </a:graphicData>
            </a:graphic>
          </wp:anchor>
        </w:drawing>
      </w:r>
    </w:p>
    <w:p>
      <w:pPr>
        <w:spacing w:after="0" w:line="42" w:lineRule="exact"/>
        <w:rPr>
          <w:sz w:val="20"/>
          <w:szCs w:val="20"/>
          <w:color w:val="auto"/>
        </w:rPr>
      </w:pPr>
    </w:p>
    <w:p>
      <w:pPr>
        <w:ind w:left="5940" w:hanging="1059"/>
        <w:spacing w:after="0"/>
        <w:tabs>
          <w:tab w:leader="none" w:pos="59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(606)  Interest income</w:t>
      </w:r>
    </w:p>
    <w:p>
      <w:pPr>
        <w:spacing w:after="0" w:line="49" w:lineRule="exact"/>
        <w:rPr>
          <w:rFonts w:ascii="Times New Roman" w:cs="Times New Roman" w:eastAsia="Times New Roman" w:hAnsi="Times New Roman"/>
          <w:sz w:val="17"/>
          <w:szCs w:val="17"/>
          <w:color w:val="auto"/>
        </w:rPr>
      </w:pPr>
    </w:p>
    <w:p>
      <w:pPr>
        <w:ind w:left="62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7"/>
          <w:szCs w:val="17"/>
          <w:color w:val="auto"/>
        </w:rPr>
        <w:t>(610)</w:t>
      </w:r>
    </w:p>
    <w:p>
      <w:pPr>
        <w:spacing w:after="0" w:line="4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7"/>
          <w:szCs w:val="17"/>
          <w:color w:val="auto"/>
        </w:rPr>
        <w:t>(128)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5940" w:hanging="1059"/>
        <w:spacing w:after="0"/>
        <w:tabs>
          <w:tab w:leader="none" w:pos="59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(482)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7122160" cy="1803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22160" cy="18034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300" w:lineRule="exact"/>
        <w:rPr>
          <w:sz w:val="20"/>
          <w:szCs w:val="20"/>
          <w:color w:val="auto"/>
        </w:rPr>
      </w:pPr>
    </w:p>
    <w:p>
      <w:pPr>
        <w:ind w:left="4880"/>
        <w:spacing w:after="0"/>
        <w:tabs>
          <w:tab w:leader="none" w:pos="59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(509)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7122160" cy="1555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22160" cy="15557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50165</wp:posOffset>
            </wp:positionV>
            <wp:extent cx="94170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2024</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losses on securities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22160" cy="1555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22160" cy="155575"/>
                    </a:xfrm>
                    <a:prstGeom prst="rect">
                      <a:avLst/>
                    </a:prstGeom>
                    <a:noFill/>
                  </pic:spPr>
                </pic:pic>
              </a:graphicData>
            </a:graphic>
          </wp:anchor>
        </w:drawing>
      </w:r>
    </w:p>
    <w:p>
      <w:pPr>
        <w:spacing w:after="0" w:line="42" w:lineRule="exact"/>
        <w:rPr>
          <w:sz w:val="20"/>
          <w:szCs w:val="20"/>
          <w:color w:val="auto"/>
        </w:rPr>
      </w:pPr>
    </w:p>
    <w:p>
      <w:pPr>
        <w:ind w:left="5940" w:hanging="1059"/>
        <w:spacing w:after="0"/>
        <w:tabs>
          <w:tab w:leader="none" w:pos="59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(145)  Net losses on securities available for sale</w:t>
      </w:r>
    </w:p>
    <w:p>
      <w:pPr>
        <w:spacing w:after="0" w:line="49" w:lineRule="exact"/>
        <w:rPr>
          <w:rFonts w:ascii="Times New Roman" w:cs="Times New Roman" w:eastAsia="Times New Roman" w:hAnsi="Times New Roman"/>
          <w:sz w:val="17"/>
          <w:szCs w:val="17"/>
          <w:color w:val="auto"/>
        </w:rPr>
      </w:pPr>
    </w:p>
    <w:p>
      <w:pPr>
        <w:ind w:left="6460" w:hanging="426"/>
        <w:spacing w:after="0"/>
        <w:tabs>
          <w:tab w:leader="none" w:pos="646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5960" w:hanging="1079"/>
        <w:spacing w:after="0"/>
        <w:tabs>
          <w:tab w:leader="none" w:pos="59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(114)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7122160" cy="163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22160" cy="16383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gains (losses) on derivative instruments</w:t>
      </w:r>
    </w:p>
    <w:p>
      <w:pPr>
        <w:spacing w:after="0" w:line="62" w:lineRule="exact"/>
        <w:rPr>
          <w:sz w:val="20"/>
          <w:szCs w:val="20"/>
          <w:color w:val="auto"/>
        </w:rPr>
      </w:pPr>
    </w:p>
    <w:p>
      <w:pPr>
        <w:ind w:left="5940" w:hanging="1059"/>
        <w:spacing w:after="0"/>
        <w:tabs>
          <w:tab w:leader="none" w:pos="59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(390)  Interest income</w:t>
      </w:r>
    </w:p>
    <w:p>
      <w:pPr>
        <w:spacing w:after="0" w:line="49" w:lineRule="exact"/>
        <w:rPr>
          <w:rFonts w:ascii="Times New Roman" w:cs="Times New Roman" w:eastAsia="Times New Roman" w:hAnsi="Times New Roman"/>
          <w:sz w:val="17"/>
          <w:szCs w:val="17"/>
          <w:color w:val="auto"/>
        </w:rPr>
      </w:pPr>
    </w:p>
    <w:p>
      <w:pPr>
        <w:ind w:left="6460" w:hanging="426"/>
        <w:spacing w:after="0"/>
        <w:tabs>
          <w:tab w:leader="none" w:pos="646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122160" cy="163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5940" w:hanging="1059"/>
        <w:spacing w:after="0"/>
        <w:tabs>
          <w:tab w:leader="none" w:pos="59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(308)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720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22160" cy="172085"/>
                    </a:xfrm>
                    <a:prstGeom prst="rect">
                      <a:avLst/>
                    </a:prstGeom>
                    <a:noFill/>
                  </pic:spPr>
                </pic:pic>
              </a:graphicData>
            </a:graphic>
          </wp:anchor>
        </w:drawing>
      </w:r>
    </w:p>
    <w:p>
      <w:pPr>
        <w:spacing w:after="0" w:line="300" w:lineRule="exact"/>
        <w:rPr>
          <w:sz w:val="20"/>
          <w:szCs w:val="20"/>
          <w:color w:val="auto"/>
        </w:rPr>
      </w:pPr>
    </w:p>
    <w:p>
      <w:pPr>
        <w:ind w:left="4880"/>
        <w:spacing w:after="0"/>
        <w:tabs>
          <w:tab w:leader="none" w:pos="59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(422)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41705" cy="825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50165</wp:posOffset>
            </wp:positionV>
            <wp:extent cx="94170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reclassifications out of each component of AOCL for the nine months ended September 30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Amount</w:t>
            </w:r>
          </w:p>
        </w:tc>
        <w:tc>
          <w:tcPr>
            <w:tcW w:w="4780" w:type="dxa"/>
            <w:vAlign w:val="bottom"/>
          </w:tcPr>
          <w:p>
            <w:pPr>
              <w:spacing w:after="0"/>
              <w:rPr>
                <w:sz w:val="17"/>
                <w:szCs w:val="17"/>
                <w:color w:val="auto"/>
              </w:rPr>
            </w:pPr>
          </w:p>
        </w:tc>
      </w:t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Reclassified</w:t>
            </w:r>
          </w:p>
        </w:tc>
        <w:tc>
          <w:tcPr>
            <w:tcW w:w="4780" w:type="dxa"/>
            <w:vAlign w:val="bottom"/>
          </w:tcPr>
          <w:p>
            <w:pPr>
              <w:spacing w:after="0"/>
              <w:rPr>
                <w:sz w:val="17"/>
                <w:szCs w:val="17"/>
                <w:color w:val="auto"/>
              </w:rPr>
            </w:pPr>
          </w:p>
        </w:tc>
      </w:t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From</w:t>
            </w:r>
          </w:p>
        </w:tc>
        <w:tc>
          <w:tcPr>
            <w:tcW w:w="4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Affected Line Item in Interim Condensed</w:t>
            </w:r>
          </w:p>
        </w:tc>
      </w:tr>
      <w:tr>
        <w:trPr>
          <w:trHeight w:val="242"/>
        </w:trPr>
        <w:tc>
          <w:tcPr>
            <w:tcW w:w="4860" w:type="dxa"/>
            <w:vAlign w:val="bottom"/>
            <w:gridSpan w:val="2"/>
          </w:tcPr>
          <w:p>
            <w:pPr>
              <w:ind w:left="1680"/>
              <w:spacing w:after="0"/>
              <w:rPr>
                <w:sz w:val="20"/>
                <w:szCs w:val="20"/>
                <w:color w:val="auto"/>
              </w:rPr>
            </w:pPr>
            <w:r>
              <w:rPr>
                <w:rFonts w:ascii="Times New Roman" w:cs="Times New Roman" w:eastAsia="Times New Roman" w:hAnsi="Times New Roman"/>
                <w:sz w:val="17"/>
                <w:szCs w:val="17"/>
                <w:color w:val="auto"/>
              </w:rPr>
              <w:t>AOCL Component</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AOCL</w:t>
            </w:r>
          </w:p>
        </w:tc>
        <w:tc>
          <w:tcPr>
            <w:tcW w:w="4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Consolidated Statements of Operations</w:t>
            </w:r>
          </w:p>
        </w:tc>
      </w:tr>
      <w:tr>
        <w:trPr>
          <w:trHeight w:val="222"/>
        </w:trPr>
        <w:tc>
          <w:tcPr>
            <w:tcW w:w="4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(In thousands)</w:t>
            </w:r>
          </w:p>
        </w:tc>
        <w:tc>
          <w:tcPr>
            <w:tcW w:w="100" w:type="dxa"/>
            <w:vAlign w:val="bottom"/>
          </w:tcPr>
          <w:p>
            <w:pPr>
              <w:spacing w:after="0"/>
              <w:rPr>
                <w:sz w:val="19"/>
                <w:szCs w:val="19"/>
                <w:color w:val="auto"/>
              </w:rPr>
            </w:pPr>
          </w:p>
        </w:tc>
        <w:tc>
          <w:tcPr>
            <w:tcW w:w="4780" w:type="dxa"/>
            <w:vAlign w:val="bottom"/>
            <w:tcBorders>
              <w:top w:val="single" w:sz="8" w:color="auto"/>
            </w:tcBorders>
          </w:tcPr>
          <w:p>
            <w:pPr>
              <w:spacing w:after="0"/>
              <w:rPr>
                <w:sz w:val="19"/>
                <w:szCs w:val="19"/>
                <w:color w:val="auto"/>
              </w:rPr>
            </w:pPr>
          </w:p>
        </w:tc>
      </w:tr>
    </w:tbl>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losses on securities available for sale</w:t>
      </w:r>
    </w:p>
    <w:p>
      <w:pPr>
        <w:spacing w:after="0" w:line="62" w:lineRule="exact"/>
        <w:rPr>
          <w:sz w:val="20"/>
          <w:szCs w:val="20"/>
          <w:color w:val="auto"/>
        </w:rPr>
      </w:pPr>
    </w:p>
    <w:p>
      <w:pPr>
        <w:ind w:left="5940" w:hanging="1059"/>
        <w:spacing w:after="0"/>
        <w:tabs>
          <w:tab w:leader="none" w:pos="59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(355)  Net losses on securities available for sale</w:t>
      </w:r>
    </w:p>
    <w:p>
      <w:pPr>
        <w:spacing w:after="0" w:line="49" w:lineRule="exact"/>
        <w:rPr>
          <w:rFonts w:ascii="Times New Roman" w:cs="Times New Roman" w:eastAsia="Times New Roman" w:hAnsi="Times New Roman"/>
          <w:sz w:val="17"/>
          <w:szCs w:val="17"/>
          <w:color w:val="auto"/>
        </w:rPr>
      </w:pPr>
    </w:p>
    <w:p>
      <w:pPr>
        <w:ind w:left="6460" w:hanging="426"/>
        <w:spacing w:after="0"/>
        <w:tabs>
          <w:tab w:leader="none" w:pos="646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122160" cy="163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5940" w:hanging="1059"/>
        <w:spacing w:after="0"/>
        <w:tabs>
          <w:tab w:leader="none" w:pos="59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(280)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gains (losses) on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22160" cy="1555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22160" cy="155575"/>
                    </a:xfrm>
                    <a:prstGeom prst="rect">
                      <a:avLst/>
                    </a:prstGeom>
                    <a:noFill/>
                  </pic:spPr>
                </pic:pic>
              </a:graphicData>
            </a:graphic>
          </wp:anchor>
        </w:drawing>
      </w:r>
    </w:p>
    <w:p>
      <w:pPr>
        <w:spacing w:after="0" w:line="42" w:lineRule="exact"/>
        <w:rPr>
          <w:sz w:val="20"/>
          <w:szCs w:val="20"/>
          <w:color w:val="auto"/>
        </w:rPr>
      </w:pPr>
    </w:p>
    <w:p>
      <w:pPr>
        <w:ind w:left="5820" w:hanging="939"/>
        <w:spacing w:after="0"/>
        <w:tabs>
          <w:tab w:leader="none" w:pos="58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(1,535)  Interest income</w:t>
      </w:r>
    </w:p>
    <w:p>
      <w:pPr>
        <w:spacing w:after="0" w:line="49" w:lineRule="exact"/>
        <w:rPr>
          <w:rFonts w:ascii="Times New Roman" w:cs="Times New Roman" w:eastAsia="Times New Roman" w:hAnsi="Times New Roman"/>
          <w:sz w:val="17"/>
          <w:szCs w:val="17"/>
          <w:color w:val="auto"/>
        </w:rPr>
      </w:pPr>
    </w:p>
    <w:p>
      <w:pPr>
        <w:ind w:left="62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(1,543)</w:t>
      </w:r>
    </w:p>
    <w:p>
      <w:pPr>
        <w:spacing w:after="0" w:line="4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7"/>
          <w:szCs w:val="17"/>
          <w:color w:val="auto"/>
        </w:rPr>
        <w:t>(324)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5820" w:hanging="939"/>
        <w:spacing w:after="0"/>
        <w:tabs>
          <w:tab w:leader="none" w:pos="58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(1,219)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7122160" cy="1803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22160" cy="18034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300" w:lineRule="exact"/>
        <w:rPr>
          <w:sz w:val="20"/>
          <w:szCs w:val="20"/>
          <w:color w:val="auto"/>
        </w:rPr>
      </w:pPr>
    </w:p>
    <w:p>
      <w:pPr>
        <w:ind w:left="4880"/>
        <w:spacing w:after="0"/>
        <w:tabs>
          <w:tab w:leader="none" w:pos="580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(1,499)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7122160" cy="1555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22160" cy="15557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50165</wp:posOffset>
            </wp:positionV>
            <wp:extent cx="94170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2024</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losses on securities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22160" cy="1555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22160" cy="155575"/>
                    </a:xfrm>
                    <a:prstGeom prst="rect">
                      <a:avLst/>
                    </a:prstGeom>
                    <a:noFill/>
                  </pic:spPr>
                </pic:pic>
              </a:graphicData>
            </a:graphic>
          </wp:anchor>
        </w:drawing>
      </w:r>
    </w:p>
    <w:p>
      <w:pPr>
        <w:spacing w:after="0" w:line="42" w:lineRule="exact"/>
        <w:rPr>
          <w:sz w:val="20"/>
          <w:szCs w:val="20"/>
          <w:color w:val="auto"/>
        </w:rPr>
      </w:pPr>
    </w:p>
    <w:p>
      <w:pPr>
        <w:ind w:left="5940" w:hanging="1059"/>
        <w:spacing w:after="0"/>
        <w:tabs>
          <w:tab w:leader="none" w:pos="59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(414)  Net losses on securities available for sale</w:t>
      </w:r>
    </w:p>
    <w:p>
      <w:pPr>
        <w:spacing w:after="0" w:line="49" w:lineRule="exact"/>
        <w:rPr>
          <w:rFonts w:ascii="Times New Roman" w:cs="Times New Roman" w:eastAsia="Times New Roman" w:hAnsi="Times New Roman"/>
          <w:sz w:val="17"/>
          <w:szCs w:val="17"/>
          <w:color w:val="auto"/>
        </w:rPr>
      </w:pPr>
    </w:p>
    <w:p>
      <w:pPr>
        <w:ind w:left="6460" w:hanging="426"/>
        <w:spacing w:after="0"/>
        <w:tabs>
          <w:tab w:leader="none" w:pos="646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5940" w:hanging="1059"/>
        <w:spacing w:after="0"/>
        <w:tabs>
          <w:tab w:leader="none" w:pos="59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(327)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7122160" cy="163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22160" cy="16383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gains (losses) on derivative instruments</w:t>
      </w:r>
    </w:p>
    <w:p>
      <w:pPr>
        <w:spacing w:after="0" w:line="62" w:lineRule="exact"/>
        <w:rPr>
          <w:sz w:val="20"/>
          <w:szCs w:val="20"/>
          <w:color w:val="auto"/>
        </w:rPr>
      </w:pPr>
    </w:p>
    <w:p>
      <w:pPr>
        <w:ind w:left="5820" w:hanging="939"/>
        <w:spacing w:after="0"/>
        <w:tabs>
          <w:tab w:leader="none" w:pos="58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(1,005)  Interest income</w:t>
      </w:r>
    </w:p>
    <w:p>
      <w:pPr>
        <w:spacing w:after="0" w:line="49" w:lineRule="exact"/>
        <w:rPr>
          <w:rFonts w:ascii="Times New Roman" w:cs="Times New Roman" w:eastAsia="Times New Roman" w:hAnsi="Times New Roman"/>
          <w:sz w:val="17"/>
          <w:szCs w:val="17"/>
          <w:color w:val="auto"/>
        </w:rPr>
      </w:pPr>
    </w:p>
    <w:p>
      <w:pPr>
        <w:ind w:left="6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211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122160" cy="163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5940" w:hanging="1059"/>
        <w:spacing w:after="0"/>
        <w:tabs>
          <w:tab w:leader="none" w:pos="59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(794)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720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22160" cy="172085"/>
                    </a:xfrm>
                    <a:prstGeom prst="rect">
                      <a:avLst/>
                    </a:prstGeom>
                    <a:noFill/>
                  </pic:spPr>
                </pic:pic>
              </a:graphicData>
            </a:graphic>
          </wp:anchor>
        </w:drawing>
      </w:r>
    </w:p>
    <w:p>
      <w:pPr>
        <w:spacing w:after="0" w:line="300" w:lineRule="exact"/>
        <w:rPr>
          <w:sz w:val="20"/>
          <w:szCs w:val="20"/>
          <w:color w:val="auto"/>
        </w:rPr>
      </w:pPr>
    </w:p>
    <w:p>
      <w:pPr>
        <w:ind w:left="4880"/>
        <w:spacing w:after="0"/>
        <w:tabs>
          <w:tab w:leader="none" w:pos="580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(1,121)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41705" cy="825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50165</wp:posOffset>
            </wp:positionV>
            <wp:extent cx="94170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80" w:hanging="377"/>
        <w:spacing w:after="0"/>
        <w:tabs>
          <w:tab w:leader="none" w:pos="38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Revenue from Contracts with Customers</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account for revenue in accordance with ASC Topic 606, Revenue from Contracts with Customers. We derive the majority of our revenue from financial instruments and their related contractual rights and obligations which for the most part are excluded from the scope of this topic. These sources of revenue that are excluded from the scope of this topic include interest income, net gains on mortgage loans, net losses on securities AFS, mortgage loan servicing, net and bank owned life insurance and were approximately 88.2% and 88.3% of total revenues for the nine month periods ending September 30, 2025 and 2024, respectively.</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Material sources of revenue that are included in the scope of this topic include service charges on deposit accounts, other deposit related income, interchange income and investment and insurance commissions and are discussed in the following paragraphs. Generally these sources of revenue are earned at the time the service is delivered or over the course of a monthly period and do not result in any contract asset or liability balance at any given period end. As a result, there were no contract assets or liabilities recorded as of September 30, 2025 and December 31, 2024, respectively.</w:t>
      </w:r>
    </w:p>
    <w:p>
      <w:pPr>
        <w:spacing w:after="0" w:line="14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u w:val="single" w:color="auto"/>
          <w:color w:val="auto"/>
        </w:rPr>
        <w:t>Service charges on deposit accounts and other deposit related income</w:t>
      </w:r>
      <w:r>
        <w:rPr>
          <w:rFonts w:ascii="Times New Roman" w:cs="Times New Roman" w:eastAsia="Times New Roman" w:hAnsi="Times New Roman"/>
          <w:sz w:val="17"/>
          <w:szCs w:val="17"/>
          <w:b w:val="1"/>
          <w:bCs w:val="1"/>
          <w:color w:val="auto"/>
          <w:highlight w:val="white"/>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Revenues are earned on depository accounts for commercial and retail customers and</w:t>
      </w:r>
      <w:r>
        <w:rPr>
          <w:rFonts w:ascii="Times New Roman" w:cs="Times New Roman" w:eastAsia="Times New Roman" w:hAnsi="Times New Roman"/>
          <w:sz w:val="17"/>
          <w:szCs w:val="17"/>
          <w:color w:val="auto"/>
        </w:rPr>
        <w:t xml:space="preserve"> include fees for transaction-based, account maintenance and overdraft services. Transaction-based fees, which includes services such as ATM use fees, stop payment charges and ACH fees are recognized at the time the transaction is executed as that is the time we fulfill our customer’s request. Account maintenance fees, which includes monthly maintenance services are earned over the course of a month representing the period over which the performance obligation is satisfied. Our obligation for overdraft services is satisfied at the time of the overdraft.</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u w:val="single" w:color="auto"/>
          <w:color w:val="auto"/>
        </w:rPr>
        <w:t>Interchange income</w:t>
      </w:r>
      <w:r>
        <w:rPr>
          <w:rFonts w:ascii="Times New Roman" w:cs="Times New Roman" w:eastAsia="Times New Roman" w:hAnsi="Times New Roman"/>
          <w:sz w:val="17"/>
          <w:szCs w:val="17"/>
          <w:color w:val="auto"/>
          <w:highlight w:val="white"/>
        </w:rPr>
        <w:t>: Interchange income primarily includes debit card interchange and network revenues. Debit card interchange and network revenues are earned</w:t>
      </w:r>
      <w:r>
        <w:rPr>
          <w:rFonts w:ascii="Times New Roman" w:cs="Times New Roman" w:eastAsia="Times New Roman" w:hAnsi="Times New Roman"/>
          <w:sz w:val="17"/>
          <w:szCs w:val="17"/>
          <w:color w:val="auto"/>
        </w:rPr>
        <w:t xml:space="preserve"> on debit card transactions conducted through payment networks such as MasterCard and Accel. Interchange income is recognized concurrently with the delivery of services on a daily basis. Interchange and network revenues are presented gross of interchange expenses, which are presented separately as a component of non-interest expense.</w:t>
      </w:r>
    </w:p>
    <w:p>
      <w:pPr>
        <w:spacing w:after="0" w:line="1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u w:val="single" w:color="auto"/>
          <w:color w:val="auto"/>
        </w:rPr>
        <w:t>Investment and insurance commissions</w:t>
      </w:r>
      <w:r>
        <w:rPr>
          <w:rFonts w:ascii="Times New Roman" w:cs="Times New Roman" w:eastAsia="Times New Roman" w:hAnsi="Times New Roman"/>
          <w:sz w:val="17"/>
          <w:szCs w:val="17"/>
          <w:color w:val="auto"/>
          <w:highlight w:val="white"/>
        </w:rPr>
        <w:t>: Investment and insurance commissions include fees and commissions from asset management, custody, recordkeeping,</w:t>
      </w:r>
      <w:r>
        <w:rPr>
          <w:rFonts w:ascii="Times New Roman" w:cs="Times New Roman" w:eastAsia="Times New Roman" w:hAnsi="Times New Roman"/>
          <w:sz w:val="17"/>
          <w:szCs w:val="17"/>
          <w:color w:val="auto"/>
        </w:rPr>
        <w:t xml:space="preserve"> investment advisory and other services provided to our customers. Revenue is recognized on an accrual basis at the time the services are performed and generally based on either the market value of the assets managed or the services provided. We have an agent relationship with a third party provider of these services and net certain direct costs charged by the third party provider associated with providing these services to our customers.</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Net (gains) losses on other real estate and repossessed assets</w:t>
      </w:r>
      <w:r>
        <w:rPr>
          <w:rFonts w:ascii="Times New Roman" w:cs="Times New Roman" w:eastAsia="Times New Roman" w:hAnsi="Times New Roman"/>
          <w:sz w:val="17"/>
          <w:szCs w:val="17"/>
          <w:color w:val="auto"/>
          <w:highlight w:val="white"/>
        </w:rPr>
        <w:t>: We record a gain or loss from the sale of other real estate when control of the property transfers to the</w:t>
      </w:r>
      <w:r>
        <w:rPr>
          <w:rFonts w:ascii="Times New Roman" w:cs="Times New Roman" w:eastAsia="Times New Roman" w:hAnsi="Times New Roman"/>
          <w:sz w:val="17"/>
          <w:szCs w:val="17"/>
          <w:color w:val="auto"/>
        </w:rPr>
        <w:t xml:space="preserve"> buyer, which generally occurs at the time of an executed deed. If we were to finance the sale of other real estate to the buyer, we would assess whether the buyer is committed to perform their obligations under the contract and whether collectability of the transaction is probable. Once these criteria are met, the other real estate asset would be derecognized and the gain or loss on sale would be recorded upon the transfer of control of the property to the buyer. There were no other real estate properties sold during the nine month periods ending September 30, 2025 and 2024 that were financed by us.</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Three months ending September 30, 2025</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8"/>
        </w:trPr>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Service</w:t>
            </w:r>
          </w:p>
        </w:tc>
        <w:tc>
          <w:tcPr>
            <w:tcW w:w="26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w w:val="98"/>
              </w:rPr>
              <w:t>Other</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Investment</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6"/>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Charges</w:t>
            </w:r>
          </w:p>
        </w:tc>
        <w:tc>
          <w:tcPr>
            <w:tcW w:w="26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Deposit</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7"/>
              </w:rPr>
              <w:t>and</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6"/>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on Deposit</w:t>
            </w:r>
          </w:p>
        </w:tc>
        <w:tc>
          <w:tcPr>
            <w:tcW w:w="26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Related</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9"/>
              </w:rPr>
              <w:t>Interchange</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Insurance</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2"/>
        </w:trPr>
        <w:tc>
          <w:tcPr>
            <w:tcW w:w="40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Accounts</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7"/>
                <w:szCs w:val="17"/>
                <w:color w:val="auto"/>
                <w:w w:val="97"/>
              </w:rPr>
              <w:t>Income</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Income</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Commissions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Total</w:t>
            </w:r>
          </w:p>
        </w:tc>
      </w:tr>
      <w:tr>
        <w:trPr>
          <w:trHeight w:val="232"/>
        </w:trPr>
        <w:tc>
          <w:tcPr>
            <w:tcW w:w="4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1"/>
        </w:trPr>
        <w:tc>
          <w:tcPr>
            <w:tcW w:w="4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Retail</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1"/>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2,333</w:t>
            </w:r>
          </w:p>
        </w:tc>
      </w:tr>
      <w:tr>
        <w:trPr>
          <w:trHeight w:val="239"/>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 service charges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w:t>
            </w:r>
          </w:p>
        </w:tc>
      </w:tr>
      <w:tr>
        <w:trPr>
          <w:trHeight w:val="251"/>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w:t>
            </w:r>
          </w:p>
        </w:tc>
      </w:tr>
      <w:tr>
        <w:trPr>
          <w:trHeight w:val="239"/>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r>
      <w:tr>
        <w:trPr>
          <w:trHeight w:val="251"/>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Business</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39"/>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51"/>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39"/>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51"/>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Interchange income</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4,157</w:t>
            </w:r>
          </w:p>
        </w:tc>
      </w:tr>
      <w:tr>
        <w:trPr>
          <w:trHeight w:val="239"/>
        </w:trPr>
        <w:tc>
          <w:tcPr>
            <w:tcW w:w="4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Asset management revenue</w:t>
            </w:r>
          </w:p>
        </w:tc>
        <w:tc>
          <w:tcPr>
            <w:tcW w:w="2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w:t>
            </w:r>
          </w:p>
        </w:tc>
      </w:tr>
      <w:tr>
        <w:trPr>
          <w:trHeight w:val="251"/>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Transaction based revenue</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r>
      <w:tr>
        <w:trPr>
          <w:trHeight w:val="251"/>
        </w:trPr>
        <w:tc>
          <w:tcPr>
            <w:tcW w:w="40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270"/>
        </w:trPr>
        <w:tc>
          <w:tcPr>
            <w:tcW w:w="4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8,920</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Reconciliation to interim Condensed Consolidated</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3"/>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Statement of Operations: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9"/>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Non-interest income - other:</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1"/>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Other deposit related income</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w:t>
            </w:r>
          </w:p>
        </w:tc>
      </w:tr>
      <w:tr>
        <w:trPr>
          <w:trHeight w:val="239"/>
        </w:trPr>
        <w:tc>
          <w:tcPr>
            <w:tcW w:w="40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Investment and insurance commissions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940</w:t>
            </w:r>
          </w:p>
        </w:tc>
      </w:tr>
      <w:tr>
        <w:trPr>
          <w:trHeight w:val="251"/>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Bank owned life insurance (1)</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w:t>
            </w:r>
          </w:p>
        </w:tc>
      </w:tr>
      <w:tr>
        <w:trPr>
          <w:trHeight w:val="264"/>
        </w:trPr>
        <w:tc>
          <w:tcPr>
            <w:tcW w:w="40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7"/>
                <w:szCs w:val="17"/>
                <w:color w:val="auto"/>
              </w:rPr>
              <w:t>Other (1)</w:t>
            </w:r>
          </w:p>
        </w:tc>
        <w:tc>
          <w:tcPr>
            <w:tcW w:w="2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1,217</w:t>
            </w:r>
          </w:p>
        </w:tc>
      </w:tr>
      <w:tr>
        <w:trPr>
          <w:trHeight w:val="270"/>
        </w:trPr>
        <w:tc>
          <w:tcPr>
            <w:tcW w:w="40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3,137</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Excluded from the scope of ASC Topic 606.</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Three months ending September 30, 2024</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8"/>
        </w:trPr>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Service</w:t>
            </w:r>
          </w:p>
        </w:tc>
        <w:tc>
          <w:tcPr>
            <w:tcW w:w="36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color w:val="auto"/>
                <w:w w:val="98"/>
              </w:rPr>
              <w:t>Other</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Investment</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6"/>
        </w:trPr>
        <w:tc>
          <w:tcPr>
            <w:tcW w:w="3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Charges</w:t>
            </w:r>
          </w:p>
        </w:tc>
        <w:tc>
          <w:tcPr>
            <w:tcW w:w="360" w:type="dxa"/>
            <w:vAlign w:val="bottom"/>
          </w:tcPr>
          <w:p>
            <w:pPr>
              <w:spacing w:after="0"/>
              <w:rPr>
                <w:sz w:val="17"/>
                <w:szCs w:val="17"/>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color w:val="auto"/>
              </w:rPr>
              <w:t>Deposit</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7"/>
              </w:rPr>
              <w:t>and</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6"/>
        </w:trPr>
        <w:tc>
          <w:tcPr>
            <w:tcW w:w="3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on Deposit</w:t>
            </w:r>
          </w:p>
        </w:tc>
        <w:tc>
          <w:tcPr>
            <w:tcW w:w="360" w:type="dxa"/>
            <w:vAlign w:val="bottom"/>
          </w:tcPr>
          <w:p>
            <w:pPr>
              <w:spacing w:after="0"/>
              <w:rPr>
                <w:sz w:val="17"/>
                <w:szCs w:val="17"/>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color w:val="auto"/>
              </w:rPr>
              <w:t>Related</w:t>
            </w:r>
          </w:p>
        </w:tc>
        <w:tc>
          <w:tcPr>
            <w:tcW w:w="18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Interchange</w:t>
            </w:r>
          </w:p>
        </w:tc>
        <w:tc>
          <w:tcPr>
            <w:tcW w:w="20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Insurance</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42"/>
        </w:trPr>
        <w:tc>
          <w:tcPr>
            <w:tcW w:w="35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9"/>
              </w:rPr>
              <w:t>Accounts</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7"/>
                <w:szCs w:val="17"/>
                <w:color w:val="auto"/>
                <w:w w:val="97"/>
              </w:rPr>
              <w:t>Income</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Income</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Commissions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Total</w:t>
            </w:r>
          </w:p>
        </w:tc>
      </w:tr>
      <w:tr>
        <w:trPr>
          <w:trHeight w:val="232"/>
        </w:trPr>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 thousands)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1"/>
        </w:trPr>
        <w:tc>
          <w:tcPr>
            <w:tcW w:w="3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Retail</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1"/>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2,378</w:t>
            </w:r>
          </w:p>
        </w:tc>
      </w:tr>
      <w:tr>
        <w:trPr>
          <w:trHeight w:val="239"/>
        </w:trPr>
        <w:tc>
          <w:tcPr>
            <w:tcW w:w="3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 service charges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w:t>
            </w:r>
          </w:p>
        </w:tc>
      </w:tr>
      <w:tr>
        <w:trPr>
          <w:trHeight w:val="251"/>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w:t>
            </w:r>
          </w:p>
        </w:tc>
      </w:tr>
      <w:tr>
        <w:trPr>
          <w:trHeight w:val="239"/>
        </w:trPr>
        <w:tc>
          <w:tcPr>
            <w:tcW w:w="3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w:t>
            </w:r>
          </w:p>
        </w:tc>
      </w:tr>
      <w:tr>
        <w:trPr>
          <w:trHeight w:val="251"/>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Business</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9"/>
        </w:trPr>
        <w:tc>
          <w:tcPr>
            <w:tcW w:w="3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51"/>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39"/>
        </w:trPr>
        <w:tc>
          <w:tcPr>
            <w:tcW w:w="3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51"/>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Interchange income</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4,146</w:t>
            </w:r>
          </w:p>
        </w:tc>
      </w:tr>
      <w:tr>
        <w:trPr>
          <w:trHeight w:val="239"/>
        </w:trPr>
        <w:tc>
          <w:tcPr>
            <w:tcW w:w="3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Asset management revenue</w:t>
            </w:r>
          </w:p>
        </w:tc>
        <w:tc>
          <w:tcPr>
            <w:tcW w:w="2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w:t>
            </w:r>
          </w:p>
        </w:tc>
      </w:tr>
      <w:tr>
        <w:trPr>
          <w:trHeight w:val="251"/>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Transaction based revenue</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w:t>
            </w:r>
          </w:p>
        </w:tc>
      </w:tr>
      <w:tr>
        <w:trPr>
          <w:trHeight w:val="245"/>
        </w:trPr>
        <w:tc>
          <w:tcPr>
            <w:tcW w:w="35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r>
      <w:tr>
        <w:trPr>
          <w:trHeight w:val="263"/>
        </w:trPr>
        <w:tc>
          <w:tcPr>
            <w:tcW w:w="3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3,085</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4,146</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8,836</w:t>
            </w:r>
          </w:p>
        </w:tc>
      </w:tr>
      <w:tr>
        <w:trPr>
          <w:trHeight w:val="20"/>
        </w:trPr>
        <w:tc>
          <w:tcPr>
            <w:tcW w:w="5040" w:type="dxa"/>
            <w:vAlign w:val="bottom"/>
            <w:tcBorders>
              <w:top w:val="single" w:sz="8" w:color="CCEEFF"/>
            </w:tcBorders>
            <w:gridSpan w:val="3"/>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r>
        <w:trPr>
          <w:trHeight w:val="204"/>
        </w:trPr>
        <w:tc>
          <w:tcPr>
            <w:tcW w:w="35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45"/>
        </w:trPr>
        <w:tc>
          <w:tcPr>
            <w:tcW w:w="54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Reconciliation to interim Condensed Consolidated Statement of Operations:</w:t>
            </w: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9"/>
        </w:trPr>
        <w:tc>
          <w:tcPr>
            <w:tcW w:w="3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Non-interest income - other:</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1"/>
        </w:trPr>
        <w:tc>
          <w:tcPr>
            <w:tcW w:w="3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deposit related income</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w:t>
            </w:r>
          </w:p>
        </w:tc>
      </w:tr>
      <w:tr>
        <w:trPr>
          <w:trHeight w:val="239"/>
        </w:trPr>
        <w:tc>
          <w:tcPr>
            <w:tcW w:w="35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Investment and insurance commissions</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881</w:t>
            </w:r>
          </w:p>
        </w:tc>
      </w:tr>
      <w:tr>
        <w:trPr>
          <w:trHeight w:val="251"/>
        </w:trPr>
        <w:tc>
          <w:tcPr>
            <w:tcW w:w="3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Bank owned life insurance (1)</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r>
      <w:tr>
        <w:trPr>
          <w:trHeight w:val="239"/>
        </w:trPr>
        <w:tc>
          <w:tcPr>
            <w:tcW w:w="35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 (1)</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1,581</w:t>
            </w:r>
          </w:p>
        </w:tc>
      </w:tr>
      <w:tr>
        <w:trPr>
          <w:trHeight w:val="269"/>
        </w:trPr>
        <w:tc>
          <w:tcPr>
            <w:tcW w:w="35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3,383</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Excluded from the scope of ASC Topic 606.</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7"/>
              </w:rPr>
              <w:t>Service</w:t>
            </w:r>
          </w:p>
        </w:tc>
        <w:tc>
          <w:tcPr>
            <w:tcW w:w="380" w:type="dxa"/>
            <w:vAlign w:val="bottom"/>
          </w:tcPr>
          <w:p>
            <w:pPr>
              <w:spacing w:after="0"/>
              <w:rPr>
                <w:sz w:val="17"/>
                <w:szCs w:val="17"/>
                <w:color w:val="auto"/>
              </w:rPr>
            </w:pPr>
          </w:p>
        </w:tc>
        <w:tc>
          <w:tcPr>
            <w:tcW w:w="118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w w:val="98"/>
              </w:rPr>
              <w:t>Other</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Investment</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Charges</w:t>
            </w:r>
          </w:p>
        </w:tc>
        <w:tc>
          <w:tcPr>
            <w:tcW w:w="380" w:type="dxa"/>
            <w:vAlign w:val="bottom"/>
          </w:tcPr>
          <w:p>
            <w:pPr>
              <w:spacing w:after="0"/>
              <w:rPr>
                <w:sz w:val="17"/>
                <w:szCs w:val="17"/>
                <w:color w:val="auto"/>
              </w:rPr>
            </w:pPr>
          </w:p>
        </w:tc>
        <w:tc>
          <w:tcPr>
            <w:tcW w:w="118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Deposit</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and</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9"/>
              </w:rPr>
              <w:t>on Deposit</w:t>
            </w:r>
          </w:p>
        </w:tc>
        <w:tc>
          <w:tcPr>
            <w:tcW w:w="380" w:type="dxa"/>
            <w:vAlign w:val="bottom"/>
          </w:tcPr>
          <w:p>
            <w:pPr>
              <w:spacing w:after="0"/>
              <w:rPr>
                <w:sz w:val="17"/>
                <w:szCs w:val="17"/>
                <w:color w:val="auto"/>
              </w:rPr>
            </w:pPr>
          </w:p>
        </w:tc>
        <w:tc>
          <w:tcPr>
            <w:tcW w:w="118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Related</w:t>
            </w:r>
          </w:p>
        </w:tc>
        <w:tc>
          <w:tcPr>
            <w:tcW w:w="18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Interchange</w:t>
            </w: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9"/>
              </w:rPr>
              <w:t>Insurance</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2"/>
        </w:trPr>
        <w:tc>
          <w:tcPr>
            <w:tcW w:w="35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Accounts</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7"/>
                <w:szCs w:val="17"/>
                <w:color w:val="auto"/>
                <w:w w:val="97"/>
              </w:rPr>
              <w:t>Income</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Income</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Commissions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Total</w:t>
            </w:r>
          </w:p>
        </w:tc>
      </w:t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Nine months ending September 30, 2025</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 thousands)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3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Retail</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6,634</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 service charges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1,951</w:t>
            </w: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1,169</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Business</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w:t>
            </w: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Interchange income</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10,674</w:t>
            </w:r>
          </w:p>
        </w:tc>
      </w:tr>
      <w:tr>
        <w:trPr>
          <w:trHeight w:val="239"/>
        </w:trPr>
        <w:tc>
          <w:tcPr>
            <w:tcW w:w="3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Asset management revenue</w:t>
            </w:r>
          </w:p>
        </w:tc>
        <w:tc>
          <w:tcPr>
            <w:tcW w:w="2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1,214</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Transaction based revenue</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w:t>
            </w:r>
          </w:p>
        </w:tc>
      </w:tr>
      <w:tr>
        <w:trPr>
          <w:trHeight w:val="245"/>
        </w:trPr>
        <w:tc>
          <w:tcPr>
            <w:tcW w:w="35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263"/>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8,926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2,504</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24,141</w:t>
            </w:r>
          </w:p>
        </w:tc>
      </w:tr>
      <w:tr>
        <w:trPr>
          <w:trHeight w:val="20"/>
        </w:trPr>
        <w:tc>
          <w:tcPr>
            <w:tcW w:w="4960" w:type="dxa"/>
            <w:vAlign w:val="bottom"/>
            <w:tcBorders>
              <w:top w:val="single" w:sz="8" w:color="CCEEFF"/>
            </w:tcBorders>
            <w:gridSpan w:val="3"/>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217"/>
        </w:trPr>
        <w:tc>
          <w:tcPr>
            <w:tcW w:w="35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8"/>
        </w:trPr>
        <w:tc>
          <w:tcPr>
            <w:tcW w:w="5440" w:type="dxa"/>
            <w:vAlign w:val="bottom"/>
            <w:tcBorders>
              <w:bottom w:val="single" w:sz="8" w:color="CCEEFF"/>
            </w:tcBorders>
            <w:gridSpan w:val="5"/>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Reconciliation to interim Condensed Consolidated Statement of Operations:</w:t>
            </w: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Non-interest income - other:</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deposit related income</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2,037</w:t>
            </w:r>
          </w:p>
        </w:tc>
      </w:tr>
      <w:tr>
        <w:trPr>
          <w:trHeight w:val="252"/>
        </w:trPr>
        <w:tc>
          <w:tcPr>
            <w:tcW w:w="35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Investment and insurance commissions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2,504</w:t>
            </w:r>
          </w:p>
        </w:tc>
      </w:tr>
      <w:tr>
        <w:trPr>
          <w:trHeight w:val="264"/>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Bank owned life insurance (1)</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w:t>
            </w:r>
          </w:p>
        </w:tc>
      </w:tr>
      <w:tr>
        <w:trPr>
          <w:trHeight w:val="265"/>
        </w:trPr>
        <w:tc>
          <w:tcPr>
            <w:tcW w:w="35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 (1)</w:t>
            </w:r>
          </w:p>
        </w:tc>
        <w:tc>
          <w:tcPr>
            <w:tcW w:w="220" w:type="dxa"/>
            <w:vAlign w:val="bottom"/>
            <w:tcBorders>
              <w:bottom w:val="single" w:sz="8" w:color="CCEEFF"/>
            </w:tcBorders>
          </w:tcPr>
          <w:p>
            <w:pPr>
              <w:spacing w:after="0"/>
              <w:rPr>
                <w:sz w:val="23"/>
                <w:szCs w:val="23"/>
                <w:color w:val="auto"/>
              </w:rPr>
            </w:pPr>
          </w:p>
        </w:tc>
        <w:tc>
          <w:tcPr>
            <w:tcW w:w="12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30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30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3,683</w:t>
            </w:r>
          </w:p>
        </w:tc>
      </w:tr>
      <w:tr>
        <w:trPr>
          <w:trHeight w:val="269"/>
        </w:trPr>
        <w:tc>
          <w:tcPr>
            <w:tcW w:w="35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9,105</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Excluded from the scope of ASC Topic 606.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7"/>
              </w:rPr>
              <w:t>Service</w:t>
            </w:r>
          </w:p>
        </w:tc>
        <w:tc>
          <w:tcPr>
            <w:tcW w:w="380" w:type="dxa"/>
            <w:vAlign w:val="bottom"/>
          </w:tcPr>
          <w:p>
            <w:pPr>
              <w:spacing w:after="0"/>
              <w:rPr>
                <w:sz w:val="17"/>
                <w:szCs w:val="17"/>
                <w:color w:val="auto"/>
              </w:rPr>
            </w:pPr>
          </w:p>
        </w:tc>
        <w:tc>
          <w:tcPr>
            <w:tcW w:w="118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w w:val="98"/>
              </w:rPr>
              <w:t>Other</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Investment</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Charges</w:t>
            </w:r>
          </w:p>
        </w:tc>
        <w:tc>
          <w:tcPr>
            <w:tcW w:w="380" w:type="dxa"/>
            <w:vAlign w:val="bottom"/>
          </w:tcPr>
          <w:p>
            <w:pPr>
              <w:spacing w:after="0"/>
              <w:rPr>
                <w:sz w:val="17"/>
                <w:szCs w:val="17"/>
                <w:color w:val="auto"/>
              </w:rPr>
            </w:pPr>
          </w:p>
        </w:tc>
        <w:tc>
          <w:tcPr>
            <w:tcW w:w="118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Deposit</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and</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3"/>
        </w:trPr>
        <w:tc>
          <w:tcPr>
            <w:tcW w:w="3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9"/>
              </w:rPr>
              <w:t>on Deposit</w:t>
            </w:r>
          </w:p>
        </w:tc>
        <w:tc>
          <w:tcPr>
            <w:tcW w:w="380" w:type="dxa"/>
            <w:vAlign w:val="bottom"/>
          </w:tcPr>
          <w:p>
            <w:pPr>
              <w:spacing w:after="0"/>
              <w:rPr>
                <w:sz w:val="19"/>
                <w:szCs w:val="19"/>
                <w:color w:val="auto"/>
              </w:rPr>
            </w:pPr>
          </w:p>
        </w:tc>
        <w:tc>
          <w:tcPr>
            <w:tcW w:w="118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Related</w:t>
            </w:r>
          </w:p>
        </w:tc>
        <w:tc>
          <w:tcPr>
            <w:tcW w:w="18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Interchange</w:t>
            </w:r>
          </w:p>
        </w:tc>
        <w:tc>
          <w:tcPr>
            <w:tcW w:w="20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9"/>
              </w:rPr>
              <w:t>Insurance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8"/>
        </w:trPr>
        <w:tc>
          <w:tcPr>
            <w:tcW w:w="3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Accounts</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7"/>
                <w:szCs w:val="17"/>
                <w:color w:val="auto"/>
                <w:w w:val="97"/>
              </w:rPr>
              <w:t>Income</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Income</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Commissions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Total</w:t>
            </w:r>
          </w:p>
        </w:tc>
      </w:t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Nine months ending September 30, 2024</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 thousands)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3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Retail</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6,788</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 service charges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1,787</w:t>
            </w: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1,225</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Business</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w:t>
            </w: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Interchange income</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10,698</w:t>
            </w:r>
          </w:p>
        </w:tc>
      </w:tr>
      <w:tr>
        <w:trPr>
          <w:trHeight w:val="239"/>
        </w:trPr>
        <w:tc>
          <w:tcPr>
            <w:tcW w:w="3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Asset management revenue</w:t>
            </w:r>
          </w:p>
        </w:tc>
        <w:tc>
          <w:tcPr>
            <w:tcW w:w="2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1,448</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Transaction based revenue</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w:t>
            </w:r>
          </w:p>
        </w:tc>
      </w:tr>
      <w:tr>
        <w:trPr>
          <w:trHeight w:val="251"/>
        </w:trPr>
        <w:tc>
          <w:tcPr>
            <w:tcW w:w="35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27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10,698</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2,523</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24,307</w:t>
            </w:r>
          </w:p>
        </w:tc>
      </w:tr>
      <w:tr>
        <w:trPr>
          <w:trHeight w:val="20"/>
        </w:trPr>
        <w:tc>
          <w:tcPr>
            <w:tcW w:w="4960" w:type="dxa"/>
            <w:vAlign w:val="bottom"/>
            <w:tcBorders>
              <w:top w:val="single" w:sz="8" w:color="CCEEFF"/>
            </w:tcBorders>
            <w:gridSpan w:val="3"/>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217"/>
        </w:trPr>
        <w:tc>
          <w:tcPr>
            <w:tcW w:w="35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8"/>
        </w:trPr>
        <w:tc>
          <w:tcPr>
            <w:tcW w:w="5440" w:type="dxa"/>
            <w:vAlign w:val="bottom"/>
            <w:tcBorders>
              <w:bottom w:val="single" w:sz="8" w:color="CCEEFF"/>
            </w:tcBorders>
            <w:gridSpan w:val="5"/>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Reconciliation to interim Condensed Consolidated Statement of Operations:</w:t>
            </w: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Non-interest income - other:</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deposit related income</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2,192</w:t>
            </w:r>
          </w:p>
        </w:tc>
      </w:tr>
      <w:tr>
        <w:trPr>
          <w:trHeight w:val="252"/>
        </w:trPr>
        <w:tc>
          <w:tcPr>
            <w:tcW w:w="35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Investment and insurance commissions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2,523</w:t>
            </w:r>
          </w:p>
        </w:tc>
      </w:tr>
      <w:tr>
        <w:trPr>
          <w:trHeight w:val="25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Bank owned life insurance (1)</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w:t>
            </w:r>
          </w:p>
        </w:tc>
      </w:tr>
      <w:tr>
        <w:trPr>
          <w:trHeight w:val="264"/>
        </w:trPr>
        <w:tc>
          <w:tcPr>
            <w:tcW w:w="35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 (1)</w:t>
            </w:r>
          </w:p>
        </w:tc>
        <w:tc>
          <w:tcPr>
            <w:tcW w:w="2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3,537</w:t>
            </w:r>
          </w:p>
        </w:tc>
      </w:tr>
      <w:tr>
        <w:trPr>
          <w:trHeight w:val="270"/>
        </w:trPr>
        <w:tc>
          <w:tcPr>
            <w:tcW w:w="35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8,818</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Excluded from the scope of ASC Topic 606.</w:t>
      </w:r>
    </w:p>
    <w:p>
      <w:pPr>
        <w:spacing w:after="0" w:line="191" w:lineRule="exact"/>
        <w:rPr>
          <w:sz w:val="20"/>
          <w:szCs w:val="20"/>
          <w:color w:val="auto"/>
        </w:rPr>
      </w:pPr>
    </w:p>
    <w:p>
      <w:pPr>
        <w:ind w:left="380" w:hanging="377"/>
        <w:spacing w:after="0"/>
        <w:tabs>
          <w:tab w:leader="none" w:pos="3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Leases</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have entered into leases in the normal course of business primarily for office facilities, some of which include renewal options and escalation clauses. Certain leases also include both lease components (fixed payments including rent, taxes and insurance costs) and non-lease components (common area or other maintenance costs) which are accounted for as a single lease component as we have elected the practical expedient to group lease and non-lease components together for all leases. We have also elected not to recognize leases with original lease terms of 12 months or less (short-term leases) on our interim Condensed Consolidated Statements of Financial Condition. Most of our leases include one or more options to renew. The exercise of lease renewal options is typically at our sole discretion and are included in our right of use (“ROU”) assets and lease liabilities if they are reasonably certain of exercise.</w:t>
      </w:r>
    </w:p>
    <w:p>
      <w:pPr>
        <w:spacing w:after="0" w:line="13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Leases are classified as operating or finance leases at the lease commencement date (we did not have any finance leases as of September 30, 2025 and December 31, 2024). Lease expense for operating leases and short-term leases is recognized on a straight-line basis over the lease term. The ROU assets represent our right to use an underlying asset for the lease term and lease liabilities represent our obligation to make lease payments arising from the lease. ROU assets and lease liabilities are recognized at the lease commencement date based on the estimated present value of the lease payment over the lease term.</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As most of our leases do not provide an implicit rate, we use our incremental borrowing rate based on the information available at the lease commencement date in determining the present value of the lease payments.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The cost components of our operating leases follows:</w:t>
            </w: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09"/>
        </w:trPr>
        <w:tc>
          <w:tcPr>
            <w:tcW w:w="5040" w:type="dxa"/>
            <w:vAlign w:val="bottom"/>
          </w:tcPr>
          <w:p>
            <w:pPr>
              <w:spacing w:after="0"/>
              <w:rPr>
                <w:sz w:val="24"/>
                <w:szCs w:val="24"/>
                <w:color w:val="auto"/>
              </w:rPr>
            </w:pPr>
          </w:p>
        </w:tc>
        <w:tc>
          <w:tcPr>
            <w:tcW w:w="2620" w:type="dxa"/>
            <w:vAlign w:val="bottom"/>
            <w:gridSpan w:val="4"/>
          </w:tcPr>
          <w:p>
            <w:pPr>
              <w:jc w:val="center"/>
              <w:ind w:left="354"/>
              <w:spacing w:after="0"/>
              <w:rPr>
                <w:sz w:val="20"/>
                <w:szCs w:val="20"/>
                <w:color w:val="auto"/>
              </w:rPr>
            </w:pPr>
            <w:r>
              <w:rPr>
                <w:rFonts w:ascii="Times New Roman" w:cs="Times New Roman" w:eastAsia="Times New Roman" w:hAnsi="Times New Roman"/>
                <w:sz w:val="17"/>
                <w:szCs w:val="17"/>
                <w:color w:val="auto"/>
              </w:rPr>
              <w:t>Three Months Ended</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center"/>
              <w:ind w:right="254"/>
              <w:spacing w:after="0"/>
              <w:rPr>
                <w:sz w:val="20"/>
                <w:szCs w:val="20"/>
                <w:color w:val="auto"/>
              </w:rPr>
            </w:pPr>
            <w:r>
              <w:rPr>
                <w:rFonts w:ascii="Times New Roman" w:cs="Times New Roman" w:eastAsia="Times New Roman" w:hAnsi="Times New Roman"/>
                <w:sz w:val="17"/>
                <w:szCs w:val="17"/>
                <w:color w:val="auto"/>
              </w:rPr>
              <w:t>Nine Months Ended</w:t>
            </w:r>
          </w:p>
        </w:tc>
      </w:tr>
      <w:tr>
        <w:trPr>
          <w:trHeight w:val="223"/>
        </w:trPr>
        <w:tc>
          <w:tcPr>
            <w:tcW w:w="5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40" w:type="dxa"/>
            <w:vAlign w:val="bottom"/>
            <w:gridSpan w:val="3"/>
          </w:tcPr>
          <w:p>
            <w:pPr>
              <w:jc w:val="center"/>
              <w:ind w:right="454"/>
              <w:spacing w:after="0"/>
              <w:rPr>
                <w:sz w:val="20"/>
                <w:szCs w:val="20"/>
                <w:color w:val="auto"/>
              </w:rPr>
            </w:pPr>
            <w:r>
              <w:rPr>
                <w:rFonts w:ascii="Times New Roman" w:cs="Times New Roman" w:eastAsia="Times New Roman" w:hAnsi="Times New Roman"/>
                <w:sz w:val="17"/>
                <w:szCs w:val="17"/>
                <w:color w:val="auto"/>
                <w:w w:val="99"/>
              </w:rPr>
              <w:t>September 30,</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gridSpan w:val="3"/>
          </w:tcPr>
          <w:p>
            <w:pPr>
              <w:jc w:val="center"/>
              <w:ind w:left="554"/>
              <w:spacing w:after="0"/>
              <w:rPr>
                <w:sz w:val="20"/>
                <w:szCs w:val="20"/>
                <w:color w:val="auto"/>
              </w:rPr>
            </w:pPr>
            <w:r>
              <w:rPr>
                <w:rFonts w:ascii="Times New Roman" w:cs="Times New Roman" w:eastAsia="Times New Roman" w:hAnsi="Times New Roman"/>
                <w:sz w:val="17"/>
                <w:szCs w:val="17"/>
                <w:color w:val="auto"/>
              </w:rPr>
              <w:t>September 30,</w:t>
            </w:r>
          </w:p>
        </w:tc>
        <w:tc>
          <w:tcPr>
            <w:tcW w:w="960" w:type="dxa"/>
            <w:vAlign w:val="bottom"/>
          </w:tcPr>
          <w:p>
            <w:pPr>
              <w:spacing w:after="0"/>
              <w:rPr>
                <w:sz w:val="19"/>
                <w:szCs w:val="19"/>
                <w:color w:val="auto"/>
              </w:rPr>
            </w:pPr>
          </w:p>
        </w:tc>
      </w:tr>
      <w:tr>
        <w:trPr>
          <w:trHeight w:val="264"/>
        </w:trPr>
        <w:tc>
          <w:tcPr>
            <w:tcW w:w="504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2024</w:t>
            </w:r>
          </w:p>
        </w:tc>
        <w:tc>
          <w:tcPr>
            <w:tcW w:w="4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r>
      <w:tr>
        <w:trPr>
          <w:trHeight w:val="238"/>
        </w:trPr>
        <w:tc>
          <w:tcPr>
            <w:tcW w:w="5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40" w:type="dxa"/>
            <w:vAlign w:val="bottom"/>
            <w:gridSpan w:val="3"/>
          </w:tcPr>
          <w:p>
            <w:pPr>
              <w:jc w:val="center"/>
              <w:ind w:right="454"/>
              <w:spacing w:after="0"/>
              <w:rPr>
                <w:sz w:val="20"/>
                <w:szCs w:val="20"/>
                <w:color w:val="auto"/>
              </w:rPr>
            </w:pPr>
            <w:r>
              <w:rPr>
                <w:rFonts w:ascii="Times New Roman" w:cs="Times New Roman" w:eastAsia="Times New Roman" w:hAnsi="Times New Roman"/>
                <w:sz w:val="17"/>
                <w:szCs w:val="17"/>
                <w:color w:val="auto"/>
              </w:rPr>
              <w:t>(In thousands)</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center"/>
              <w:ind w:left="554"/>
              <w:spacing w:after="0"/>
              <w:rPr>
                <w:sz w:val="20"/>
                <w:szCs w:val="20"/>
                <w:color w:val="auto"/>
              </w:rPr>
            </w:pPr>
            <w:r>
              <w:rPr>
                <w:rFonts w:ascii="Times New Roman" w:cs="Times New Roman" w:eastAsia="Times New Roman" w:hAnsi="Times New Roman"/>
                <w:sz w:val="17"/>
                <w:szCs w:val="17"/>
                <w:color w:val="auto"/>
              </w:rPr>
              <w:t>(In thousands)</w:t>
            </w:r>
          </w:p>
        </w:tc>
        <w:tc>
          <w:tcPr>
            <w:tcW w:w="960" w:type="dxa"/>
            <w:vAlign w:val="bottom"/>
          </w:tcPr>
          <w:p>
            <w:pPr>
              <w:spacing w:after="0"/>
              <w:rPr>
                <w:sz w:val="20"/>
                <w:szCs w:val="20"/>
                <w:color w:val="auto"/>
              </w:rPr>
            </w:pPr>
          </w:p>
        </w:tc>
      </w:tr>
      <w:tr>
        <w:trPr>
          <w:trHeight w:val="25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98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w:t>
            </w:r>
          </w:p>
        </w:tc>
      </w:tr>
      <w:tr>
        <w:trPr>
          <w:trHeight w:val="23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Variable lease cost</w:t>
            </w: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4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9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44"/>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98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100" w:type="dxa"/>
            <w:vAlign w:val="bottom"/>
          </w:tcPr>
          <w:p>
            <w:pPr>
              <w:spacing w:after="0"/>
              <w:rPr>
                <w:sz w:val="21"/>
                <w:szCs w:val="21"/>
                <w:color w:val="auto"/>
              </w:rPr>
            </w:pPr>
          </w:p>
        </w:tc>
        <w:tc>
          <w:tcPr>
            <w:tcW w:w="104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1,104</w:t>
            </w:r>
          </w:p>
        </w:tc>
        <w:tc>
          <w:tcPr>
            <w:tcW w:w="80" w:type="dxa"/>
            <w:vAlign w:val="bottom"/>
          </w:tcPr>
          <w:p>
            <w:pPr>
              <w:spacing w:after="0"/>
              <w:rPr>
                <w:sz w:val="21"/>
                <w:szCs w:val="21"/>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1,146</w:t>
            </w:r>
          </w:p>
        </w:tc>
      </w:tr>
      <w:tr>
        <w:trPr>
          <w:trHeight w:val="20"/>
        </w:trPr>
        <w:tc>
          <w:tcPr>
            <w:tcW w:w="5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Variable lease costs consist primarily of taxes, insurance, and common area or other maintenance costs for our leased facilities.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40" w:type="dxa"/>
            <w:vAlign w:val="bottom"/>
          </w:tcPr>
          <w:p>
            <w:pPr>
              <w:spacing w:after="0"/>
              <w:rPr>
                <w:sz w:val="20"/>
                <w:szCs w:val="20"/>
                <w:color w:val="auto"/>
              </w:rPr>
            </w:pPr>
            <w:r>
              <w:rPr>
                <w:rFonts w:ascii="Times New Roman" w:cs="Times New Roman" w:eastAsia="Times New Roman" w:hAnsi="Times New Roman"/>
                <w:sz w:val="17"/>
                <w:szCs w:val="17"/>
                <w:color w:val="auto"/>
              </w:rPr>
              <w:t>Supplemental balance sheet information related to our operating leases follows:</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73"/>
        </w:trPr>
        <w:tc>
          <w:tcPr>
            <w:tcW w:w="7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September 30,</w:t>
            </w:r>
          </w:p>
        </w:tc>
        <w:tc>
          <w:tcPr>
            <w:tcW w:w="200" w:type="dxa"/>
            <w:vAlign w:val="bottom"/>
          </w:tcPr>
          <w:p>
            <w:pPr>
              <w:spacing w:after="0"/>
              <w:rPr>
                <w:sz w:val="24"/>
                <w:szCs w:val="24"/>
                <w:color w:val="auto"/>
              </w:rPr>
            </w:pPr>
          </w:p>
        </w:tc>
        <w:tc>
          <w:tcPr>
            <w:tcW w:w="140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December 31,</w:t>
            </w:r>
          </w:p>
        </w:tc>
      </w:tr>
      <w:tr>
        <w:trPr>
          <w:trHeight w:val="238"/>
        </w:trPr>
        <w:tc>
          <w:tcPr>
            <w:tcW w:w="7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2024</w:t>
            </w:r>
          </w:p>
        </w:tc>
      </w:tr>
      <w:tr>
        <w:trPr>
          <w:trHeight w:val="219"/>
        </w:trPr>
        <w:tc>
          <w:tcPr>
            <w:tcW w:w="7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4"/>
          </w:tcPr>
          <w:p>
            <w:pPr>
              <w:jc w:val="right"/>
              <w:ind w:right="794"/>
              <w:spacing w:after="0"/>
              <w:rPr>
                <w:sz w:val="20"/>
                <w:szCs w:val="20"/>
                <w:color w:val="auto"/>
              </w:rPr>
            </w:pPr>
            <w:r>
              <w:rPr>
                <w:rFonts w:ascii="Times New Roman" w:cs="Times New Roman" w:eastAsia="Times New Roman" w:hAnsi="Times New Roman"/>
                <w:sz w:val="17"/>
                <w:szCs w:val="17"/>
                <w:color w:val="auto"/>
              </w:rPr>
              <w:t>(Dollars in thousands)</w:t>
            </w:r>
          </w:p>
        </w:tc>
      </w:tr>
      <w:tr>
        <w:trPr>
          <w:trHeight w:val="27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right of use asset (1)</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6,473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5,971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liabilities (2)</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6,717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6,338</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4"/>
        </w:trPr>
        <w:tc>
          <w:tcPr>
            <w:tcW w:w="7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5"/>
        </w:trPr>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remaining lease term (years)</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6.97</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7.07</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6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3.7 %</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left="300" w:hanging="297"/>
        <w:spacing w:after="0"/>
        <w:tabs>
          <w:tab w:leader="none" w:pos="3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Accrued income and other assets in our interim Condensed Consolidated Statements of Financial Condition.</w:t>
      </w:r>
    </w:p>
    <w:p>
      <w:pPr>
        <w:spacing w:after="0" w:line="2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Accrued expenses and other liabilities in our interim Condensed Consolidated Statements of Financial Condition.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Maturity analysis of our lease liabilities at September 30, 2025 based on required contractual payments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0" w:type="dxa"/>
            <w:vAlign w:val="bottom"/>
          </w:tcPr>
          <w:p>
            <w:pPr>
              <w:spacing w:after="0"/>
              <w:rPr>
                <w:sz w:val="1"/>
                <w:szCs w:val="1"/>
                <w:color w:val="auto"/>
              </w:rPr>
            </w:pPr>
          </w:p>
        </w:tc>
      </w:tr>
      <w:tr>
        <w:trPr>
          <w:trHeight w:val="283"/>
        </w:trPr>
        <w:tc>
          <w:tcPr>
            <w:tcW w:w="428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Three months ending December 31, 2025</w:t>
            </w:r>
          </w:p>
        </w:tc>
        <w:tc>
          <w:tcPr>
            <w:tcW w:w="5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0" w:type="dxa"/>
            <w:vAlign w:val="bottom"/>
          </w:tcPr>
          <w:p>
            <w:pPr>
              <w:spacing w:after="0"/>
              <w:rPr>
                <w:sz w:val="1"/>
                <w:szCs w:val="1"/>
                <w:color w:val="auto"/>
              </w:rPr>
            </w:pPr>
          </w:p>
        </w:tc>
      </w:tr>
      <w:tr>
        <w:trPr>
          <w:trHeight w:val="239"/>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5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1,310</w:t>
            </w:r>
          </w:p>
        </w:tc>
        <w:tc>
          <w:tcPr>
            <w:tcW w:w="0" w:type="dxa"/>
            <w:vAlign w:val="bottom"/>
          </w:tcPr>
          <w:p>
            <w:pPr>
              <w:spacing w:after="0"/>
              <w:rPr>
                <w:sz w:val="1"/>
                <w:szCs w:val="1"/>
                <w:color w:val="auto"/>
              </w:rPr>
            </w:pPr>
          </w:p>
        </w:tc>
      </w:tr>
      <w:tr>
        <w:trPr>
          <w:trHeight w:val="25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5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1,166</w:t>
            </w:r>
          </w:p>
        </w:tc>
        <w:tc>
          <w:tcPr>
            <w:tcW w:w="0" w:type="dxa"/>
            <w:vAlign w:val="bottom"/>
          </w:tcPr>
          <w:p>
            <w:pPr>
              <w:spacing w:after="0"/>
              <w:rPr>
                <w:sz w:val="1"/>
                <w:szCs w:val="1"/>
                <w:color w:val="auto"/>
              </w:rPr>
            </w:pPr>
          </w:p>
        </w:tc>
      </w:tr>
      <w:tr>
        <w:trPr>
          <w:trHeight w:val="239"/>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5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w:t>
            </w:r>
          </w:p>
        </w:tc>
        <w:tc>
          <w:tcPr>
            <w:tcW w:w="0" w:type="dxa"/>
            <w:vAlign w:val="bottom"/>
          </w:tcPr>
          <w:p>
            <w:pPr>
              <w:spacing w:after="0"/>
              <w:rPr>
                <w:sz w:val="1"/>
                <w:szCs w:val="1"/>
                <w:color w:val="auto"/>
              </w:rPr>
            </w:pPr>
          </w:p>
        </w:tc>
      </w:tr>
      <w:tr>
        <w:trPr>
          <w:trHeight w:val="25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5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1,112</w:t>
            </w:r>
          </w:p>
        </w:tc>
        <w:tc>
          <w:tcPr>
            <w:tcW w:w="0" w:type="dxa"/>
            <w:vAlign w:val="bottom"/>
          </w:tcPr>
          <w:p>
            <w:pPr>
              <w:spacing w:after="0"/>
              <w:rPr>
                <w:sz w:val="1"/>
                <w:szCs w:val="1"/>
                <w:color w:val="auto"/>
              </w:rPr>
            </w:pPr>
          </w:p>
        </w:tc>
      </w:tr>
      <w:tr>
        <w:trPr>
          <w:trHeight w:val="23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2030 and thereafter</w:t>
            </w:r>
          </w:p>
        </w:tc>
        <w:tc>
          <w:tcPr>
            <w:tcW w:w="54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2,844</w:t>
            </w:r>
          </w:p>
        </w:tc>
        <w:tc>
          <w:tcPr>
            <w:tcW w:w="0" w:type="dxa"/>
            <w:vAlign w:val="bottom"/>
          </w:tcPr>
          <w:p>
            <w:pPr>
              <w:spacing w:after="0"/>
              <w:rPr>
                <w:sz w:val="1"/>
                <w:szCs w:val="1"/>
                <w:color w:val="auto"/>
              </w:rPr>
            </w:pPr>
          </w:p>
        </w:tc>
      </w:tr>
      <w:tr>
        <w:trPr>
          <w:trHeight w:val="244"/>
        </w:trPr>
        <w:tc>
          <w:tcPr>
            <w:tcW w:w="4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lease payments</w:t>
            </w:r>
          </w:p>
        </w:tc>
        <w:tc>
          <w:tcPr>
            <w:tcW w:w="5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7,885</w:t>
            </w:r>
          </w:p>
        </w:tc>
        <w:tc>
          <w:tcPr>
            <w:tcW w:w="0" w:type="dxa"/>
            <w:vAlign w:val="bottom"/>
          </w:tcPr>
          <w:p>
            <w:pPr>
              <w:spacing w:after="0"/>
              <w:rPr>
                <w:sz w:val="1"/>
                <w:szCs w:val="1"/>
                <w:color w:val="auto"/>
              </w:rPr>
            </w:pPr>
          </w:p>
        </w:tc>
      </w:tr>
      <w:tr>
        <w:trPr>
          <w:trHeight w:val="251"/>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54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(1,168)</w:t>
            </w:r>
          </w:p>
        </w:tc>
        <w:tc>
          <w:tcPr>
            <w:tcW w:w="0" w:type="dxa"/>
            <w:vAlign w:val="bottom"/>
          </w:tcPr>
          <w:p>
            <w:pPr>
              <w:spacing w:after="0"/>
              <w:rPr>
                <w:sz w:val="1"/>
                <w:szCs w:val="1"/>
                <w:color w:val="auto"/>
              </w:rPr>
            </w:pPr>
          </w:p>
        </w:tc>
      </w:tr>
      <w:tr>
        <w:trPr>
          <w:trHeight w:val="265"/>
        </w:trPr>
        <w:tc>
          <w:tcPr>
            <w:tcW w:w="4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5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6,717</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bottom w:val="single" w:sz="8" w:color="CCEEFF"/>
            </w:tcBorders>
            <w:vMerge w:val="restart"/>
          </w:tcPr>
          <w:p>
            <w:pPr>
              <w:jc w:val="right"/>
              <w:ind w:right="3814"/>
              <w:spacing w:after="0"/>
              <w:rPr>
                <w:sz w:val="20"/>
                <w:szCs w:val="20"/>
                <w:color w:val="auto"/>
              </w:rPr>
            </w:pPr>
            <w:r>
              <w:rPr>
                <w:rFonts w:ascii="Times New Roman" w:cs="Times New Roman" w:eastAsia="Times New Roman" w:hAnsi="Times New Roman"/>
                <w:sz w:val="17"/>
                <w:szCs w:val="17"/>
                <w:color w:val="auto"/>
              </w:rPr>
              <w:t>63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4280" w:type="dxa"/>
            <w:vAlign w:val="bottom"/>
          </w:tcPr>
          <w:p>
            <w:pPr>
              <w:spacing w:after="0"/>
              <w:rPr>
                <w:sz w:val="24"/>
                <w:szCs w:val="24"/>
                <w:color w:val="auto"/>
              </w:rPr>
            </w:pPr>
          </w:p>
        </w:tc>
        <w:tc>
          <w:tcPr>
            <w:tcW w:w="54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280" w:type="dxa"/>
            <w:vAlign w:val="bottom"/>
            <w:tcBorders>
              <w:bottom w:val="single" w:sz="8" w:color="9A9A9A"/>
            </w:tcBorders>
          </w:tcPr>
          <w:p>
            <w:pPr>
              <w:spacing w:after="0"/>
              <w:rPr>
                <w:sz w:val="9"/>
                <w:szCs w:val="9"/>
                <w:color w:val="auto"/>
              </w:rPr>
            </w:pPr>
          </w:p>
        </w:tc>
        <w:tc>
          <w:tcPr>
            <w:tcW w:w="54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342" w:lineRule="exact"/>
        <w:rPr>
          <w:sz w:val="20"/>
          <w:szCs w:val="20"/>
          <w:color w:val="auto"/>
        </w:rPr>
      </w:pPr>
    </w:p>
    <w:p>
      <w:pPr>
        <w:ind w:left="380" w:hanging="377"/>
        <w:spacing w:after="0"/>
        <w:tabs>
          <w:tab w:leader="none" w:pos="3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Segment Reporting</w:t>
      </w:r>
    </w:p>
    <w:p>
      <w:pPr>
        <w:spacing w:after="0" w:line="2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Independent Bank Corporation is a bank holding company, whose principal activity is the ownership and management of its wholly-owned subsidiaries, including Independent Bank. As a community-oriented financial institution, substantially all of our operations involve the delivery of loan and deposit products to customers.</w:t>
      </w:r>
    </w:p>
    <w:p>
      <w:pPr>
        <w:spacing w:after="0" w:line="15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have one reportable segment which is determined by the Chief Executive Officer, who is the designated chief operating decision maker, based upon information provided about the products and services we offer, primarily banking operations. The segment is also distinguished by the level of information provided to the chief operating decision maker, who uses such information to review performance of various components of the business, which are then aggregated if the operating performance, products/services, and customers are similar. The chief operating decision maker will evaluate the performance of our business components such as evaluating revenue streams, significant expenses, and budget to actual results assessing our segment and in the determination of allocating resources. The chief operating decision maker uses revenue streams to evaluate product pricing and significant expenses to assess performance and evaluate return on assets. The chief operating decision maker uses consolidated net income, earnings per share, and return on average assets to benchmark us against our competitors. The benchmarking analysis coupled with monitoring of budget to actual results are used in assessing performance and in establishing compensation. Loans, investments, and deposits provide the majority of revenues in the banking operation. Interest expense, provisions for credit losses, and compensation and employee benefits provide the significant expenses in the banking operation. All operations are domestic.</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Segment performance is evaluated using consolidated net income, earnings per share, and return on average assets. Information reported internally for performance assessment by the chief operating decision maker is as follows, inclusive of reconciliations of significant segment totals to the interim condensed consolidated financial statements for the three and nine month periods ended September 30, 2025 and 2024.</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560" w:type="dxa"/>
            <w:vAlign w:val="bottom"/>
            <w:tcBorders>
              <w:bottom w:val="single" w:sz="8" w:color="auto"/>
            </w:tcBorders>
            <w:gridSpan w:val="8"/>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Three Months Ended September 30, 2025</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12"/>
        </w:trPr>
        <w:tc>
          <w:tcPr>
            <w:tcW w:w="5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Independent Bank</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120"/>
              <w:spacing w:after="0" w:line="212" w:lineRule="exact"/>
              <w:rPr>
                <w:sz w:val="20"/>
                <w:szCs w:val="20"/>
                <w:color w:val="auto"/>
              </w:rPr>
            </w:pPr>
            <w:r>
              <w:rPr>
                <w:rFonts w:ascii="Times New Roman" w:cs="Times New Roman" w:eastAsia="Times New Roman" w:hAnsi="Times New Roman"/>
                <w:sz w:val="17"/>
                <w:szCs w:val="17"/>
                <w:b w:val="1"/>
                <w:bCs w:val="1"/>
                <w:color w:val="auto"/>
              </w:rPr>
              <w:t>Other</w:t>
            </w:r>
            <w:r>
              <w:rPr>
                <w:rFonts w:ascii="Times New Roman" w:cs="Times New Roman" w:eastAsia="Times New Roman" w:hAnsi="Times New Roman"/>
                <w:sz w:val="22"/>
                <w:szCs w:val="22"/>
                <w:b w:val="1"/>
                <w:bCs w:val="1"/>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Eliminations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5"/>
        </w:trPr>
        <w:tc>
          <w:tcPr>
            <w:tcW w:w="5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gridSpan w:val="5"/>
          </w:tcPr>
          <w:p>
            <w:pPr>
              <w:ind w:left="38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1"/>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and fees on 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61,254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61,325</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on securities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6,427</w:t>
            </w:r>
          </w:p>
        </w:tc>
      </w:tr>
      <w:tr>
        <w:trPr>
          <w:trHeight w:val="245"/>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investments</w:t>
            </w:r>
          </w:p>
        </w:tc>
        <w:tc>
          <w:tcPr>
            <w:tcW w:w="1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1,538</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1,538</w:t>
            </w:r>
          </w:p>
        </w:tc>
      </w:tr>
      <w:tr>
        <w:trPr>
          <w:trHeight w:val="238"/>
        </w:trPr>
        <w:tc>
          <w:tcPr>
            <w:tcW w:w="51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Interest Income</w:t>
            </w: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69,219</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69,290</w:t>
            </w:r>
          </w:p>
        </w:tc>
      </w:tr>
      <w:tr>
        <w:trPr>
          <w:trHeight w:val="231"/>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Deposits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22,315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21,972</w:t>
            </w:r>
          </w:p>
        </w:tc>
      </w:tr>
      <w:tr>
        <w:trPr>
          <w:trHeight w:val="245"/>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borrowings and subordinated debt and debentures</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1,957</w:t>
            </w:r>
          </w:p>
        </w:tc>
      </w:tr>
      <w:tr>
        <w:trPr>
          <w:trHeight w:val="238"/>
        </w:trPr>
        <w:tc>
          <w:tcPr>
            <w:tcW w:w="51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Interest Expense</w:t>
            </w:r>
          </w:p>
        </w:tc>
        <w:tc>
          <w:tcPr>
            <w:tcW w:w="160" w:type="dxa"/>
            <w:vAlign w:val="bottom"/>
            <w:tcBorders>
              <w:top w:val="single" w:sz="8" w:color="auto"/>
              <w:bottom w:val="single" w:sz="8" w:color="auto"/>
            </w:tcBorders>
          </w:tcPr>
          <w:p>
            <w:pPr>
              <w:spacing w:after="0"/>
              <w:rPr>
                <w:sz w:val="20"/>
                <w:szCs w:val="20"/>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22,454</w:t>
            </w:r>
          </w:p>
        </w:tc>
        <w:tc>
          <w:tcPr>
            <w:tcW w:w="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1,818</w:t>
            </w:r>
          </w:p>
        </w:tc>
        <w:tc>
          <w:tcPr>
            <w:tcW w:w="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8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23,929</w:t>
            </w:r>
          </w:p>
        </w:tc>
      </w:tr>
      <w:tr>
        <w:trPr>
          <w:trHeight w:val="244"/>
        </w:trPr>
        <w:tc>
          <w:tcPr>
            <w:tcW w:w="5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Interest Income</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46,765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45,361</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1,991</w:t>
            </w:r>
          </w:p>
        </w:tc>
      </w:tr>
      <w:tr>
        <w:trPr>
          <w:trHeight w:val="244"/>
        </w:trPr>
        <w:tc>
          <w:tcPr>
            <w:tcW w:w="51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Interest Income After Provision for Credit Losses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44,774</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(1,475)</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43,370</w:t>
            </w:r>
          </w:p>
        </w:tc>
      </w:tr>
      <w:tr>
        <w:trPr>
          <w:trHeight w:val="219"/>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NON-INTEREST INCOME</w:t>
            </w: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Interchange income</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4,157</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3,131</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gains on mortgage loans</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1,474</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Mortgage loan servicing, net</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45"/>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3,010</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3,101</w:t>
            </w:r>
          </w:p>
        </w:tc>
      </w:tr>
      <w:tr>
        <w:trPr>
          <w:trHeight w:val="238"/>
        </w:trPr>
        <w:tc>
          <w:tcPr>
            <w:tcW w:w="51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Non-interest Income</w:t>
            </w: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11,797</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11,937</w:t>
            </w:r>
          </w:p>
        </w:tc>
      </w:tr>
      <w:tr>
        <w:trPr>
          <w:trHeight w:val="231"/>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NON-INTEREST EXPENSE</w:t>
            </w: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Compensation and employee benefits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21,016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21,125</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Data processing</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3,784</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Occupancy, net</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2,127</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Interchange expense</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Furniture, fixtures and equipment</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892</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Advertising</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FDIC deposit insurance</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Legal and professional</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 and collection</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Communications</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2,117</w:t>
            </w:r>
          </w:p>
        </w:tc>
      </w:tr>
      <w:tr>
        <w:trPr>
          <w:trHeight w:val="238"/>
        </w:trPr>
        <w:tc>
          <w:tcPr>
            <w:tcW w:w="51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Non-interest Expense</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33,649</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34,131</w:t>
            </w:r>
          </w:p>
        </w:tc>
      </w:tr>
      <w:tr>
        <w:trPr>
          <w:trHeight w:val="238"/>
        </w:trPr>
        <w:tc>
          <w:tcPr>
            <w:tcW w:w="51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Income Before Income Tax</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22,922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21,176</w:t>
            </w:r>
          </w:p>
        </w:tc>
      </w:tr>
      <w:tr>
        <w:trPr>
          <w:trHeight w:val="245"/>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1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4,122</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3,674</w:t>
            </w:r>
          </w:p>
        </w:tc>
      </w:tr>
      <w:tr>
        <w:trPr>
          <w:trHeight w:val="244"/>
        </w:trPr>
        <w:tc>
          <w:tcPr>
            <w:tcW w:w="51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18,800</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(1,247)</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17,502</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4"/>
        </w:trPr>
        <w:tc>
          <w:tcPr>
            <w:tcW w:w="5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9"/>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SEGMENT DISCLOSURES</w:t>
            </w: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5"/>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Depreciation</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w:t>
            </w:r>
          </w:p>
        </w:tc>
      </w:tr>
      <w:tr>
        <w:trPr>
          <w:trHeight w:val="245"/>
        </w:trPr>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Amortization</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r>
      <w:tr>
        <w:trPr>
          <w:trHeight w:val="245"/>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5,486,851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538,943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(532,681)</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5,493,113</w:t>
            </w:r>
          </w:p>
        </w:tc>
      </w:tr>
    </w:tbl>
    <w:p>
      <w:pPr>
        <w:spacing w:after="0" w:line="74" w:lineRule="exact"/>
        <w:rPr>
          <w:sz w:val="20"/>
          <w:szCs w:val="20"/>
          <w:color w:val="auto"/>
        </w:rPr>
      </w:pPr>
    </w:p>
    <w:p>
      <w:pPr>
        <w:ind w:left="5700" w:right="5000" w:hanging="5697"/>
        <w:spacing w:after="0" w:line="967" w:lineRule="auto"/>
        <w:tabs>
          <w:tab w:leader="none" w:pos="383"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amounts relating to our parent company and certain insignificant operations.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-322580</wp:posOffset>
            </wp:positionV>
            <wp:extent cx="7164070"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560" w:type="dxa"/>
            <w:vAlign w:val="bottom"/>
            <w:tcBorders>
              <w:bottom w:val="single" w:sz="8" w:color="auto"/>
            </w:tcBorders>
            <w:gridSpan w:val="8"/>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Three Months Ended September 30, 2024</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12"/>
        </w:trPr>
        <w:tc>
          <w:tcPr>
            <w:tcW w:w="5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Independent Bank</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120"/>
              <w:spacing w:after="0" w:line="212" w:lineRule="exact"/>
              <w:rPr>
                <w:sz w:val="20"/>
                <w:szCs w:val="20"/>
                <w:color w:val="auto"/>
              </w:rPr>
            </w:pPr>
            <w:r>
              <w:rPr>
                <w:rFonts w:ascii="Times New Roman" w:cs="Times New Roman" w:eastAsia="Times New Roman" w:hAnsi="Times New Roman"/>
                <w:sz w:val="17"/>
                <w:szCs w:val="17"/>
                <w:b w:val="1"/>
                <w:bCs w:val="1"/>
                <w:color w:val="auto"/>
              </w:rPr>
              <w:t>Other</w:t>
            </w:r>
            <w:r>
              <w:rPr>
                <w:rFonts w:ascii="Times New Roman" w:cs="Times New Roman" w:eastAsia="Times New Roman" w:hAnsi="Times New Roman"/>
                <w:sz w:val="22"/>
                <w:szCs w:val="22"/>
                <w:b w:val="1"/>
                <w:bCs w:val="1"/>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Eliminations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5"/>
        </w:trPr>
        <w:tc>
          <w:tcPr>
            <w:tcW w:w="5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gridSpan w:val="5"/>
          </w:tcPr>
          <w:p>
            <w:pPr>
              <w:ind w:left="38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1"/>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and fees on 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58,345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58,410</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on securities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7,906</w:t>
            </w:r>
          </w:p>
        </w:tc>
      </w:tr>
      <w:tr>
        <w:trPr>
          <w:trHeight w:val="245"/>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investments</w:t>
            </w:r>
          </w:p>
        </w:tc>
        <w:tc>
          <w:tcPr>
            <w:tcW w:w="1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2,018</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2,018</w:t>
            </w:r>
          </w:p>
        </w:tc>
      </w:tr>
      <w:tr>
        <w:trPr>
          <w:trHeight w:val="238"/>
        </w:trPr>
        <w:tc>
          <w:tcPr>
            <w:tcW w:w="51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Interest Income</w:t>
            </w: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68,269</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68,334</w:t>
            </w:r>
          </w:p>
        </w:tc>
      </w:tr>
      <w:tr>
        <w:trPr>
          <w:trHeight w:val="231"/>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Deposits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24,949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24,462</w:t>
            </w:r>
          </w:p>
        </w:tc>
      </w:tr>
      <w:tr>
        <w:trPr>
          <w:trHeight w:val="245"/>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borrowings and subordinated debt and debentures</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2,018</w:t>
            </w:r>
          </w:p>
        </w:tc>
      </w:tr>
      <w:tr>
        <w:trPr>
          <w:trHeight w:val="238"/>
        </w:trPr>
        <w:tc>
          <w:tcPr>
            <w:tcW w:w="51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Interest Expense</w:t>
            </w:r>
          </w:p>
        </w:tc>
        <w:tc>
          <w:tcPr>
            <w:tcW w:w="160" w:type="dxa"/>
            <w:vAlign w:val="bottom"/>
            <w:tcBorders>
              <w:top w:val="single" w:sz="8" w:color="auto"/>
              <w:bottom w:val="single" w:sz="8" w:color="auto"/>
            </w:tcBorders>
          </w:tcPr>
          <w:p>
            <w:pPr>
              <w:spacing w:after="0"/>
              <w:rPr>
                <w:sz w:val="20"/>
                <w:szCs w:val="20"/>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25,501</w:t>
            </w:r>
          </w:p>
        </w:tc>
        <w:tc>
          <w:tcPr>
            <w:tcW w:w="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1,466</w:t>
            </w:r>
          </w:p>
        </w:tc>
        <w:tc>
          <w:tcPr>
            <w:tcW w:w="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8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26,480</w:t>
            </w:r>
          </w:p>
        </w:tc>
      </w:tr>
      <w:tr>
        <w:trPr>
          <w:trHeight w:val="244"/>
        </w:trPr>
        <w:tc>
          <w:tcPr>
            <w:tcW w:w="5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Interest Income</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42,768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41,854</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1,488</w:t>
            </w:r>
          </w:p>
        </w:tc>
      </w:tr>
      <w:tr>
        <w:trPr>
          <w:trHeight w:val="244"/>
        </w:trPr>
        <w:tc>
          <w:tcPr>
            <w:tcW w:w="51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Interest Income After Provision for Credit Losses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41,280</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40,366</w:t>
            </w:r>
          </w:p>
        </w:tc>
      </w:tr>
      <w:tr>
        <w:trPr>
          <w:trHeight w:val="219"/>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NON-INTEREST INCOME</w:t>
            </w: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Interchange income</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4,146</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3,085</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gains on mortgage loans</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2,177</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Mortgage loan servicing, net</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(3,130)</w:t>
            </w:r>
          </w:p>
        </w:tc>
      </w:tr>
      <w:tr>
        <w:trPr>
          <w:trHeight w:val="245"/>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3,142</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3,230</w:t>
            </w:r>
          </w:p>
        </w:tc>
      </w:tr>
      <w:tr>
        <w:trPr>
          <w:trHeight w:val="238"/>
        </w:trPr>
        <w:tc>
          <w:tcPr>
            <w:tcW w:w="51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Non-interest Income</w:t>
            </w: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9,368</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9,508</w:t>
            </w:r>
          </w:p>
        </w:tc>
      </w:tr>
      <w:tr>
        <w:trPr>
          <w:trHeight w:val="231"/>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NON-INTEREST EXPENSE</w:t>
            </w: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Compensation and employee benefits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19,951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20,048</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Data processing</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3,379</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Occupancy, net</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1,893</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Interchange expense</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Furniture, fixtures and equipment</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932</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Advertising</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FDIC deposit insurance</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Legal and professional</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 and collection</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Communications</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2,074</w:t>
            </w:r>
          </w:p>
        </w:tc>
      </w:tr>
      <w:tr>
        <w:trPr>
          <w:trHeight w:val="238"/>
        </w:trPr>
        <w:tc>
          <w:tcPr>
            <w:tcW w:w="51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Non-interest Expense</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32,188</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32,583</w:t>
            </w:r>
          </w:p>
        </w:tc>
      </w:tr>
      <w:tr>
        <w:trPr>
          <w:trHeight w:val="238"/>
        </w:trPr>
        <w:tc>
          <w:tcPr>
            <w:tcW w:w="51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Income Before Income Tax</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18,460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17,291</w:t>
            </w:r>
          </w:p>
        </w:tc>
      </w:tr>
      <w:tr>
        <w:trPr>
          <w:trHeight w:val="245"/>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1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3,725</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3,481</w:t>
            </w:r>
          </w:p>
        </w:tc>
      </w:tr>
      <w:tr>
        <w:trPr>
          <w:trHeight w:val="244"/>
        </w:trPr>
        <w:tc>
          <w:tcPr>
            <w:tcW w:w="51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14,735</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(894)</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13,810</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4"/>
        </w:trPr>
        <w:tc>
          <w:tcPr>
            <w:tcW w:w="5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9"/>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SEGMENT DISCLOSURES</w:t>
            </w: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5"/>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Depreciation</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1,283</w:t>
            </w:r>
          </w:p>
        </w:tc>
      </w:tr>
      <w:tr>
        <w:trPr>
          <w:trHeight w:val="245"/>
        </w:trPr>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Amortization</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245"/>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5,254,269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541,422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(536,423)</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5,259,268</w:t>
            </w:r>
          </w:p>
        </w:tc>
      </w:tr>
    </w:tbl>
    <w:p>
      <w:pPr>
        <w:spacing w:after="0" w:line="74" w:lineRule="exact"/>
        <w:rPr>
          <w:sz w:val="20"/>
          <w:szCs w:val="20"/>
          <w:color w:val="auto"/>
        </w:rPr>
      </w:pPr>
    </w:p>
    <w:p>
      <w:pPr>
        <w:ind w:left="5700" w:right="5000" w:hanging="5697"/>
        <w:spacing w:after="0" w:line="967" w:lineRule="auto"/>
        <w:tabs>
          <w:tab w:leader="none" w:pos="383"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amounts relating to our parent company and certain insignificant operations.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-322580</wp:posOffset>
            </wp:positionV>
            <wp:extent cx="716407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560" w:type="dxa"/>
            <w:vAlign w:val="bottom"/>
            <w:tcBorders>
              <w:bottom w:val="single" w:sz="8" w:color="auto"/>
            </w:tcBorders>
            <w:gridSpan w:val="8"/>
          </w:tcPr>
          <w:p>
            <w:pPr>
              <w:jc w:val="center"/>
              <w:ind w:left="1134"/>
              <w:spacing w:after="0"/>
              <w:rPr>
                <w:sz w:val="20"/>
                <w:szCs w:val="20"/>
                <w:color w:val="auto"/>
              </w:rPr>
            </w:pPr>
            <w:r>
              <w:rPr>
                <w:rFonts w:ascii="Times New Roman" w:cs="Times New Roman" w:eastAsia="Times New Roman" w:hAnsi="Times New Roman"/>
                <w:sz w:val="17"/>
                <w:szCs w:val="17"/>
                <w:b w:val="1"/>
                <w:bCs w:val="1"/>
                <w:color w:val="auto"/>
              </w:rPr>
              <w:t>Nine Months Ended September 30, 2025</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12"/>
        </w:trPr>
        <w:tc>
          <w:tcPr>
            <w:tcW w:w="5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Independent Bank</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120"/>
              <w:spacing w:after="0" w:line="212" w:lineRule="exact"/>
              <w:rPr>
                <w:sz w:val="20"/>
                <w:szCs w:val="20"/>
                <w:color w:val="auto"/>
              </w:rPr>
            </w:pPr>
            <w:r>
              <w:rPr>
                <w:rFonts w:ascii="Times New Roman" w:cs="Times New Roman" w:eastAsia="Times New Roman" w:hAnsi="Times New Roman"/>
                <w:sz w:val="17"/>
                <w:szCs w:val="17"/>
                <w:b w:val="1"/>
                <w:bCs w:val="1"/>
                <w:color w:val="auto"/>
              </w:rPr>
              <w:t>Other</w:t>
            </w:r>
            <w:r>
              <w:rPr>
                <w:rFonts w:ascii="Times New Roman" w:cs="Times New Roman" w:eastAsia="Times New Roman" w:hAnsi="Times New Roman"/>
                <w:sz w:val="22"/>
                <w:szCs w:val="22"/>
                <w:b w:val="1"/>
                <w:bCs w:val="1"/>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Eliminations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5"/>
        </w:trPr>
        <w:tc>
          <w:tcPr>
            <w:tcW w:w="5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gridSpan w:val="5"/>
          </w:tcPr>
          <w:p>
            <w:pPr>
              <w:jc w:val="center"/>
              <w:ind w:right="76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1"/>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and fees on 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178,419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178,628</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on securities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19,802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19,802</w:t>
            </w:r>
          </w:p>
        </w:tc>
      </w:tr>
      <w:tr>
        <w:trPr>
          <w:trHeight w:val="245"/>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investments</w:t>
            </w:r>
          </w:p>
        </w:tc>
        <w:tc>
          <w:tcPr>
            <w:tcW w:w="1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3,882</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3,882</w:t>
            </w:r>
          </w:p>
        </w:tc>
      </w:tr>
      <w:tr>
        <w:trPr>
          <w:trHeight w:val="238"/>
        </w:trPr>
        <w:tc>
          <w:tcPr>
            <w:tcW w:w="51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Interest Income</w:t>
            </w: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202,103</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1,082</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(873)</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202,312</w:t>
            </w:r>
          </w:p>
        </w:tc>
      </w:tr>
      <w:tr>
        <w:trPr>
          <w:trHeight w:val="231"/>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Deposits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64,471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63,389</w:t>
            </w:r>
          </w:p>
        </w:tc>
      </w:tr>
      <w:tr>
        <w:trPr>
          <w:trHeight w:val="245"/>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borrowings and subordinated debt and debentures</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5,262</w:t>
            </w:r>
          </w:p>
        </w:tc>
      </w:tr>
      <w:tr>
        <w:trPr>
          <w:trHeight w:val="238"/>
        </w:trPr>
        <w:tc>
          <w:tcPr>
            <w:tcW w:w="51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Interest Expense</w:t>
            </w:r>
          </w:p>
        </w:tc>
        <w:tc>
          <w:tcPr>
            <w:tcW w:w="160" w:type="dxa"/>
            <w:vAlign w:val="bottom"/>
            <w:tcBorders>
              <w:top w:val="single" w:sz="8" w:color="auto"/>
              <w:bottom w:val="single" w:sz="8" w:color="auto"/>
            </w:tcBorders>
          </w:tcPr>
          <w:p>
            <w:pPr>
              <w:spacing w:after="0"/>
              <w:rPr>
                <w:sz w:val="20"/>
                <w:szCs w:val="20"/>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65,056</w:t>
            </w:r>
          </w:p>
        </w:tc>
        <w:tc>
          <w:tcPr>
            <w:tcW w:w="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4,677</w:t>
            </w:r>
          </w:p>
        </w:tc>
        <w:tc>
          <w:tcPr>
            <w:tcW w:w="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(1,082)</w:t>
            </w:r>
          </w:p>
        </w:tc>
        <w:tc>
          <w:tcPr>
            <w:tcW w:w="8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68,651</w:t>
            </w:r>
          </w:p>
        </w:tc>
      </w:tr>
      <w:tr>
        <w:trPr>
          <w:trHeight w:val="244"/>
        </w:trPr>
        <w:tc>
          <w:tcPr>
            <w:tcW w:w="5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Interest Income</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137,047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133,661</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4,212</w:t>
            </w:r>
          </w:p>
        </w:tc>
      </w:tr>
      <w:tr>
        <w:trPr>
          <w:trHeight w:val="244"/>
        </w:trPr>
        <w:tc>
          <w:tcPr>
            <w:tcW w:w="51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Interest Income After Provision for Credit Losses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132,835</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(3,595)</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129,449</w:t>
            </w:r>
          </w:p>
        </w:tc>
      </w:tr>
      <w:tr>
        <w:trPr>
          <w:trHeight w:val="219"/>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NON-INTEREST INCOME</w:t>
            </w: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Interchange income</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10,674</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8,926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8,926</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gains on mortgage loans</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5,408</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Mortgage loan servicing, net</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45"/>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8,429</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8,750</w:t>
            </w:r>
          </w:p>
        </w:tc>
      </w:tr>
      <w:tr>
        <w:trPr>
          <w:trHeight w:val="238"/>
        </w:trPr>
        <w:tc>
          <w:tcPr>
            <w:tcW w:w="51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Non-interest Income</w:t>
            </w: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33,188</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(440)</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33,686</w:t>
            </w:r>
          </w:p>
        </w:tc>
      </w:tr>
      <w:tr>
        <w:trPr>
          <w:trHeight w:val="231"/>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NON-INTEREST EXPENSE</w:t>
            </w: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Compensation and employee benefits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62,329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62,631</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Data processing</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11,360</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Occupancy, net</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6,396</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Interchange expense</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3,476</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Furniture, fixtures and equipment</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2,570</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Advertising</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2,220</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FDIC deposit insurance</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1,963</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Legal and professional</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1,661</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 and collection</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2,148</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Communications</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1,526</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6,204</w:t>
            </w:r>
          </w:p>
        </w:tc>
      </w:tr>
      <w:tr>
        <w:trPr>
          <w:trHeight w:val="238"/>
        </w:trPr>
        <w:tc>
          <w:tcPr>
            <w:tcW w:w="51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Non-interest Expense</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100,818</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1,444</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102,155</w:t>
            </w:r>
          </w:p>
        </w:tc>
      </w:tr>
      <w:tr>
        <w:trPr>
          <w:trHeight w:val="238"/>
        </w:trPr>
        <w:tc>
          <w:tcPr>
            <w:tcW w:w="51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Income Before Income Tax</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65,205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60,980</w:t>
            </w:r>
          </w:p>
        </w:tc>
      </w:tr>
      <w:tr>
        <w:trPr>
          <w:trHeight w:val="245"/>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1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12,232</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11,011</w:t>
            </w:r>
          </w:p>
        </w:tc>
      </w:tr>
      <w:tr>
        <w:trPr>
          <w:trHeight w:val="244"/>
        </w:trPr>
        <w:tc>
          <w:tcPr>
            <w:tcW w:w="51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52,973</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(2,906)</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49,969</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4"/>
        </w:trPr>
        <w:tc>
          <w:tcPr>
            <w:tcW w:w="5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9"/>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SEGMENT DISCLOSURES</w:t>
            </w: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5"/>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Depreciation</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3,722</w:t>
            </w:r>
          </w:p>
        </w:tc>
      </w:tr>
      <w:tr>
        <w:trPr>
          <w:trHeight w:val="245"/>
        </w:trPr>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Amortization</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w:t>
            </w:r>
          </w:p>
        </w:tc>
      </w:tr>
      <w:tr>
        <w:trPr>
          <w:trHeight w:val="245"/>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5,486,851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538,943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(532,681)</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5,493,113</w:t>
            </w:r>
          </w:p>
        </w:tc>
      </w:tr>
    </w:tbl>
    <w:p>
      <w:pPr>
        <w:spacing w:after="0" w:line="74" w:lineRule="exact"/>
        <w:rPr>
          <w:sz w:val="20"/>
          <w:szCs w:val="20"/>
          <w:color w:val="auto"/>
        </w:rPr>
      </w:pPr>
    </w:p>
    <w:p>
      <w:pPr>
        <w:ind w:left="5700" w:right="5000" w:hanging="5697"/>
        <w:spacing w:after="0" w:line="967" w:lineRule="auto"/>
        <w:tabs>
          <w:tab w:leader="none" w:pos="383"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amounts relating to our parent company and certain insignificant operations.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-322580</wp:posOffset>
            </wp:positionV>
            <wp:extent cx="7164070"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580" w:type="dxa"/>
            <w:vAlign w:val="bottom"/>
            <w:tcBorders>
              <w:bottom w:val="single" w:sz="8" w:color="auto"/>
            </w:tcBorders>
            <w:gridSpan w:val="8"/>
          </w:tcPr>
          <w:p>
            <w:pPr>
              <w:jc w:val="center"/>
              <w:ind w:left="1134"/>
              <w:spacing w:after="0"/>
              <w:rPr>
                <w:sz w:val="20"/>
                <w:szCs w:val="20"/>
                <w:color w:val="auto"/>
              </w:rPr>
            </w:pPr>
            <w:r>
              <w:rPr>
                <w:rFonts w:ascii="Times New Roman" w:cs="Times New Roman" w:eastAsia="Times New Roman" w:hAnsi="Times New Roman"/>
                <w:sz w:val="17"/>
                <w:szCs w:val="17"/>
                <w:b w:val="1"/>
                <w:bCs w:val="1"/>
                <w:color w:val="auto"/>
              </w:rPr>
              <w:t>Nine Months Ended September 30, 2024</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12"/>
        </w:trPr>
        <w:tc>
          <w:tcPr>
            <w:tcW w:w="5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Independent Bank</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120"/>
              <w:spacing w:after="0" w:line="212" w:lineRule="exact"/>
              <w:rPr>
                <w:sz w:val="20"/>
                <w:szCs w:val="20"/>
                <w:color w:val="auto"/>
              </w:rPr>
            </w:pPr>
            <w:r>
              <w:rPr>
                <w:rFonts w:ascii="Times New Roman" w:cs="Times New Roman" w:eastAsia="Times New Roman" w:hAnsi="Times New Roman"/>
                <w:sz w:val="17"/>
                <w:szCs w:val="17"/>
                <w:b w:val="1"/>
                <w:bCs w:val="1"/>
                <w:color w:val="auto"/>
              </w:rPr>
              <w:t>Other</w:t>
            </w:r>
            <w:r>
              <w:rPr>
                <w:rFonts w:ascii="Times New Roman" w:cs="Times New Roman" w:eastAsia="Times New Roman" w:hAnsi="Times New Roman"/>
                <w:sz w:val="22"/>
                <w:szCs w:val="22"/>
                <w:b w:val="1"/>
                <w:bCs w:val="1"/>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Eliminations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5"/>
        </w:trPr>
        <w:tc>
          <w:tcPr>
            <w:tcW w:w="5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gridSpan w:val="5"/>
          </w:tcPr>
          <w:p>
            <w:pPr>
              <w:jc w:val="center"/>
              <w:ind w:right="80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1"/>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1"/>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and fees on loans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170,050</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170,239</w:t>
            </w: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on securities</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24,661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24,661</w:t>
            </w:r>
          </w:p>
        </w:tc>
      </w:tr>
      <w:tr>
        <w:trPr>
          <w:trHeight w:val="245"/>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investments</w:t>
            </w: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4,898</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1,320</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(1,320)</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4,898</w:t>
            </w:r>
          </w:p>
        </w:tc>
      </w:tr>
      <w:tr>
        <w:trPr>
          <w:trHeight w:val="238"/>
        </w:trPr>
        <w:tc>
          <w:tcPr>
            <w:tcW w:w="51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Interest Income</w:t>
            </w: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199,609</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1,320</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(1,131)</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199,798</w:t>
            </w:r>
          </w:p>
        </w:tc>
      </w:tr>
      <w:tr>
        <w:trPr>
          <w:trHeight w:val="23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Deposits</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71,468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70,148</w:t>
            </w:r>
          </w:p>
        </w:tc>
      </w:tr>
      <w:tr>
        <w:trPr>
          <w:trHeight w:val="245"/>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borrowings and subordinated debt and debentures</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6,253</w:t>
            </w:r>
          </w:p>
        </w:tc>
      </w:tr>
      <w:tr>
        <w:trPr>
          <w:trHeight w:val="238"/>
        </w:trPr>
        <w:tc>
          <w:tcPr>
            <w:tcW w:w="51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Interest Expense</w:t>
            </w:r>
          </w:p>
        </w:tc>
        <w:tc>
          <w:tcPr>
            <w:tcW w:w="18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73,324</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4,397</w:t>
            </w:r>
          </w:p>
        </w:tc>
        <w:tc>
          <w:tcPr>
            <w:tcW w:w="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(1,320)</w:t>
            </w:r>
          </w:p>
        </w:tc>
        <w:tc>
          <w:tcPr>
            <w:tcW w:w="8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76,401</w:t>
            </w:r>
          </w:p>
        </w:tc>
      </w:tr>
      <w:tr>
        <w:trPr>
          <w:trHeight w:val="244"/>
        </w:trPr>
        <w:tc>
          <w:tcPr>
            <w:tcW w:w="5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Interest Income</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126,285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123,397</w:t>
            </w: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2,251</w:t>
            </w:r>
          </w:p>
        </w:tc>
      </w:tr>
      <w:tr>
        <w:trPr>
          <w:trHeight w:val="244"/>
        </w:trPr>
        <w:tc>
          <w:tcPr>
            <w:tcW w:w="51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Interest Income After Provision for Credit Losses</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124,034</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(3,077)</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121,146</w:t>
            </w:r>
          </w:p>
        </w:tc>
      </w:tr>
      <w:tr>
        <w:trPr>
          <w:trHeight w:val="219"/>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NON-INTEREST INCOME</w:t>
            </w: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1"/>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Interchange income</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10,698</w:t>
            </w: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8,894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8,894</w:t>
            </w:r>
          </w:p>
        </w:tc>
      </w:tr>
      <w:tr>
        <w:trPr>
          <w:trHeight w:val="251"/>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gains on mortgage loans</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4,874</w:t>
            </w: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Mortgage loan servicing, net</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1,686</w:t>
            </w:r>
          </w:p>
        </w:tc>
      </w:tr>
      <w:tr>
        <w:trPr>
          <w:trHeight w:val="245"/>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10,809</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11,089</w:t>
            </w:r>
          </w:p>
        </w:tc>
      </w:tr>
      <w:tr>
        <w:trPr>
          <w:trHeight w:val="238"/>
        </w:trPr>
        <w:tc>
          <w:tcPr>
            <w:tcW w:w="51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Non-interest Income</w:t>
            </w: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36,837</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754</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37,241</w:t>
            </w:r>
          </w:p>
        </w:tc>
      </w:tr>
      <w:tr>
        <w:trPr>
          <w:trHeight w:val="23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NON-INTEREST EXPENSE</w:t>
            </w: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Compensation and employee benefits</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62,069</w:t>
            </w:r>
          </w:p>
        </w:tc>
      </w:tr>
      <w:tr>
        <w:trPr>
          <w:trHeight w:val="251"/>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Data processing</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9,891</w:t>
            </w:r>
          </w:p>
        </w:tc>
      </w:tr>
      <w:tr>
        <w:trPr>
          <w:trHeight w:val="245"/>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Occupancy, net</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5,835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5,853</w:t>
            </w:r>
          </w:p>
        </w:tc>
      </w:tr>
      <w:tr>
        <w:trPr>
          <w:trHeight w:val="245"/>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Interchange expense</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3,373</w:t>
            </w: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Furniture, fixtures and equipment</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2,834</w:t>
            </w:r>
          </w:p>
        </w:tc>
      </w:tr>
      <w:tr>
        <w:trPr>
          <w:trHeight w:val="251"/>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Advertising</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1,860</w:t>
            </w: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FDIC deposit insurance</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2,141</w:t>
            </w:r>
          </w:p>
        </w:tc>
      </w:tr>
      <w:tr>
        <w:trPr>
          <w:trHeight w:val="251"/>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Legal and professional</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1,717</w:t>
            </w: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 and collection</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1,868</w:t>
            </w:r>
          </w:p>
        </w:tc>
      </w:tr>
      <w:tr>
        <w:trPr>
          <w:trHeight w:val="251"/>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Communications</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1,633</w:t>
            </w: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4,870</w:t>
            </w:r>
          </w:p>
        </w:tc>
      </w:tr>
      <w:tr>
        <w:trPr>
          <w:trHeight w:val="238"/>
        </w:trPr>
        <w:tc>
          <w:tcPr>
            <w:tcW w:w="51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Non-interest Expense</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96,873</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1,318</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98,109</w:t>
            </w:r>
          </w:p>
        </w:tc>
      </w:tr>
      <w:tr>
        <w:trPr>
          <w:trHeight w:val="238"/>
        </w:trPr>
        <w:tc>
          <w:tcPr>
            <w:tcW w:w="51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Income Before Income Tax</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63,998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60,278</w:t>
            </w:r>
          </w:p>
        </w:tc>
      </w:tr>
      <w:tr>
        <w:trPr>
          <w:trHeight w:val="245"/>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12,765</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11,949</w:t>
            </w:r>
          </w:p>
        </w:tc>
      </w:tr>
      <w:tr>
        <w:trPr>
          <w:trHeight w:val="244"/>
        </w:trPr>
        <w:tc>
          <w:tcPr>
            <w:tcW w:w="51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51,233</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(2,841)</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80" w:type="dxa"/>
            <w:vAlign w:val="bottom"/>
          </w:tcPr>
          <w:p>
            <w:pPr>
              <w:spacing w:after="0"/>
              <w:rPr>
                <w:sz w:val="21"/>
                <w:szCs w:val="21"/>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48,329</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9"/>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SEGMENT DISCLOSURES</w:t>
            </w: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5"/>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Depreciation</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3,881</w:t>
            </w:r>
          </w:p>
        </w:tc>
      </w:tr>
      <w:tr>
        <w:trPr>
          <w:trHeight w:val="245"/>
        </w:trPr>
        <w:tc>
          <w:tcPr>
            <w:tcW w:w="5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Amortization</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w:t>
            </w:r>
          </w:p>
        </w:tc>
      </w:tr>
      <w:tr>
        <w:trPr>
          <w:trHeight w:val="245"/>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assets</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5,254,269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541,422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(536,423)</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5,259,268</w:t>
            </w:r>
          </w:p>
        </w:tc>
      </w:tr>
    </w:tbl>
    <w:p>
      <w:pPr>
        <w:spacing w:after="0" w:line="74" w:lineRule="exact"/>
        <w:rPr>
          <w:sz w:val="20"/>
          <w:szCs w:val="20"/>
          <w:color w:val="auto"/>
        </w:rPr>
      </w:pPr>
    </w:p>
    <w:p>
      <w:pPr>
        <w:ind w:left="5700" w:right="5000" w:hanging="5697"/>
        <w:spacing w:after="0" w:line="967" w:lineRule="auto"/>
        <w:tabs>
          <w:tab w:leader="none" w:pos="383"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amounts relating to our parent company and certain insignificant operations.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-322580</wp:posOffset>
            </wp:positionV>
            <wp:extent cx="7164070"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3"/>
          <w:szCs w:val="13"/>
          <w:b w:val="1"/>
          <w:bCs w:val="1"/>
          <w:color w:val="auto"/>
        </w:rPr>
        <w:t>TEM</w:t>
      </w:r>
      <w:r>
        <w:rPr>
          <w:rFonts w:ascii="Times New Roman" w:cs="Times New Roman" w:eastAsia="Times New Roman" w:hAnsi="Times New Roman"/>
          <w:sz w:val="17"/>
          <w:szCs w:val="17"/>
          <w:b w:val="1"/>
          <w:bCs w:val="1"/>
          <w:color w:val="auto"/>
        </w:rPr>
        <w:t xml:space="preserve"> 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w:t>
      </w:r>
      <w:r>
        <w:rPr>
          <w:rFonts w:ascii="Times New Roman" w:cs="Times New Roman" w:eastAsia="Times New Roman" w:hAnsi="Times New Roman"/>
          <w:sz w:val="13"/>
          <w:szCs w:val="13"/>
          <w:b w:val="1"/>
          <w:bCs w:val="1"/>
          <w:color w:val="auto"/>
        </w:rPr>
        <w:t>ANAGEMENT’S</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3"/>
          <w:szCs w:val="13"/>
          <w:b w:val="1"/>
          <w:bCs w:val="1"/>
          <w:color w:val="auto"/>
        </w:rPr>
        <w:t>ISCUSSION AND</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3"/>
          <w:szCs w:val="13"/>
          <w:b w:val="1"/>
          <w:bCs w:val="1"/>
          <w:color w:val="auto"/>
        </w:rPr>
        <w:t>NALYSIS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OF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4"/>
          <w:szCs w:val="14"/>
          <w:b w:val="1"/>
          <w:bCs w:val="1"/>
          <w:color w:val="auto"/>
        </w:rPr>
        <w:t xml:space="preserve">INANCIAL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4"/>
          <w:szCs w:val="14"/>
          <w:b w:val="1"/>
          <w:bCs w:val="1"/>
          <w:color w:val="auto"/>
        </w:rPr>
        <w:t xml:space="preserve">ONDITION AND </w:t>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4"/>
          <w:szCs w:val="14"/>
          <w:b w:val="1"/>
          <w:bCs w:val="1"/>
          <w:color w:val="auto"/>
        </w:rPr>
        <w:t xml:space="preserve">ESULTS OF </w:t>
      </w:r>
      <w:r>
        <w:rPr>
          <w:rFonts w:ascii="Times New Roman" w:cs="Times New Roman" w:eastAsia="Times New Roman" w:hAnsi="Times New Roman"/>
          <w:sz w:val="17"/>
          <w:szCs w:val="17"/>
          <w:b w:val="1"/>
          <w:bCs w:val="1"/>
          <w:color w:val="auto"/>
        </w:rPr>
        <w:t>O</w:t>
      </w:r>
      <w:r>
        <w:rPr>
          <w:rFonts w:ascii="Times New Roman" w:cs="Times New Roman" w:eastAsia="Times New Roman" w:hAnsi="Times New Roman"/>
          <w:sz w:val="14"/>
          <w:szCs w:val="14"/>
          <w:b w:val="1"/>
          <w:bCs w:val="1"/>
          <w:color w:val="auto"/>
        </w:rPr>
        <w:t>PERATIONS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Introduction</w:t>
      </w:r>
      <w:r>
        <w:rPr>
          <w:rFonts w:ascii="Times New Roman" w:cs="Times New Roman" w:eastAsia="Times New Roman" w:hAnsi="Times New Roman"/>
          <w:sz w:val="17"/>
          <w:szCs w:val="17"/>
          <w:color w:val="auto"/>
        </w:rPr>
        <w:t>. The following section presents additional information to assess the financial condition and results of operations of Independent Bank Corporation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(“IBCP”), its wholly-owned bank, Independent Bank (the “Bank”), and their subsidiaries. This section should be read in conjunction with the interim Condensed Consolidated Financial Statements. We also encourage you to read our 2024 Annual Report on Form 10-K filed with the U.S. Securities and Exchange Commission (“SEC”). That report includes a list of risk factors that you should consider in connection with any decision to buy or sell our securities.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r>
        <w:rPr>
          <w:rFonts w:ascii="Times New Roman" w:cs="Times New Roman" w:eastAsia="Times New Roman" w:hAnsi="Times New Roman"/>
          <w:sz w:val="17"/>
          <w:szCs w:val="17"/>
          <w:color w:val="auto"/>
        </w:rPr>
        <w:t>. We provide banking services to customers located primarily in Michigan’s Lower Peninsula. We also have a loan production office in Fairlawn, Ohio.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result, our success depends to a great extent upon the economic conditions in Michigan’s Lower Peninsula.</w:t>
      </w:r>
    </w:p>
    <w:p>
      <w:pPr>
        <w:spacing w:after="0" w:line="39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b w:val="1"/>
          <w:bCs w:val="1"/>
          <w:color w:val="auto"/>
        </w:rPr>
        <w:t xml:space="preserve">Recent Developments. </w:t>
      </w:r>
      <w:r>
        <w:rPr>
          <w:rFonts w:ascii="Times New Roman" w:cs="Times New Roman" w:eastAsia="Times New Roman" w:hAnsi="Times New Roman"/>
          <w:sz w:val="17"/>
          <w:szCs w:val="17"/>
          <w:color w:val="auto"/>
        </w:rPr>
        <w:t>Pressures from various global and national macroeconomic conditions, including significant volatility and uncertainty with U.S. and global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market conditions, the direct and indirect impacts of potential changes to U.S. trade policies, recessionary concerns, uncertainty regarding future interest rates, foreign currency exchange rate fluctuations, the continuation of the Russia-Ukraine war, ongoing and potentially increasing conflict in the Middle East, and potential governmental responses to these events, continue to create significant economic uncertainty. In addition, pursuit of various initiatives announced by the Trump administration may create some degree of volatility in our customers’ businesses, regulation of the financial services industry, and the markets in which we operate. The extent to which these pressures and other factors may impact our business, results of operations, asset valuations, financial condition, and customers will depend on future developments, which continue to be highly uncertain and difficult to predict. Material adverse impacts may include all or a combination of valuation impairments on our other intangibles, goodwill, securities available for sale ("AFS"), securities held to maturity ("HTM"), loans, capitalized mortgage loan servicing rights or deferred tax assets.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 is against this backdrop that we discuss our results of operations and financial condition for the third quarter of 2025 as compared to earlier periods.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3"/>
          <w:szCs w:val="13"/>
          <w:b w:val="1"/>
          <w:bCs w:val="1"/>
          <w:color w:val="auto"/>
        </w:rPr>
        <w:t>ESULTS OF</w:t>
      </w:r>
      <w:r>
        <w:rPr>
          <w:rFonts w:ascii="Times New Roman" w:cs="Times New Roman" w:eastAsia="Times New Roman" w:hAnsi="Times New Roman"/>
          <w:sz w:val="17"/>
          <w:szCs w:val="17"/>
          <w:b w:val="1"/>
          <w:bCs w:val="1"/>
          <w:color w:val="auto"/>
        </w:rPr>
        <w:t xml:space="preserve"> O</w:t>
      </w:r>
      <w:r>
        <w:rPr>
          <w:rFonts w:ascii="Times New Roman" w:cs="Times New Roman" w:eastAsia="Times New Roman" w:hAnsi="Times New Roman"/>
          <w:sz w:val="13"/>
          <w:szCs w:val="13"/>
          <w:b w:val="1"/>
          <w:bCs w:val="1"/>
          <w:color w:val="auto"/>
        </w:rPr>
        <w:t>PERATIONS</w:t>
      </w:r>
    </w:p>
    <w:p>
      <w:pPr>
        <w:spacing w:after="0" w:line="19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Summary. </w:t>
      </w:r>
      <w:r>
        <w:rPr>
          <w:rFonts w:ascii="Times New Roman" w:cs="Times New Roman" w:eastAsia="Times New Roman" w:hAnsi="Times New Roman"/>
          <w:sz w:val="17"/>
          <w:szCs w:val="17"/>
          <w:color w:val="auto"/>
        </w:rPr>
        <w:t>We recorded net income of $17.5 million and $13.8 million during the three months ended September 30, 2025 and 2024, respectively. The increase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2025 third quarter results as compared to 2024 is due primarily to a $3.6 million favorable change in the fair value due to price of capitalized mortgage loan servicing rights and a $3.5 million increase in the net interest income that were partially offset by a $1.5 million increase in non-interest expense.</w:t>
      </w:r>
    </w:p>
    <w:p>
      <w:pPr>
        <w:spacing w:after="0" w:line="1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recorded net income of $50.0 million and $48.3 million during the nine months ended September 30, 2025 and 2024, respectively. The increase in 2025 year-to-date results as compared to 2024 is primarily due to a $10.3 million increase in net interest income that was partially offset by a $4.0 million increase in non-interest expense, a $2.0 million increase in the provision for credit losses, a $1.8 million decrease in mortgage loan servicing, net and the prior year including a $2.7 million gain on Visa Inc. common stock.</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Key performance ratios</w:t>
            </w: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45"/>
        </w:trPr>
        <w:tc>
          <w:tcPr>
            <w:tcW w:w="4020" w:type="dxa"/>
            <w:vAlign w:val="bottom"/>
          </w:tcPr>
          <w:p>
            <w:pPr>
              <w:spacing w:after="0"/>
              <w:rPr>
                <w:sz w:val="21"/>
                <w:szCs w:val="21"/>
                <w:color w:val="auto"/>
              </w:rPr>
            </w:pPr>
          </w:p>
        </w:tc>
        <w:tc>
          <w:tcPr>
            <w:tcW w:w="3660" w:type="dxa"/>
            <w:vAlign w:val="bottom"/>
            <w:gridSpan w:val="6"/>
          </w:tcPr>
          <w:p>
            <w:pPr>
              <w:ind w:left="560"/>
              <w:spacing w:after="0"/>
              <w:rPr>
                <w:sz w:val="20"/>
                <w:szCs w:val="20"/>
                <w:color w:val="auto"/>
              </w:rPr>
            </w:pPr>
            <w:r>
              <w:rPr>
                <w:rFonts w:ascii="Times New Roman" w:cs="Times New Roman" w:eastAsia="Times New Roman" w:hAnsi="Times New Roman"/>
                <w:sz w:val="17"/>
                <w:szCs w:val="17"/>
                <w:color w:val="auto"/>
              </w:rPr>
              <w:t>Three months ended September 30,</w:t>
            </w:r>
          </w:p>
        </w:tc>
        <w:tc>
          <w:tcPr>
            <w:tcW w:w="340" w:type="dxa"/>
            <w:vAlign w:val="bottom"/>
          </w:tcPr>
          <w:p>
            <w:pPr>
              <w:spacing w:after="0"/>
              <w:rPr>
                <w:sz w:val="21"/>
                <w:szCs w:val="21"/>
                <w:color w:val="auto"/>
              </w:rPr>
            </w:pPr>
          </w:p>
        </w:tc>
        <w:tc>
          <w:tcPr>
            <w:tcW w:w="3220" w:type="dxa"/>
            <w:vAlign w:val="bottom"/>
            <w:gridSpan w:val="4"/>
          </w:tcPr>
          <w:p>
            <w:pPr>
              <w:jc w:val="right"/>
              <w:ind w:right="514"/>
              <w:spacing w:after="0"/>
              <w:rPr>
                <w:sz w:val="20"/>
                <w:szCs w:val="20"/>
                <w:color w:val="auto"/>
              </w:rPr>
            </w:pPr>
            <w:r>
              <w:rPr>
                <w:rFonts w:ascii="Times New Roman" w:cs="Times New Roman" w:eastAsia="Times New Roman" w:hAnsi="Times New Roman"/>
                <w:sz w:val="17"/>
                <w:szCs w:val="17"/>
                <w:color w:val="auto"/>
              </w:rPr>
              <w:t>Nine months ended September 30,</w:t>
            </w:r>
          </w:p>
        </w:tc>
      </w:tr>
      <w:tr>
        <w:trPr>
          <w:trHeight w:val="237"/>
        </w:trPr>
        <w:tc>
          <w:tcPr>
            <w:tcW w:w="402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rPr>
              <w:t>2024</w:t>
            </w:r>
          </w:p>
        </w:tc>
      </w:tr>
      <w:tr>
        <w:trPr>
          <w:trHeight w:val="22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(annualized) to</w:t>
            </w: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51"/>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Average assets</w:t>
            </w:r>
          </w:p>
        </w:tc>
        <w:tc>
          <w:tcPr>
            <w:tcW w:w="10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1.27 %</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1.04 %</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1.24 %</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1.24 %</w:t>
            </w:r>
          </w:p>
        </w:tc>
      </w:tr>
      <w:tr>
        <w:trPr>
          <w:trHeight w:val="239"/>
        </w:trPr>
        <w:tc>
          <w:tcPr>
            <w:tcW w:w="4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Average shareholders’ equity</w:t>
            </w:r>
          </w:p>
        </w:tc>
        <w:tc>
          <w:tcPr>
            <w:tcW w:w="10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14.57 %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12.54 %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14.32 %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15.42 %</w:t>
            </w:r>
          </w:p>
        </w:tc>
      </w:tr>
      <w:tr>
        <w:trPr>
          <w:trHeight w:val="264"/>
        </w:trPr>
        <w:tc>
          <w:tcPr>
            <w:tcW w:w="40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39"/>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per common share</w:t>
            </w: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1"/>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Basic</w:t>
            </w:r>
          </w:p>
        </w:tc>
        <w:tc>
          <w:tcPr>
            <w:tcW w:w="108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0.85</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0.66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2.40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2.31</w:t>
            </w:r>
          </w:p>
        </w:tc>
      </w:tr>
      <w:tr>
        <w:trPr>
          <w:trHeight w:val="232"/>
        </w:trPr>
        <w:tc>
          <w:tcPr>
            <w:tcW w:w="4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1080" w:type="dxa"/>
            <w:vAlign w:val="bottom"/>
          </w:tcPr>
          <w:p>
            <w:pPr>
              <w:spacing w:after="0"/>
              <w:rPr>
                <w:sz w:val="20"/>
                <w:szCs w:val="20"/>
                <w:color w:val="auto"/>
              </w:rPr>
            </w:pPr>
          </w:p>
        </w:tc>
        <w:tc>
          <w:tcPr>
            <w:tcW w:w="6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0.84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0.65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2.38</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Net interest income. </w:t>
      </w:r>
      <w:r>
        <w:rPr>
          <w:rFonts w:ascii="Times New Roman" w:cs="Times New Roman" w:eastAsia="Times New Roman" w:hAnsi="Times New Roman"/>
          <w:sz w:val="17"/>
          <w:szCs w:val="17"/>
          <w:color w:val="auto"/>
        </w:rPr>
        <w:t>Net interest income is the most important source of our earnings and thus is critical in evaluating our results of operations. Changes in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net interest income are primarily influenced by our level of interest-earning assets and 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and interest-rate risk in particular can adversely impact our net interest income.</w:t>
      </w:r>
    </w:p>
    <w:p>
      <w:pPr>
        <w:spacing w:after="0" w:line="13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net interest income totaled $45.4 million during the third quarter of 2025, an increase of $3.5 million, or 8.4% from the year-ago period. This increase primarily reflects a $173.8 million increase in average interest-earning assets and a 17 basis point increase in our tax equivalent net interest income as a percent of average interest-earning assets (the “net interest margin”).</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the first nine months of 2025, net interest income totaled $133.7 million, an increase of $10.3 million, or 8.3% from 2024. This increase primarily reflects a $161.6 million increase in average interest-earning assets and a 19 basis point increase in our net interest margin.</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increase in average interest-earning assets in both the three and nine month periods of 2025 as compared to the same periods in 2024 primarily reflects growth in commercial loans funded from decreases in installment loans and securities available for sale and held to maturity as well as an increase in deposits.</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increases in our net interest margin during the three and nine month periods in 2025 is attributed to 27 basis point decreases in interest expense as a percent of average interest-earning assets ("Cost of Funds") that were only partially offset by 10 basis point and eight basis point decreases, respectfully in interest income as a percent of average interest-earning assets ("Asset Yield") during those same periods. These decreases are primarily attributed to the decreases in the federal funds rate since September of 2024. Our Cost of Funds has been positively impacted by deposit pricing sensitivity to the decreases in interest rates discussed above. Our Asset Yield has been negatively impacted by lower rates on variable rate earning assets. However, this impact has been partially offset by the origination of new fixed rate loans at rates higher than those in our current portfolio, as well as a shift in earning asset mix from generally lower rate investment securities to higher rate loans. See Asset/liability management.</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net interest income is also impacted by our level of non-accrual loans. In the third quarter and first nine months of 2025, non-accrual loans averaged $10.8 million and $8.4 million, respectively. In the third quarter and first nine months of 2024, non-accrual loans averaged $4.5 million and $4.1 million, respectively. In addition, in the third quarter and first nine months of 2025 we had net recoveries of $0.1 million and $0.3 million, respectively of unpaid interest on loans placed on or taken off non-accrual or on loans previously charged-off compared to net recoveries of $0.1 million and $0.5 million, respectively, during the same periods in 2024.</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95"/>
        </w:trPr>
        <w:tc>
          <w:tcPr>
            <w:tcW w:w="260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402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Average Balances and Tax Equivalent Rates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3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auto"/>
              </w:rPr>
              <w:t>Three Months Ended September 30,</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Average</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Average</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Balance</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Interest</w:t>
            </w:r>
          </w:p>
        </w:tc>
        <w:tc>
          <w:tcPr>
            <w:tcW w:w="14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Rate (2)</w:t>
            </w: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Balance</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Interest</w:t>
            </w:r>
          </w:p>
        </w:tc>
        <w:tc>
          <w:tcPr>
            <w:tcW w:w="14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Rate (2)</w:t>
            </w: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gridSpan w:val="5"/>
          </w:tcPr>
          <w:p>
            <w:pPr>
              <w:ind w:left="720"/>
              <w:spacing w:after="0"/>
              <w:rPr>
                <w:sz w:val="20"/>
                <w:szCs w:val="20"/>
                <w:color w:val="auto"/>
              </w:rPr>
            </w:pPr>
            <w:r>
              <w:rPr>
                <w:rFonts w:ascii="Times New Roman" w:cs="Times New Roman" w:eastAsia="Times New Roman" w:hAnsi="Times New Roman"/>
                <w:sz w:val="17"/>
                <w:szCs w:val="17"/>
                <w:color w:val="auto"/>
              </w:rPr>
              <w:t>(Dollars in thousands)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Taxable loans</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4,193,925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61,250</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5.81 %</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3,901,370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58,322</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w w:val="99"/>
              </w:rPr>
              <w:t>5.96 %</w:t>
            </w: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Tax-exempt loans (1)</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7,632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tcPr>
          <w:p>
            <w:pPr>
              <w:spacing w:after="0"/>
              <w:rPr>
                <w:sz w:val="20"/>
                <w:szCs w:val="20"/>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4.95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8,584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tcPr>
          <w:p>
            <w:pPr>
              <w:spacing w:after="0"/>
              <w:rPr>
                <w:sz w:val="20"/>
                <w:szCs w:val="20"/>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5.14</w:t>
            </w:r>
          </w:p>
        </w:tc>
        <w:tc>
          <w:tcPr>
            <w:tcW w:w="0" w:type="dxa"/>
            <w:vAlign w:val="bottom"/>
          </w:tcPr>
          <w:p>
            <w:pPr>
              <w:spacing w:after="0"/>
              <w:rPr>
                <w:sz w:val="1"/>
                <w:szCs w:val="1"/>
                <w:color w:val="auto"/>
              </w:rPr>
            </w:pPr>
          </w:p>
        </w:tc>
      </w:tr>
      <w:tr>
        <w:trPr>
          <w:trHeight w:val="251"/>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Taxable securities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573,333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3,660</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2.55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665,974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4,502</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2.70</w:t>
            </w:r>
          </w:p>
        </w:tc>
        <w:tc>
          <w:tcPr>
            <w:tcW w:w="0" w:type="dxa"/>
            <w:vAlign w:val="bottom"/>
          </w:tcPr>
          <w:p>
            <w:pPr>
              <w:spacing w:after="0"/>
              <w:rPr>
                <w:sz w:val="1"/>
                <w:szCs w:val="1"/>
                <w:color w:val="auto"/>
              </w:rPr>
            </w:pPr>
          </w:p>
        </w:tc>
      </w:tr>
      <w:tr>
        <w:trPr>
          <w:trHeight w:val="252"/>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Tax-exempt securities (1)</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253,029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3,190</w:t>
            </w:r>
          </w:p>
        </w:tc>
        <w:tc>
          <w:tcPr>
            <w:tcW w:w="100" w:type="dxa"/>
            <w:vAlign w:val="bottom"/>
          </w:tcPr>
          <w:p>
            <w:pPr>
              <w:spacing w:after="0"/>
              <w:rPr>
                <w:sz w:val="21"/>
                <w:szCs w:val="21"/>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5.04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267,776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3,539</w:t>
            </w:r>
          </w:p>
        </w:tc>
        <w:tc>
          <w:tcPr>
            <w:tcW w:w="80" w:type="dxa"/>
            <w:vAlign w:val="bottom"/>
          </w:tcPr>
          <w:p>
            <w:pPr>
              <w:spacing w:after="0"/>
              <w:rPr>
                <w:sz w:val="21"/>
                <w:szCs w:val="21"/>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5.29</w:t>
            </w:r>
          </w:p>
        </w:tc>
        <w:tc>
          <w:tcPr>
            <w:tcW w:w="0" w:type="dxa"/>
            <w:vAlign w:val="bottom"/>
          </w:tcPr>
          <w:p>
            <w:pPr>
              <w:spacing w:after="0"/>
              <w:rPr>
                <w:sz w:val="1"/>
                <w:szCs w:val="1"/>
                <w:color w:val="auto"/>
              </w:rPr>
            </w:pPr>
          </w:p>
        </w:tc>
      </w:tr>
      <w:tr>
        <w:trPr>
          <w:trHeight w:val="251"/>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bearing cash</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113,660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1,261</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4.40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126,039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1,717</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5.42</w:t>
            </w:r>
          </w:p>
        </w:tc>
        <w:tc>
          <w:tcPr>
            <w:tcW w:w="0" w:type="dxa"/>
            <w:vAlign w:val="bottom"/>
          </w:tcPr>
          <w:p>
            <w:pPr>
              <w:spacing w:after="0"/>
              <w:rPr>
                <w:sz w:val="1"/>
                <w:szCs w:val="1"/>
                <w:color w:val="auto"/>
              </w:rPr>
            </w:pPr>
          </w:p>
        </w:tc>
      </w:tr>
      <w:tr>
        <w:trPr>
          <w:trHeight w:val="239"/>
        </w:trPr>
        <w:tc>
          <w:tcPr>
            <w:tcW w:w="2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investments</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18,102</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ind w:left="920"/>
              <w:spacing w:after="0"/>
              <w:rPr>
                <w:sz w:val="20"/>
                <w:szCs w:val="20"/>
                <w:color w:val="auto"/>
              </w:rPr>
            </w:pPr>
            <w:r>
              <w:rPr>
                <w:rFonts w:ascii="Times New Roman" w:cs="Times New Roman" w:eastAsia="Times New Roman" w:hAnsi="Times New Roman"/>
                <w:sz w:val="17"/>
                <w:szCs w:val="17"/>
                <w:color w:val="auto"/>
              </w:rPr>
              <w:t>6.12</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16,099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8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ind w:left="940"/>
              <w:spacing w:after="0"/>
              <w:rPr>
                <w:sz w:val="20"/>
                <w:szCs w:val="20"/>
                <w:color w:val="auto"/>
              </w:rPr>
            </w:pPr>
            <w:r>
              <w:rPr>
                <w:rFonts w:ascii="Times New Roman" w:cs="Times New Roman" w:eastAsia="Times New Roman" w:hAnsi="Times New Roman"/>
                <w:sz w:val="17"/>
                <w:szCs w:val="17"/>
                <w:color w:val="auto"/>
              </w:rPr>
              <w:t>7.48</w:t>
            </w:r>
          </w:p>
        </w:tc>
        <w:tc>
          <w:tcPr>
            <w:tcW w:w="0" w:type="dxa"/>
            <w:vAlign w:val="bottom"/>
          </w:tcPr>
          <w:p>
            <w:pPr>
              <w:spacing w:after="0"/>
              <w:rPr>
                <w:sz w:val="1"/>
                <w:szCs w:val="1"/>
                <w:color w:val="auto"/>
              </w:rPr>
            </w:pPr>
          </w:p>
        </w:tc>
      </w:tr>
      <w:tr>
        <w:trPr>
          <w:trHeight w:val="244"/>
        </w:trPr>
        <w:tc>
          <w:tcPr>
            <w:tcW w:w="2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Earning Assets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5,159,681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69,733</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5.38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4,985,842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68,492</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5.48</w:t>
            </w: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and due from banks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58,099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net</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234,143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232,570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5,451,923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5,275,623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Savings and interest-bearing</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checking</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2,850,176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13,282</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1.85</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2,763,558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15,621</w:t>
            </w: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2.25</w:t>
            </w: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Time deposits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930,358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8,690</w:t>
            </w:r>
          </w:p>
        </w:tc>
        <w:tc>
          <w:tcPr>
            <w:tcW w:w="100" w:type="dxa"/>
            <w:vAlign w:val="bottom"/>
          </w:tcPr>
          <w:p>
            <w:pPr>
              <w:spacing w:after="0"/>
              <w:rPr>
                <w:sz w:val="20"/>
                <w:szCs w:val="20"/>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3.71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804,944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8,841</w:t>
            </w:r>
          </w:p>
        </w:tc>
        <w:tc>
          <w:tcPr>
            <w:tcW w:w="80" w:type="dxa"/>
            <w:vAlign w:val="bottom"/>
          </w:tcPr>
          <w:p>
            <w:pPr>
              <w:spacing w:after="0"/>
              <w:rPr>
                <w:sz w:val="20"/>
                <w:szCs w:val="20"/>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4.37</w:t>
            </w:r>
          </w:p>
        </w:tc>
        <w:tc>
          <w:tcPr>
            <w:tcW w:w="0" w:type="dxa"/>
            <w:vAlign w:val="bottom"/>
          </w:tcPr>
          <w:p>
            <w:pPr>
              <w:spacing w:after="0"/>
              <w:rPr>
                <w:sz w:val="1"/>
                <w:szCs w:val="1"/>
                <w:color w:val="auto"/>
              </w:rPr>
            </w:pPr>
          </w:p>
        </w:tc>
      </w:tr>
      <w:tr>
        <w:trPr>
          <w:trHeight w:val="245"/>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borrowings</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81,490</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1,957</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9.57</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121,182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2,018</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6.64</w:t>
            </w:r>
          </w:p>
        </w:tc>
        <w:tc>
          <w:tcPr>
            <w:tcW w:w="0" w:type="dxa"/>
            <w:vAlign w:val="bottom"/>
          </w:tcPr>
          <w:p>
            <w:pPr>
              <w:spacing w:after="0"/>
              <w:rPr>
                <w:sz w:val="1"/>
                <w:szCs w:val="1"/>
                <w:color w:val="auto"/>
              </w:rPr>
            </w:pPr>
          </w:p>
        </w:tc>
      </w:tr>
      <w:tr>
        <w:trPr>
          <w:trHeight w:val="238"/>
        </w:trPr>
        <w:tc>
          <w:tcPr>
            <w:tcW w:w="26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Interest Bearing Liabilities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3,862,024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23,929</w:t>
            </w:r>
          </w:p>
        </w:tc>
        <w:tc>
          <w:tcPr>
            <w:tcW w:w="100" w:type="dxa"/>
            <w:vAlign w:val="bottom"/>
          </w:tcPr>
          <w:p>
            <w:pPr>
              <w:spacing w:after="0"/>
              <w:rPr>
                <w:sz w:val="20"/>
                <w:szCs w:val="20"/>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2.46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3,689,684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26,480</w:t>
            </w:r>
          </w:p>
        </w:tc>
        <w:tc>
          <w:tcPr>
            <w:tcW w:w="80" w:type="dxa"/>
            <w:vAlign w:val="bottom"/>
          </w:tcPr>
          <w:p>
            <w:pPr>
              <w:spacing w:after="0"/>
              <w:rPr>
                <w:sz w:val="20"/>
                <w:szCs w:val="20"/>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2.86</w:t>
            </w:r>
          </w:p>
        </w:tc>
        <w:tc>
          <w:tcPr>
            <w:tcW w:w="0" w:type="dxa"/>
            <w:vAlign w:val="bottom"/>
          </w:tcPr>
          <w:p>
            <w:pPr>
              <w:spacing w:after="0"/>
              <w:rPr>
                <w:sz w:val="1"/>
                <w:szCs w:val="1"/>
                <w:color w:val="auto"/>
              </w:rPr>
            </w:pPr>
          </w:p>
        </w:tc>
      </w:tr>
      <w:tr>
        <w:trPr>
          <w:trHeight w:val="251"/>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Non-interest bearing deposits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1,005,875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1,047,617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107,602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100,245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Shareholders’ equity</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476,422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438,077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liabilities and</w:t>
            </w:r>
          </w:p>
        </w:tc>
        <w:tc>
          <w:tcPr>
            <w:tcW w:w="24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5,451,923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5,275,623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0" w:type="dxa"/>
            <w:vAlign w:val="bottom"/>
            <w:shd w:val="clear" w:color="auto" w:fill="CCEEFF"/>
          </w:tcPr>
          <w:p>
            <w:pPr>
              <w:spacing w:after="0"/>
              <w:rPr>
                <w:sz w:val="21"/>
                <w:szCs w:val="21"/>
                <w:color w:val="auto"/>
              </w:rPr>
            </w:pPr>
          </w:p>
        </w:tc>
        <w:tc>
          <w:tcPr>
            <w:tcW w:w="2220" w:type="dxa"/>
            <w:vAlign w:val="bottom"/>
            <w:shd w:val="clear" w:color="auto" w:fill="CCEEFF"/>
          </w:tcPr>
          <w:p>
            <w:pPr>
              <w:jc w:val="center"/>
              <w:ind w:right="374"/>
              <w:spacing w:after="0"/>
              <w:rPr>
                <w:sz w:val="20"/>
                <w:szCs w:val="20"/>
                <w:color w:val="auto"/>
              </w:rPr>
            </w:pPr>
            <w:r>
              <w:rPr>
                <w:rFonts w:ascii="Times New Roman" w:cs="Times New Roman" w:eastAsia="Times New Roman" w:hAnsi="Times New Roman"/>
                <w:sz w:val="17"/>
                <w:szCs w:val="17"/>
                <w:color w:val="auto"/>
              </w:rPr>
              <w:t>shareholders’ equity</w:t>
            </w:r>
          </w:p>
        </w:tc>
        <w:tc>
          <w:tcPr>
            <w:tcW w:w="24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320" w:type="dxa"/>
            <w:vAlign w:val="bottom"/>
            <w:gridSpan w:val="2"/>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8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Interest Income</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45,804</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42,012</w:t>
            </w:r>
          </w:p>
        </w:tc>
        <w:tc>
          <w:tcPr>
            <w:tcW w:w="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Interest Income as a Percent of</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3.54 %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w w:val="99"/>
              </w:rPr>
              <w:t>3.37 %</w:t>
            </w:r>
          </w:p>
        </w:tc>
        <w:tc>
          <w:tcPr>
            <w:tcW w:w="0" w:type="dxa"/>
            <w:vAlign w:val="bottom"/>
          </w:tcPr>
          <w:p>
            <w:pPr>
              <w:spacing w:after="0"/>
              <w:rPr>
                <w:sz w:val="1"/>
                <w:szCs w:val="1"/>
                <w:color w:val="auto"/>
              </w:rPr>
            </w:pPr>
          </w:p>
        </w:tc>
      </w:tr>
      <w:tr>
        <w:trPr>
          <w:trHeight w:val="243"/>
        </w:trPr>
        <w:tc>
          <w:tcPr>
            <w:tcW w:w="26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Average Interest Earning Assets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191" w:lineRule="exact"/>
        <w:rPr>
          <w:sz w:val="20"/>
          <w:szCs w:val="20"/>
          <w:color w:val="auto"/>
        </w:rPr>
      </w:pPr>
    </w:p>
    <w:p>
      <w:pPr>
        <w:ind w:left="300" w:hanging="297"/>
        <w:spacing w:after="0"/>
        <w:tabs>
          <w:tab w:leader="none" w:pos="3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on tax-exempt loans and securities available for sale is presented on a fully tax equivalent basis assuming a marginal tax rate of 21%.</w:t>
      </w:r>
    </w:p>
    <w:p>
      <w:pPr>
        <w:spacing w:after="0" w:line="2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95"/>
        </w:trPr>
        <w:tc>
          <w:tcPr>
            <w:tcW w:w="260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402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Average Balances and Tax Equivalent Rates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3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gridSpan w:val="5"/>
          </w:tcPr>
          <w:p>
            <w:pPr>
              <w:ind w:left="280"/>
              <w:spacing w:after="0"/>
              <w:rPr>
                <w:sz w:val="20"/>
                <w:szCs w:val="20"/>
                <w:color w:val="auto"/>
              </w:rPr>
            </w:pPr>
            <w:r>
              <w:rPr>
                <w:rFonts w:ascii="Times New Roman" w:cs="Times New Roman" w:eastAsia="Times New Roman" w:hAnsi="Times New Roman"/>
                <w:sz w:val="17"/>
                <w:szCs w:val="17"/>
                <w:color w:val="auto"/>
              </w:rPr>
              <w:t>Nine Months Ended September 30,</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Average</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Average</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Balance</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Interest</w:t>
            </w:r>
          </w:p>
        </w:tc>
        <w:tc>
          <w:tcPr>
            <w:tcW w:w="14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Rate</w:t>
            </w: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Balance</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Interest</w:t>
            </w:r>
          </w:p>
        </w:tc>
        <w:tc>
          <w:tcPr>
            <w:tcW w:w="14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Rate (2)</w:t>
            </w: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gridSpan w:val="5"/>
          </w:tcPr>
          <w:p>
            <w:pPr>
              <w:ind w:left="720"/>
              <w:spacing w:after="0"/>
              <w:rPr>
                <w:sz w:val="20"/>
                <w:szCs w:val="20"/>
                <w:color w:val="auto"/>
              </w:rPr>
            </w:pPr>
            <w:r>
              <w:rPr>
                <w:rFonts w:ascii="Times New Roman" w:cs="Times New Roman" w:eastAsia="Times New Roman" w:hAnsi="Times New Roman"/>
                <w:sz w:val="17"/>
                <w:szCs w:val="17"/>
                <w:color w:val="auto"/>
              </w:rPr>
              <w:t>(Dollars in thousands)</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Taxable loans</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4,123,797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178,407</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5.78 %</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3,848,092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169,974</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w w:val="99"/>
              </w:rPr>
              <w:t>5.90 %</w:t>
            </w: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Tax-exempt loans (1)</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100" w:type="dxa"/>
            <w:vAlign w:val="bottom"/>
          </w:tcPr>
          <w:p>
            <w:pPr>
              <w:spacing w:after="0"/>
              <w:rPr>
                <w:sz w:val="20"/>
                <w:szCs w:val="20"/>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5.25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8,660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80" w:type="dxa"/>
            <w:vAlign w:val="bottom"/>
          </w:tcPr>
          <w:p>
            <w:pPr>
              <w:spacing w:after="0"/>
              <w:rPr>
                <w:sz w:val="20"/>
                <w:szCs w:val="20"/>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5.17</w:t>
            </w:r>
          </w:p>
        </w:tc>
        <w:tc>
          <w:tcPr>
            <w:tcW w:w="0" w:type="dxa"/>
            <w:vAlign w:val="bottom"/>
          </w:tcPr>
          <w:p>
            <w:pPr>
              <w:spacing w:after="0"/>
              <w:rPr>
                <w:sz w:val="1"/>
                <w:szCs w:val="1"/>
                <w:color w:val="auto"/>
              </w:rPr>
            </w:pPr>
          </w:p>
        </w:tc>
      </w:tr>
      <w:tr>
        <w:trPr>
          <w:trHeight w:val="251"/>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Taxable securities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594,769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11,491</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2.58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691,327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14,466</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2.79</w:t>
            </w:r>
          </w:p>
        </w:tc>
        <w:tc>
          <w:tcPr>
            <w:tcW w:w="0" w:type="dxa"/>
            <w:vAlign w:val="bottom"/>
          </w:tcPr>
          <w:p>
            <w:pPr>
              <w:spacing w:after="0"/>
              <w:rPr>
                <w:sz w:val="1"/>
                <w:szCs w:val="1"/>
                <w:color w:val="auto"/>
              </w:rPr>
            </w:pPr>
          </w:p>
        </w:tc>
      </w:tr>
      <w:tr>
        <w:trPr>
          <w:trHeight w:val="252"/>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Tax-exempt securities (1)</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257,051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9,590</w:t>
            </w:r>
          </w:p>
        </w:tc>
        <w:tc>
          <w:tcPr>
            <w:tcW w:w="100" w:type="dxa"/>
            <w:vAlign w:val="bottom"/>
          </w:tcPr>
          <w:p>
            <w:pPr>
              <w:spacing w:after="0"/>
              <w:rPr>
                <w:sz w:val="21"/>
                <w:szCs w:val="21"/>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4.97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267,689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10,638</w:t>
            </w:r>
          </w:p>
        </w:tc>
        <w:tc>
          <w:tcPr>
            <w:tcW w:w="80" w:type="dxa"/>
            <w:vAlign w:val="bottom"/>
          </w:tcPr>
          <w:p>
            <w:pPr>
              <w:spacing w:after="0"/>
              <w:rPr>
                <w:sz w:val="21"/>
                <w:szCs w:val="21"/>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5.30</w:t>
            </w:r>
          </w:p>
        </w:tc>
        <w:tc>
          <w:tcPr>
            <w:tcW w:w="0" w:type="dxa"/>
            <w:vAlign w:val="bottom"/>
          </w:tcPr>
          <w:p>
            <w:pPr>
              <w:spacing w:after="0"/>
              <w:rPr>
                <w:sz w:val="1"/>
                <w:szCs w:val="1"/>
                <w:color w:val="auto"/>
              </w:rPr>
            </w:pPr>
          </w:p>
        </w:tc>
      </w:tr>
      <w:tr>
        <w:trPr>
          <w:trHeight w:val="251"/>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bearing cash</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92,263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3,058</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4.43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97,941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3,994</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5.45</w:t>
            </w:r>
          </w:p>
        </w:tc>
        <w:tc>
          <w:tcPr>
            <w:tcW w:w="0" w:type="dxa"/>
            <w:vAlign w:val="bottom"/>
          </w:tcPr>
          <w:p>
            <w:pPr>
              <w:spacing w:after="0"/>
              <w:rPr>
                <w:sz w:val="1"/>
                <w:szCs w:val="1"/>
                <w:color w:val="auto"/>
              </w:rPr>
            </w:pPr>
          </w:p>
        </w:tc>
      </w:tr>
      <w:tr>
        <w:trPr>
          <w:trHeight w:val="239"/>
        </w:trPr>
        <w:tc>
          <w:tcPr>
            <w:tcW w:w="2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investments</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16,731</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825</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ind w:left="920"/>
              <w:spacing w:after="0"/>
              <w:rPr>
                <w:sz w:val="20"/>
                <w:szCs w:val="20"/>
                <w:color w:val="auto"/>
              </w:rPr>
            </w:pPr>
            <w:r>
              <w:rPr>
                <w:rFonts w:ascii="Times New Roman" w:cs="Times New Roman" w:eastAsia="Times New Roman" w:hAnsi="Times New Roman"/>
                <w:sz w:val="17"/>
                <w:szCs w:val="17"/>
                <w:color w:val="auto"/>
              </w:rPr>
              <w:t>6.57</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16,452</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904</w:t>
            </w:r>
          </w:p>
        </w:tc>
        <w:tc>
          <w:tcPr>
            <w:tcW w:w="8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ind w:left="940"/>
              <w:spacing w:after="0"/>
              <w:rPr>
                <w:sz w:val="20"/>
                <w:szCs w:val="20"/>
                <w:color w:val="auto"/>
              </w:rPr>
            </w:pPr>
            <w:r>
              <w:rPr>
                <w:rFonts w:ascii="Times New Roman" w:cs="Times New Roman" w:eastAsia="Times New Roman" w:hAnsi="Times New Roman"/>
                <w:sz w:val="17"/>
                <w:szCs w:val="17"/>
                <w:color w:val="auto"/>
              </w:rPr>
              <w:t>7.33</w:t>
            </w:r>
          </w:p>
        </w:tc>
        <w:tc>
          <w:tcPr>
            <w:tcW w:w="0" w:type="dxa"/>
            <w:vAlign w:val="bottom"/>
          </w:tcPr>
          <w:p>
            <w:pPr>
              <w:spacing w:after="0"/>
              <w:rPr>
                <w:sz w:val="1"/>
                <w:szCs w:val="1"/>
                <w:color w:val="auto"/>
              </w:rPr>
            </w:pPr>
          </w:p>
        </w:tc>
      </w:tr>
      <w:tr>
        <w:trPr>
          <w:trHeight w:val="244"/>
        </w:trPr>
        <w:tc>
          <w:tcPr>
            <w:tcW w:w="2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Earning Assets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5,091,752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203,651</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5.34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4,930,161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200,311</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5.42</w:t>
            </w: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and due from banks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56,073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54,481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net</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237,413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235,026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5,385,238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5,219,668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Savings and interest-bearing</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checking</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2,827,773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38,731</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1.83</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2,690,359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43,178</w:t>
            </w: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2.14</w:t>
            </w: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Time deposits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887,385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24,658</w:t>
            </w:r>
          </w:p>
        </w:tc>
        <w:tc>
          <w:tcPr>
            <w:tcW w:w="100" w:type="dxa"/>
            <w:vAlign w:val="bottom"/>
          </w:tcPr>
          <w:p>
            <w:pPr>
              <w:spacing w:after="0"/>
              <w:rPr>
                <w:sz w:val="20"/>
                <w:szCs w:val="20"/>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3.72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825,984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26,970</w:t>
            </w:r>
          </w:p>
        </w:tc>
        <w:tc>
          <w:tcPr>
            <w:tcW w:w="80" w:type="dxa"/>
            <w:vAlign w:val="bottom"/>
          </w:tcPr>
          <w:p>
            <w:pPr>
              <w:spacing w:after="0"/>
              <w:rPr>
                <w:sz w:val="20"/>
                <w:szCs w:val="20"/>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4.37</w:t>
            </w:r>
          </w:p>
        </w:tc>
        <w:tc>
          <w:tcPr>
            <w:tcW w:w="0" w:type="dxa"/>
            <w:vAlign w:val="bottom"/>
          </w:tcPr>
          <w:p>
            <w:pPr>
              <w:spacing w:after="0"/>
              <w:rPr>
                <w:sz w:val="1"/>
                <w:szCs w:val="1"/>
                <w:color w:val="auto"/>
              </w:rPr>
            </w:pPr>
          </w:p>
        </w:tc>
      </w:tr>
      <w:tr>
        <w:trPr>
          <w:trHeight w:val="245"/>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borrowings</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93,520</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5,262</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7.51</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126,861</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6,253</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6.58</w:t>
            </w:r>
          </w:p>
        </w:tc>
        <w:tc>
          <w:tcPr>
            <w:tcW w:w="0" w:type="dxa"/>
            <w:vAlign w:val="bottom"/>
          </w:tcPr>
          <w:p>
            <w:pPr>
              <w:spacing w:after="0"/>
              <w:rPr>
                <w:sz w:val="1"/>
                <w:szCs w:val="1"/>
                <w:color w:val="auto"/>
              </w:rPr>
            </w:pPr>
          </w:p>
        </w:tc>
      </w:tr>
      <w:tr>
        <w:trPr>
          <w:trHeight w:val="238"/>
        </w:trPr>
        <w:tc>
          <w:tcPr>
            <w:tcW w:w="26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Interest Bearing Liabilities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3,808,678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68,651</w:t>
            </w:r>
          </w:p>
        </w:tc>
        <w:tc>
          <w:tcPr>
            <w:tcW w:w="100" w:type="dxa"/>
            <w:vAlign w:val="bottom"/>
          </w:tcPr>
          <w:p>
            <w:pPr>
              <w:spacing w:after="0"/>
              <w:rPr>
                <w:sz w:val="20"/>
                <w:szCs w:val="20"/>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2.41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3,643,204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76,401</w:t>
            </w:r>
          </w:p>
        </w:tc>
        <w:tc>
          <w:tcPr>
            <w:tcW w:w="80" w:type="dxa"/>
            <w:vAlign w:val="bottom"/>
          </w:tcPr>
          <w:p>
            <w:pPr>
              <w:spacing w:after="0"/>
              <w:rPr>
                <w:sz w:val="20"/>
                <w:szCs w:val="20"/>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2.80</w:t>
            </w:r>
          </w:p>
        </w:tc>
        <w:tc>
          <w:tcPr>
            <w:tcW w:w="0" w:type="dxa"/>
            <w:vAlign w:val="bottom"/>
          </w:tcPr>
          <w:p>
            <w:pPr>
              <w:spacing w:after="0"/>
              <w:rPr>
                <w:sz w:val="1"/>
                <w:szCs w:val="1"/>
                <w:color w:val="auto"/>
              </w:rPr>
            </w:pPr>
          </w:p>
        </w:tc>
      </w:tr>
      <w:tr>
        <w:trPr>
          <w:trHeight w:val="251"/>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Non-interest bearing deposits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1,001,228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1,053,719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108,799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104,057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Shareholders’ equity</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466,533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418,688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liabilities and</w:t>
            </w:r>
          </w:p>
        </w:tc>
        <w:tc>
          <w:tcPr>
            <w:tcW w:w="24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5,385,238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5,219,668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0" w:type="dxa"/>
            <w:vAlign w:val="bottom"/>
            <w:shd w:val="clear" w:color="auto" w:fill="CCEEFF"/>
          </w:tcPr>
          <w:p>
            <w:pPr>
              <w:spacing w:after="0"/>
              <w:rPr>
                <w:sz w:val="21"/>
                <w:szCs w:val="21"/>
                <w:color w:val="auto"/>
              </w:rPr>
            </w:pPr>
          </w:p>
        </w:tc>
        <w:tc>
          <w:tcPr>
            <w:tcW w:w="2220" w:type="dxa"/>
            <w:vAlign w:val="bottom"/>
            <w:shd w:val="clear" w:color="auto" w:fill="CCEEFF"/>
          </w:tcPr>
          <w:p>
            <w:pPr>
              <w:jc w:val="center"/>
              <w:ind w:right="374"/>
              <w:spacing w:after="0"/>
              <w:rPr>
                <w:sz w:val="20"/>
                <w:szCs w:val="20"/>
                <w:color w:val="auto"/>
              </w:rPr>
            </w:pPr>
            <w:r>
              <w:rPr>
                <w:rFonts w:ascii="Times New Roman" w:cs="Times New Roman" w:eastAsia="Times New Roman" w:hAnsi="Times New Roman"/>
                <w:sz w:val="17"/>
                <w:szCs w:val="17"/>
                <w:color w:val="auto"/>
              </w:rPr>
              <w:t>shareholders’ equity</w:t>
            </w:r>
          </w:p>
        </w:tc>
        <w:tc>
          <w:tcPr>
            <w:tcW w:w="24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320" w:type="dxa"/>
            <w:vAlign w:val="bottom"/>
            <w:gridSpan w:val="2"/>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8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Interest Income</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135,000</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123,910</w:t>
            </w:r>
          </w:p>
        </w:tc>
        <w:tc>
          <w:tcPr>
            <w:tcW w:w="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Interest Income as a Percent of</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3.54 %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w w:val="99"/>
              </w:rPr>
              <w:t>3.35 %</w:t>
            </w:r>
          </w:p>
        </w:tc>
        <w:tc>
          <w:tcPr>
            <w:tcW w:w="0" w:type="dxa"/>
            <w:vAlign w:val="bottom"/>
          </w:tcPr>
          <w:p>
            <w:pPr>
              <w:spacing w:after="0"/>
              <w:rPr>
                <w:sz w:val="1"/>
                <w:szCs w:val="1"/>
                <w:color w:val="auto"/>
              </w:rPr>
            </w:pPr>
          </w:p>
        </w:tc>
      </w:tr>
      <w:tr>
        <w:trPr>
          <w:trHeight w:val="243"/>
        </w:trPr>
        <w:tc>
          <w:tcPr>
            <w:tcW w:w="26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Average Interest Earning Assets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191" w:lineRule="exact"/>
        <w:rPr>
          <w:sz w:val="20"/>
          <w:szCs w:val="20"/>
          <w:color w:val="auto"/>
        </w:rPr>
      </w:pPr>
    </w:p>
    <w:p>
      <w:pPr>
        <w:ind w:left="300" w:hanging="297"/>
        <w:spacing w:after="0"/>
        <w:tabs>
          <w:tab w:leader="none" w:pos="3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on tax-exempt loans and securities available for sale is presented on a fully tax equivalent basis assuming a marginal tax rate of 21%.</w:t>
      </w:r>
    </w:p>
    <w:p>
      <w:pPr>
        <w:spacing w:after="0" w:line="2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Annualized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95"/>
        </w:trPr>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960"/>
        </w:trPr>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Reconciliation of Non-GAAP Financial Measures</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25"/>
        </w:trPr>
        <w:tc>
          <w:tcPr>
            <w:tcW w:w="3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Three Months Ended September 30,</w:t>
            </w:r>
          </w:p>
        </w:tc>
        <w:tc>
          <w:tcPr>
            <w:tcW w:w="240" w:type="dxa"/>
            <w:vAlign w:val="bottom"/>
          </w:tcPr>
          <w:p>
            <w:pPr>
              <w:spacing w:after="0"/>
              <w:rPr>
                <w:sz w:val="24"/>
                <w:szCs w:val="24"/>
                <w:color w:val="auto"/>
              </w:rPr>
            </w:pPr>
          </w:p>
        </w:tc>
        <w:tc>
          <w:tcPr>
            <w:tcW w:w="2960" w:type="dxa"/>
            <w:vAlign w:val="bottom"/>
            <w:gridSpan w:val="4"/>
          </w:tcPr>
          <w:p>
            <w:pPr>
              <w:jc w:val="right"/>
              <w:ind w:right="314"/>
              <w:spacing w:after="0"/>
              <w:rPr>
                <w:sz w:val="20"/>
                <w:szCs w:val="20"/>
                <w:color w:val="auto"/>
              </w:rPr>
            </w:pPr>
            <w:r>
              <w:rPr>
                <w:rFonts w:ascii="Times New Roman" w:cs="Times New Roman" w:eastAsia="Times New Roman" w:hAnsi="Times New Roman"/>
                <w:sz w:val="17"/>
                <w:szCs w:val="17"/>
                <w:color w:val="auto"/>
              </w:rPr>
              <w:t>Nine Months Ended September 30,</w:t>
            </w:r>
          </w:p>
        </w:tc>
      </w:tr>
      <w:tr>
        <w:trPr>
          <w:trHeight w:val="250"/>
        </w:trPr>
        <w:tc>
          <w:tcPr>
            <w:tcW w:w="38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2024</w:t>
            </w:r>
          </w:p>
        </w:tc>
      </w:tr>
      <w:tr>
        <w:trPr>
          <w:trHeight w:val="232"/>
        </w:trPr>
        <w:tc>
          <w:tcPr>
            <w:tcW w:w="3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40" w:type="dxa"/>
            <w:vAlign w:val="bottom"/>
            <w:gridSpan w:val="5"/>
          </w:tcPr>
          <w:p>
            <w:pPr>
              <w:ind w:left="480"/>
              <w:spacing w:after="0"/>
              <w:rPr>
                <w:sz w:val="20"/>
                <w:szCs w:val="20"/>
                <w:color w:val="auto"/>
              </w:rPr>
            </w:pPr>
            <w:r>
              <w:rPr>
                <w:rFonts w:ascii="Times New Roman" w:cs="Times New Roman" w:eastAsia="Times New Roman" w:hAnsi="Times New Roman"/>
                <w:sz w:val="17"/>
                <w:szCs w:val="17"/>
                <w:color w:val="auto"/>
              </w:rPr>
              <w:t>(Dollars in thousands)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5"/>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Net Interest Margin, Fully Taxable Equivalent ("FTE")</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474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5"/>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interest income</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45,361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41,854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133,661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123,397</w:t>
            </w:r>
          </w:p>
        </w:tc>
      </w:tr>
      <w:tr>
        <w:trPr>
          <w:trHeight w:val="251"/>
        </w:trPr>
        <w:tc>
          <w:tcPr>
            <w:tcW w:w="47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Add: taxable equivalent adjustment</w:t>
            </w: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443</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158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1,339</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513</w:t>
            </w:r>
          </w:p>
        </w:tc>
      </w:tr>
      <w:tr>
        <w:trPr>
          <w:trHeight w:val="270"/>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interest income - taxable equivalent</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45,804</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42,012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135,000</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123,910</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interest margin (GAAP) (1)</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3.51 %</w:t>
            </w:r>
          </w:p>
        </w:tc>
        <w:tc>
          <w:tcPr>
            <w:tcW w:w="8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3.35 %</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3.50 %</w:t>
            </w:r>
          </w:p>
        </w:tc>
        <w:tc>
          <w:tcPr>
            <w:tcW w:w="8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3.34 %</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2"/>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interest margin (Non-GAAP FTE) (1)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3.54 %</w:t>
            </w:r>
          </w:p>
        </w:tc>
        <w:tc>
          <w:tcPr>
            <w:tcW w:w="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3.37 %</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3.54 %</w:t>
            </w:r>
          </w:p>
        </w:tc>
        <w:tc>
          <w:tcPr>
            <w:tcW w:w="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3.35 %</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Annualized.</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Provision for credit losses. </w:t>
      </w:r>
      <w:r>
        <w:rPr>
          <w:rFonts w:ascii="Times New Roman" w:cs="Times New Roman" w:eastAsia="Times New Roman" w:hAnsi="Times New Roman"/>
          <w:sz w:val="17"/>
          <w:szCs w:val="17"/>
          <w:color w:val="auto"/>
        </w:rPr>
        <w:t>The provision for credit losses was an expense of $1.99 million and an expense of $1.49 million for the three months ended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September 30, 2025 and 2024, respectively. During the nine month periods ended September 30, 2025 and 2024, the provision for credit losses was an expense of $4.21 million and an expense of $2.25 million, respectively.</w:t>
      </w:r>
    </w:p>
    <w:p>
      <w:pPr>
        <w:spacing w:after="0" w:line="1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provision reflects our assessment of the allowance for credit losses (the “ACL”) taking into consideration factors such as loan growth, loan mix, levels of non-performing and classified loans, economic conditions and loan net charge-offs. While we use relevant information to recognize losses on loans, additional provisions for related losses may be necessary based on changes in economic conditions, customer circumstances and other credit risk factors. See “Portfolio Loans and asset quality” for a discussion of the various components of the ACL and their impact on the provision for credit losses in 2025.</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$0.50 million increase in the provision for credit losses expense on loans from the prior year quarter is primarily due to an increase in specific allocations of the ACL on commercial loans including a $13.8 million commercial real estate loan that was put on non-accrual during the quarter as well as an increase in pooled reserves on commercial loans that were partially offset by a two basis point decrease in allocations based on subjective factors. The decrease in the allocation based on subjective factors was due in part to a generally less pessimistic economic outlook including previous expectations of the impact of new tariffs.</w:t>
      </w:r>
    </w:p>
    <w:p>
      <w:pPr>
        <w:spacing w:after="0" w:line="1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$2.0 million increase in the provision for credit losses expense on loans from the prior year to date period is primarily due to a net increase in specific reserve allocations on commercial loans (see above discussion on commercial specific loans), an increase in net charge-offs in both the retail and commercial loan portfolios and an increase in pooled allocations in the commercial loan portfolio that were partially offset by decreases in pooled and specific allocations in the retail loan portfolio and a decrease in allocations based on subjective factors.</w:t>
      </w:r>
    </w:p>
    <w:p>
      <w:pPr>
        <w:spacing w:after="0" w:line="1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year to date provision for credit losses on securities HTM in 2025 and 2024 was a credit of $0.040 million and $1.149 million, respectively. The change in provision for credit losses on securities HTM reflects a partial recovery during the first quarter of 2024 of one corporate security (Signature Bank) totaling $1.125 million. See “Securities” below and note #3 to the interim Condensed Consolidated Financial Statements.</w:t>
      </w:r>
    </w:p>
    <w:p>
      <w:pPr>
        <w:spacing w:after="0" w:line="13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Non-interest income. </w:t>
      </w:r>
      <w:r>
        <w:rPr>
          <w:rFonts w:ascii="Times New Roman" w:cs="Times New Roman" w:eastAsia="Times New Roman" w:hAnsi="Times New Roman"/>
          <w:sz w:val="17"/>
          <w:szCs w:val="17"/>
          <w:color w:val="auto"/>
        </w:rPr>
        <w:t>Non-interest income is a significant element in assessing our results of operations. Non-interest income totaled $11.9 million during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third quarter of 2025 compared to $9.5 million in the third quarter of 2024. For the first nine months of 2025, non-interest income totaled $33.7 million compared to $37.2 million for the first nine months of 2024.</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95"/>
        </w:trPr>
        <w:tc>
          <w:tcPr>
            <w:tcW w:w="46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4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components of non-interest income are as follows:</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46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Non-Interest Income</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gridSpan w:val="7"/>
          </w:tcPr>
          <w:p>
            <w:pPr>
              <w:ind w:left="120"/>
              <w:spacing w:after="0"/>
              <w:rPr>
                <w:sz w:val="20"/>
                <w:szCs w:val="20"/>
                <w:color w:val="auto"/>
              </w:rPr>
            </w:pPr>
            <w:r>
              <w:rPr>
                <w:rFonts w:ascii="Times New Roman" w:cs="Times New Roman" w:eastAsia="Times New Roman" w:hAnsi="Times New Roman"/>
                <w:sz w:val="17"/>
                <w:szCs w:val="17"/>
                <w:color w:val="auto"/>
              </w:rPr>
              <w:t>Three Months Ended September 30,</w:t>
            </w:r>
          </w:p>
        </w:tc>
        <w:tc>
          <w:tcPr>
            <w:tcW w:w="160" w:type="dxa"/>
            <w:vAlign w:val="bottom"/>
          </w:tcPr>
          <w:p>
            <w:pPr>
              <w:spacing w:after="0"/>
              <w:rPr>
                <w:sz w:val="24"/>
                <w:szCs w:val="24"/>
                <w:color w:val="auto"/>
              </w:rPr>
            </w:pPr>
          </w:p>
        </w:tc>
        <w:tc>
          <w:tcPr>
            <w:tcW w:w="2900" w:type="dxa"/>
            <w:vAlign w:val="bottom"/>
            <w:gridSpan w:val="5"/>
          </w:tcPr>
          <w:p>
            <w:pPr>
              <w:jc w:val="center"/>
              <w:ind w:right="74"/>
              <w:spacing w:after="0"/>
              <w:rPr>
                <w:sz w:val="20"/>
                <w:szCs w:val="20"/>
                <w:color w:val="auto"/>
              </w:rPr>
            </w:pPr>
            <w:r>
              <w:rPr>
                <w:rFonts w:ascii="Times New Roman" w:cs="Times New Roman" w:eastAsia="Times New Roman" w:hAnsi="Times New Roman"/>
                <w:sz w:val="17"/>
                <w:szCs w:val="17"/>
                <w:color w:val="auto"/>
              </w:rPr>
              <w:t>Nine Months Ended September 30,</w:t>
            </w: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2024</w:t>
            </w: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2025</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20" w:type="dxa"/>
            <w:vAlign w:val="bottom"/>
            <w:gridSpan w:val="4"/>
          </w:tcPr>
          <w:p>
            <w:pPr>
              <w:jc w:val="right"/>
              <w:ind w:right="934"/>
              <w:spacing w:after="0"/>
              <w:rPr>
                <w:sz w:val="20"/>
                <w:szCs w:val="20"/>
                <w:color w:val="auto"/>
              </w:rPr>
            </w:pPr>
            <w:r>
              <w:rPr>
                <w:rFonts w:ascii="Times New Roman" w:cs="Times New Roman" w:eastAsia="Times New Roman" w:hAnsi="Times New Roman"/>
                <w:sz w:val="17"/>
                <w:szCs w:val="17"/>
                <w:color w:val="auto"/>
              </w:rPr>
              <w:t>(In thousands)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Interchange income</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4,146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10,674</w:t>
            </w:r>
          </w:p>
        </w:tc>
        <w:tc>
          <w:tcPr>
            <w:tcW w:w="4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10,698</w:t>
            </w:r>
          </w:p>
        </w:tc>
        <w:tc>
          <w:tcPr>
            <w:tcW w:w="0" w:type="dxa"/>
            <w:vAlign w:val="bottom"/>
          </w:tcPr>
          <w:p>
            <w:pPr>
              <w:spacing w:after="0"/>
              <w:rPr>
                <w:sz w:val="1"/>
                <w:szCs w:val="1"/>
                <w:color w:val="auto"/>
              </w:rPr>
            </w:pPr>
          </w:p>
        </w:tc>
      </w:tr>
      <w:tr>
        <w:trPr>
          <w:trHeight w:val="239"/>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3,085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8,926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8,894</w:t>
            </w:r>
          </w:p>
        </w:tc>
        <w:tc>
          <w:tcPr>
            <w:tcW w:w="0" w:type="dxa"/>
            <w:vAlign w:val="bottom"/>
          </w:tcPr>
          <w:p>
            <w:pPr>
              <w:spacing w:after="0"/>
              <w:rPr>
                <w:sz w:val="1"/>
                <w:szCs w:val="1"/>
                <w:color w:val="auto"/>
              </w:rPr>
            </w:pPr>
          </w:p>
        </w:tc>
      </w:tr>
      <w:tr>
        <w:trPr>
          <w:trHeight w:val="251"/>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gains (losses) on assets</w:t>
            </w:r>
          </w:p>
        </w:tc>
        <w:tc>
          <w:tcPr>
            <w:tcW w:w="4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Mortgage loans</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2,177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4,874</w:t>
            </w:r>
          </w:p>
        </w:tc>
        <w:tc>
          <w:tcPr>
            <w:tcW w:w="0" w:type="dxa"/>
            <w:vAlign w:val="bottom"/>
          </w:tcPr>
          <w:p>
            <w:pPr>
              <w:spacing w:after="0"/>
              <w:rPr>
                <w:sz w:val="1"/>
                <w:szCs w:val="1"/>
                <w:color w:val="auto"/>
              </w:rPr>
            </w:pPr>
          </w:p>
        </w:tc>
      </w:tr>
      <w:tr>
        <w:trPr>
          <w:trHeight w:val="251"/>
        </w:trPr>
        <w:tc>
          <w:tcPr>
            <w:tcW w:w="4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Equity securities at fair value</w:t>
            </w:r>
          </w:p>
        </w:tc>
        <w:tc>
          <w:tcPr>
            <w:tcW w:w="4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2,685</w:t>
            </w:r>
          </w:p>
        </w:tc>
        <w:tc>
          <w:tcPr>
            <w:tcW w:w="0" w:type="dxa"/>
            <w:vAlign w:val="bottom"/>
          </w:tcPr>
          <w:p>
            <w:pPr>
              <w:spacing w:after="0"/>
              <w:rPr>
                <w:sz w:val="1"/>
                <w:szCs w:val="1"/>
                <w:color w:val="auto"/>
              </w:rPr>
            </w:pPr>
          </w:p>
        </w:tc>
      </w:tr>
      <w:tr>
        <w:trPr>
          <w:trHeight w:val="239"/>
        </w:trPr>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0" w:type="dxa"/>
            <w:vAlign w:val="bottom"/>
          </w:tcPr>
          <w:p>
            <w:pPr>
              <w:spacing w:after="0"/>
              <w:rPr>
                <w:sz w:val="1"/>
                <w:szCs w:val="1"/>
                <w:color w:val="auto"/>
              </w:rPr>
            </w:pPr>
          </w:p>
        </w:tc>
      </w:tr>
      <w:tr>
        <w:trPr>
          <w:trHeight w:val="251"/>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loan servicing, net</w:t>
            </w:r>
          </w:p>
        </w:tc>
        <w:tc>
          <w:tcPr>
            <w:tcW w:w="4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1,686</w:t>
            </w:r>
          </w:p>
        </w:tc>
        <w:tc>
          <w:tcPr>
            <w:tcW w:w="0" w:type="dxa"/>
            <w:vAlign w:val="bottom"/>
          </w:tcPr>
          <w:p>
            <w:pPr>
              <w:spacing w:after="0"/>
              <w:rPr>
                <w:sz w:val="1"/>
                <w:szCs w:val="1"/>
                <w:color w:val="auto"/>
              </w:rPr>
            </w:pPr>
          </w:p>
        </w:tc>
      </w:tr>
      <w:tr>
        <w:trPr>
          <w:trHeight w:val="239"/>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Investment and insurance commissions</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2,524</w:t>
            </w:r>
          </w:p>
        </w:tc>
        <w:tc>
          <w:tcPr>
            <w:tcW w:w="0" w:type="dxa"/>
            <w:vAlign w:val="bottom"/>
          </w:tcPr>
          <w:p>
            <w:pPr>
              <w:spacing w:after="0"/>
              <w:rPr>
                <w:sz w:val="1"/>
                <w:szCs w:val="1"/>
                <w:color w:val="auto"/>
              </w:rPr>
            </w:pPr>
          </w:p>
        </w:tc>
      </w:tr>
      <w:tr>
        <w:trPr>
          <w:trHeight w:val="251"/>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Bank owned life insurance</w:t>
            </w:r>
          </w:p>
        </w:tc>
        <w:tc>
          <w:tcPr>
            <w:tcW w:w="4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0" w:type="dxa"/>
            <w:vAlign w:val="bottom"/>
          </w:tcPr>
          <w:p>
            <w:pPr>
              <w:spacing w:after="0"/>
              <w:rPr>
                <w:sz w:val="1"/>
                <w:szCs w:val="1"/>
                <w:color w:val="auto"/>
              </w:rPr>
            </w:pPr>
          </w:p>
        </w:tc>
      </w:tr>
      <w:tr>
        <w:trPr>
          <w:trHeight w:val="239"/>
        </w:trPr>
        <w:tc>
          <w:tcPr>
            <w:tcW w:w="4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4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1,909</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2,304</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5,720</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5,728</w:t>
            </w:r>
          </w:p>
        </w:tc>
        <w:tc>
          <w:tcPr>
            <w:tcW w:w="0" w:type="dxa"/>
            <w:vAlign w:val="bottom"/>
          </w:tcPr>
          <w:p>
            <w:pPr>
              <w:spacing w:after="0"/>
              <w:rPr>
                <w:sz w:val="1"/>
                <w:szCs w:val="1"/>
                <w:color w:val="auto"/>
              </w:rPr>
            </w:pPr>
          </w:p>
        </w:tc>
      </w:tr>
      <w:tr>
        <w:trPr>
          <w:trHeight w:val="258"/>
        </w:trPr>
        <w:tc>
          <w:tcPr>
            <w:tcW w:w="4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non-interest income</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11,937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9,508</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33,686</w:t>
            </w:r>
          </w:p>
        </w:tc>
        <w:tc>
          <w:tcPr>
            <w:tcW w:w="4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37,241</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Mortgage loan activity is summarized as follows:</w:t>
            </w:r>
          </w:p>
        </w:tc>
        <w:tc>
          <w:tcPr>
            <w:tcW w:w="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2"/>
        </w:trPr>
        <w:tc>
          <w:tcPr>
            <w:tcW w:w="464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46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Mortgage Loan Activity</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000" w:type="dxa"/>
            <w:vAlign w:val="bottom"/>
            <w:gridSpan w:val="7"/>
          </w:tcPr>
          <w:p>
            <w:pPr>
              <w:jc w:val="right"/>
              <w:ind w:right="74"/>
              <w:spacing w:after="0"/>
              <w:rPr>
                <w:sz w:val="20"/>
                <w:szCs w:val="20"/>
                <w:color w:val="auto"/>
              </w:rPr>
            </w:pPr>
            <w:r>
              <w:rPr>
                <w:rFonts w:ascii="Times New Roman" w:cs="Times New Roman" w:eastAsia="Times New Roman" w:hAnsi="Times New Roman"/>
                <w:sz w:val="17"/>
                <w:szCs w:val="17"/>
                <w:color w:val="auto"/>
              </w:rPr>
              <w:t>Three Months Ended September 30,</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5"/>
          </w:tcPr>
          <w:p>
            <w:pPr>
              <w:jc w:val="right"/>
              <w:ind w:right="354"/>
              <w:spacing w:after="0"/>
              <w:rPr>
                <w:sz w:val="20"/>
                <w:szCs w:val="20"/>
                <w:color w:val="auto"/>
              </w:rPr>
            </w:pPr>
            <w:r>
              <w:rPr>
                <w:rFonts w:ascii="Times New Roman" w:cs="Times New Roman" w:eastAsia="Times New Roman" w:hAnsi="Times New Roman"/>
                <w:sz w:val="17"/>
                <w:szCs w:val="17"/>
                <w:color w:val="auto"/>
              </w:rPr>
              <w:t>Nine Months Ended September 30,</w:t>
            </w:r>
          </w:p>
        </w:tc>
        <w:tc>
          <w:tcPr>
            <w:tcW w:w="0" w:type="dxa"/>
            <w:vAlign w:val="bottom"/>
          </w:tcPr>
          <w:p>
            <w:pPr>
              <w:spacing w:after="0"/>
              <w:rPr>
                <w:sz w:val="1"/>
                <w:szCs w:val="1"/>
                <w:color w:val="auto"/>
              </w:rPr>
            </w:pPr>
          </w:p>
        </w:tc>
      </w:tr>
      <w:tr>
        <w:trPr>
          <w:trHeight w:val="264"/>
        </w:trPr>
        <w:tc>
          <w:tcPr>
            <w:tcW w:w="38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2025</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2024</w:t>
            </w:r>
          </w:p>
        </w:tc>
        <w:tc>
          <w:tcPr>
            <w:tcW w:w="4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rPr>
              <w:t>2025</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2024</w:t>
            </w: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60" w:type="dxa"/>
            <w:vAlign w:val="bottom"/>
            <w:gridSpan w:val="5"/>
          </w:tcPr>
          <w:p>
            <w:pPr>
              <w:jc w:val="right"/>
              <w:ind w:right="874"/>
              <w:spacing w:after="0"/>
              <w:rPr>
                <w:sz w:val="20"/>
                <w:szCs w:val="20"/>
                <w:color w:val="auto"/>
              </w:rPr>
            </w:pPr>
            <w:r>
              <w:rPr>
                <w:rFonts w:ascii="Times New Roman" w:cs="Times New Roman" w:eastAsia="Times New Roman" w:hAnsi="Times New Roman"/>
                <w:sz w:val="17"/>
                <w:szCs w:val="17"/>
                <w:color w:val="auto"/>
              </w:rPr>
              <w:t>(Dollars in thousands)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loans originated</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145,561</w:t>
            </w:r>
          </w:p>
        </w:tc>
        <w:tc>
          <w:tcPr>
            <w:tcW w:w="5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147,516</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401,184</w:t>
            </w: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384,112</w:t>
            </w:r>
          </w:p>
        </w:tc>
        <w:tc>
          <w:tcPr>
            <w:tcW w:w="0" w:type="dxa"/>
            <w:vAlign w:val="bottom"/>
          </w:tcPr>
          <w:p>
            <w:pPr>
              <w:spacing w:after="0"/>
              <w:rPr>
                <w:sz w:val="1"/>
                <w:szCs w:val="1"/>
                <w:color w:val="auto"/>
              </w:rPr>
            </w:pPr>
          </w:p>
        </w:tc>
      </w:tr>
      <w:tr>
        <w:trPr>
          <w:trHeight w:val="239"/>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Mortgage loans sold (1)</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101,615</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117,037</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279,593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289,395</w:t>
            </w:r>
          </w:p>
        </w:tc>
        <w:tc>
          <w:tcPr>
            <w:tcW w:w="0" w:type="dxa"/>
            <w:vAlign w:val="bottom"/>
          </w:tcPr>
          <w:p>
            <w:pPr>
              <w:spacing w:after="0"/>
              <w:rPr>
                <w:sz w:val="1"/>
                <w:szCs w:val="1"/>
                <w:color w:val="auto"/>
              </w:rPr>
            </w:pPr>
          </w:p>
        </w:tc>
      </w:tr>
      <w:tr>
        <w:trPr>
          <w:trHeight w:val="251"/>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gains on mortgage loans (2)</w:t>
            </w:r>
          </w:p>
        </w:tc>
        <w:tc>
          <w:tcPr>
            <w:tcW w:w="4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1,474</w:t>
            </w: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2,177</w:t>
            </w: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5,408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4,874</w:t>
            </w:r>
          </w:p>
        </w:tc>
        <w:tc>
          <w:tcPr>
            <w:tcW w:w="0" w:type="dxa"/>
            <w:vAlign w:val="bottom"/>
          </w:tcPr>
          <w:p>
            <w:pPr>
              <w:spacing w:after="0"/>
              <w:rPr>
                <w:sz w:val="1"/>
                <w:szCs w:val="1"/>
                <w:color w:val="auto"/>
              </w:rPr>
            </w:pPr>
          </w:p>
        </w:tc>
      </w:tr>
      <w:tr>
        <w:trPr>
          <w:trHeight w:val="216"/>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gains as a percent of mortgage loans sold ("Loan Sales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Margin")</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54"/>
              <w:spacing w:after="0"/>
              <w:rPr>
                <w:sz w:val="20"/>
                <w:szCs w:val="20"/>
                <w:color w:val="auto"/>
              </w:rPr>
            </w:pPr>
            <w:r>
              <w:rPr>
                <w:rFonts w:ascii="Times New Roman" w:cs="Times New Roman" w:eastAsia="Times New Roman" w:hAnsi="Times New Roman"/>
                <w:sz w:val="17"/>
                <w:szCs w:val="17"/>
                <w:color w:val="auto"/>
              </w:rPr>
              <w:t>1.45 %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194"/>
              <w:spacing w:after="0"/>
              <w:rPr>
                <w:sz w:val="20"/>
                <w:szCs w:val="20"/>
                <w:color w:val="auto"/>
              </w:rPr>
            </w:pPr>
            <w:r>
              <w:rPr>
                <w:rFonts w:ascii="Times New Roman" w:cs="Times New Roman" w:eastAsia="Times New Roman" w:hAnsi="Times New Roman"/>
                <w:sz w:val="17"/>
                <w:szCs w:val="17"/>
                <w:color w:val="auto"/>
              </w:rPr>
              <w:t>1.86 %</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1.93 %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1.68 %</w:t>
            </w:r>
          </w:p>
        </w:tc>
        <w:tc>
          <w:tcPr>
            <w:tcW w:w="0" w:type="dxa"/>
            <w:vAlign w:val="bottom"/>
          </w:tcPr>
          <w:p>
            <w:pPr>
              <w:spacing w:after="0"/>
              <w:rPr>
                <w:sz w:val="1"/>
                <w:szCs w:val="1"/>
                <w:color w:val="auto"/>
              </w:rPr>
            </w:pPr>
          </w:p>
        </w:tc>
      </w:tr>
      <w:tr>
        <w:trPr>
          <w:trHeight w:val="264"/>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adjustments included in the Loan Sales Margin</w:t>
            </w:r>
          </w:p>
        </w:tc>
        <w:tc>
          <w:tcPr>
            <w:tcW w:w="4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0.46</w:t>
            </w:r>
          </w:p>
        </w:tc>
        <w:tc>
          <w:tcPr>
            <w:tcW w:w="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0.32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0.30</w:t>
            </w: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320" w:hanging="317"/>
        <w:spacing w:after="0"/>
        <w:tabs>
          <w:tab w:leader="none" w:pos="229"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Mortgage loan sales in the third quarters of 2025 and 2024 include $4.5 million and $6.6 million, respectively, of portfolio loan transactions. Mortgage loan sales during the first </w:t>
      </w:r>
      <w:r>
        <w:rPr>
          <w:rFonts w:ascii="Times New Roman" w:cs="Times New Roman" w:eastAsia="Times New Roman" w:hAnsi="Times New Roman"/>
          <w:sz w:val="17"/>
          <w:szCs w:val="17"/>
          <w:color w:val="auto"/>
        </w:rPr>
        <w:t xml:space="preserve">nine </w:t>
      </w:r>
      <w:r>
        <w:rPr>
          <w:rFonts w:ascii="Times New Roman" w:cs="Times New Roman" w:eastAsia="Times New Roman" w:hAnsi="Times New Roman"/>
          <w:sz w:val="15"/>
          <w:szCs w:val="15"/>
          <w:color w:val="auto"/>
        </w:rPr>
        <w:t>months of 2025 and 2024 include $19.9 million and $14.7 million, respectively, of portfolio loan transactions. These transactions were performed for interest rate risk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purposes.</w:t>
      </w:r>
    </w:p>
    <w:p>
      <w:pPr>
        <w:spacing w:after="0" w:line="356" w:lineRule="exact"/>
        <w:rPr>
          <w:rFonts w:ascii="Times New Roman" w:cs="Times New Roman" w:eastAsia="Times New Roman" w:hAnsi="Times New Roman"/>
          <w:sz w:val="15"/>
          <w:szCs w:val="15"/>
          <w:color w:val="auto"/>
        </w:rPr>
      </w:pPr>
    </w:p>
    <w:p>
      <w:pPr>
        <w:ind w:left="320" w:hanging="317"/>
        <w:spacing w:after="0" w:line="278" w:lineRule="auto"/>
        <w:tabs>
          <w:tab w:leader="none" w:pos="388"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Net gains on mortgage loans in the third quarters of 2025 and 2024 include net gains of $0.07 million and $0.12 million, respectively, from portfolio loan transactions. Net gains during the first </w:t>
      </w:r>
      <w:r>
        <w:rPr>
          <w:rFonts w:ascii="Times New Roman" w:cs="Times New Roman" w:eastAsia="Times New Roman" w:hAnsi="Times New Roman"/>
          <w:sz w:val="17"/>
          <w:szCs w:val="17"/>
          <w:color w:val="auto"/>
        </w:rPr>
        <w:t>nine</w:t>
      </w:r>
      <w:r>
        <w:rPr>
          <w:rFonts w:ascii="Times New Roman" w:cs="Times New Roman" w:eastAsia="Times New Roman" w:hAnsi="Times New Roman"/>
          <w:sz w:val="15"/>
          <w:szCs w:val="15"/>
          <w:color w:val="auto"/>
        </w:rPr>
        <w:t xml:space="preserve"> months of 2025 and 2024 were $0.4 million and $0.3 million, respectively.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Mortgage loans originated and sold in both the quarter and year to date periods ending September 30, were relatively unchanged in 2025 as compared to 2024.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results reflect ongoing sales efforts by our mortgage lending team.</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Net gains on mortgage loans totaled $1.5 million and $2.2 million during the third quarters of 2025 and 2024, respectively and $5.4 million and $4.9 million during the first nine months of 2025 and 2024, respectively. The decrease from the prior year three month period is attributed to a combination of a lower Loan Sales Margin (due to lower fair value adjustments) and a decrease in the volume of loans sold while the increase during the year to date period is attributed to an increase in the loan sales margin.</w:t>
      </w:r>
    </w:p>
    <w:p>
      <w:pPr>
        <w:spacing w:after="0" w:line="1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Loan Sales Margin is impacted by several factors including competition and the manner in which the loan is sold. Net gains on mortgage loans are also impacted by recording fair value accounting adjustments. Excluding these fair value accounting adjustments, the Loan Sales Margin would have been 1.42% and 1.40% in the third quarters of 2025 and 2024, respectively, and would have been 1.61% and 1.38% in the first nine months of 2025 and 2024, respectively. The increase in the Loan Sales Margin (excluding fair value adjustments) during the first nine months of 2025 was generally due in part to higher primary-to-secondary market pricing spreads relative to the same period last year. The contraction of the Loan Sales Margin during the third quarter of 2025 was due in part to certain loan marketing specials during the third quarter of 2025.</w:t>
      </w:r>
    </w:p>
    <w:p>
      <w:pPr>
        <w:spacing w:after="0" w:line="30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Gain on equity securities at fair value totaled zero and $2.7 million during the first nine months of 2025 and 2024, respectively. The gain in 2024 was the consequence of the exchange of our shares of Visa Class B-1 common stock on May 6, 2024 into a combination of Visa Class C common stock and Visa Class B-2 common stock. With the completion of this exchange, we were able to record the fair value of the Visa Class C common stock through income (as it was convertible into publicly traded Visa Class A common stock) while the Visa Class B-2 common stock continues to be carried at zero. See note #13 to the interim Condensed Consolidated Financial Statements.</w:t>
      </w:r>
    </w:p>
    <w:p>
      <w:pPr>
        <w:spacing w:after="0" w:line="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recorded a net loss of $0.36 million and $0.41 million on the sale of securities AFS for the first nine months of 2025 and 2024, respectively. We recorded no credit related charges in either 2025 or 2024 on securities AFS. See “Securities” below and note #3 to the interim Condensed Consolidated Financial Statements.</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Mortgage loan servicing, net, generated income (expense) of $0.1 million and $(3.1) million in the third quarters of 2025 and 2024, respectively. For the first nine months of 2025 and 2024, mortgage loan servicing, net, generated income (expense) of $(0.1) million and $1.7 million, respectively. The significant variances in mortgage loan servicing, net are primarily due to changes in the fair value of capitalized mortgage loan servicing rights associated with changes in interest rates and the associated expected future prepayment levels and expected float rates as well as a decline in servicing revenue. The decline in revenue, net in the table below is attributed to the sale of approximately $931 million of mortgage servicing rights on January 31, 2025.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Mortgage loan servicing, net activity is summarized in the following table: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Mortgage Servicing Revenue</w:t>
            </w: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38"/>
        </w:trPr>
        <w:tc>
          <w:tcPr>
            <w:tcW w:w="4220" w:type="dxa"/>
            <w:vAlign w:val="bottom"/>
          </w:tcPr>
          <w:p>
            <w:pPr>
              <w:spacing w:after="0"/>
              <w:rPr>
                <w:sz w:val="24"/>
                <w:szCs w:val="24"/>
                <w:color w:val="auto"/>
              </w:rPr>
            </w:pPr>
          </w:p>
        </w:tc>
        <w:tc>
          <w:tcPr>
            <w:tcW w:w="3140" w:type="dxa"/>
            <w:vAlign w:val="bottom"/>
            <w:gridSpan w:val="6"/>
          </w:tcPr>
          <w:p>
            <w:pPr>
              <w:ind w:left="280"/>
              <w:spacing w:after="0"/>
              <w:rPr>
                <w:sz w:val="20"/>
                <w:szCs w:val="20"/>
                <w:color w:val="auto"/>
              </w:rPr>
            </w:pPr>
            <w:r>
              <w:rPr>
                <w:rFonts w:ascii="Times New Roman" w:cs="Times New Roman" w:eastAsia="Times New Roman" w:hAnsi="Times New Roman"/>
                <w:sz w:val="17"/>
                <w:szCs w:val="17"/>
                <w:color w:val="auto"/>
              </w:rPr>
              <w:t>Three Months Ended September 30,</w:t>
            </w:r>
          </w:p>
        </w:tc>
        <w:tc>
          <w:tcPr>
            <w:tcW w:w="220" w:type="dxa"/>
            <w:vAlign w:val="bottom"/>
          </w:tcPr>
          <w:p>
            <w:pPr>
              <w:spacing w:after="0"/>
              <w:rPr>
                <w:sz w:val="24"/>
                <w:szCs w:val="24"/>
                <w:color w:val="auto"/>
              </w:rPr>
            </w:pPr>
          </w:p>
        </w:tc>
        <w:tc>
          <w:tcPr>
            <w:tcW w:w="366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Nine Months Ended September 30,</w:t>
            </w:r>
          </w:p>
        </w:tc>
      </w:tr>
      <w:tr>
        <w:trPr>
          <w:trHeight w:val="263"/>
        </w:trPr>
        <w:tc>
          <w:tcPr>
            <w:tcW w:w="42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2024</w:t>
            </w:r>
          </w:p>
        </w:tc>
        <w:tc>
          <w:tcPr>
            <w:tcW w:w="780" w:type="dxa"/>
            <w:vAlign w:val="bottom"/>
          </w:tcPr>
          <w:p>
            <w:pPr>
              <w:spacing w:after="0"/>
              <w:rPr>
                <w:sz w:val="22"/>
                <w:szCs w:val="22"/>
                <w:color w:val="auto"/>
              </w:rPr>
            </w:pPr>
          </w:p>
        </w:tc>
      </w:tr>
      <w:tr>
        <w:trPr>
          <w:trHeight w:val="239"/>
        </w:trPr>
        <w:tc>
          <w:tcPr>
            <w:tcW w:w="4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Mortgage loan servicing, net:</w:t>
            </w: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20" w:type="dxa"/>
            <w:vAlign w:val="bottom"/>
            <w:gridSpan w:val="5"/>
          </w:tcPr>
          <w:p>
            <w:pPr>
              <w:ind w:left="720"/>
              <w:spacing w:after="0"/>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51"/>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Revenue, net</w:t>
            </w:r>
          </w:p>
        </w:tc>
        <w:tc>
          <w:tcPr>
            <w:tcW w:w="9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6,681</w:t>
            </w:r>
          </w:p>
        </w:tc>
        <w:tc>
          <w:tcPr>
            <w:tcW w:w="780" w:type="dxa"/>
            <w:vAlign w:val="bottom"/>
          </w:tcPr>
          <w:p>
            <w:pPr>
              <w:spacing w:after="0"/>
              <w:rPr>
                <w:sz w:val="21"/>
                <w:szCs w:val="21"/>
                <w:color w:val="auto"/>
              </w:rPr>
            </w:pPr>
          </w:p>
        </w:tc>
      </w:tr>
      <w:tr>
        <w:trPr>
          <w:trHeight w:val="239"/>
        </w:trPr>
        <w:tc>
          <w:tcPr>
            <w:tcW w:w="4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Fair value change due to price</w:t>
            </w: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(1,979)</w:t>
            </w:r>
          </w:p>
        </w:tc>
        <w:tc>
          <w:tcPr>
            <w:tcW w:w="780" w:type="dxa"/>
            <w:vAlign w:val="bottom"/>
          </w:tcPr>
          <w:p>
            <w:pPr>
              <w:spacing w:after="0"/>
              <w:rPr>
                <w:sz w:val="20"/>
                <w:szCs w:val="20"/>
                <w:color w:val="auto"/>
              </w:rPr>
            </w:pPr>
          </w:p>
        </w:tc>
      </w:tr>
      <w:tr>
        <w:trPr>
          <w:trHeight w:val="251"/>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Fair value change due to pay-downs</w:t>
            </w:r>
          </w:p>
        </w:tc>
        <w:tc>
          <w:tcPr>
            <w:tcW w:w="9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(3,016)</w:t>
            </w:r>
          </w:p>
        </w:tc>
        <w:tc>
          <w:tcPr>
            <w:tcW w:w="780" w:type="dxa"/>
            <w:vAlign w:val="bottom"/>
          </w:tcPr>
          <w:p>
            <w:pPr>
              <w:spacing w:after="0"/>
              <w:rPr>
                <w:sz w:val="21"/>
                <w:szCs w:val="21"/>
                <w:color w:val="auto"/>
              </w:rPr>
            </w:pPr>
          </w:p>
        </w:tc>
      </w:tr>
      <w:tr>
        <w:trPr>
          <w:trHeight w:val="239"/>
        </w:trPr>
        <w:tc>
          <w:tcPr>
            <w:tcW w:w="4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Loss on sale of originated servicing rights</w:t>
            </w: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gridSpan w:val="2"/>
          </w:tcPr>
          <w:p>
            <w:pPr>
              <w:jc w:val="right"/>
              <w:ind w:right="860"/>
              <w:spacing w:after="0"/>
              <w:rPr>
                <w:sz w:val="20"/>
                <w:szCs w:val="20"/>
                <w:color w:val="auto"/>
              </w:rPr>
            </w:pPr>
            <w:r>
              <w:rPr>
                <w:rFonts w:ascii="Times New Roman" w:cs="Times New Roman" w:eastAsia="Times New Roman" w:hAnsi="Times New Roman"/>
                <w:sz w:val="17"/>
                <w:szCs w:val="17"/>
                <w:color w:val="auto"/>
              </w:rPr>
              <w:t>—</w:t>
            </w:r>
          </w:p>
        </w:tc>
      </w:tr>
      <w:tr>
        <w:trPr>
          <w:trHeight w:val="269"/>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960" w:type="dxa"/>
            <w:vAlign w:val="bottom"/>
            <w:tcBorders>
              <w:top w:val="single" w:sz="8" w:color="auto"/>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1,686</w:t>
            </w:r>
          </w:p>
        </w:tc>
        <w:tc>
          <w:tcPr>
            <w:tcW w:w="780" w:type="dxa"/>
            <w:vAlign w:val="bottom"/>
          </w:tcPr>
          <w:p>
            <w:pPr>
              <w:spacing w:after="0"/>
              <w:rPr>
                <w:sz w:val="22"/>
                <w:szCs w:val="22"/>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836"/>
        </w:trPr>
        <w:tc>
          <w:tcPr>
            <w:tcW w:w="4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75</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96"/>
        </w:trPr>
        <w:tc>
          <w:tcPr>
            <w:tcW w:w="42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Activity related to capitalized mortgage loan servicing rights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Capitalized Mortgage Loan Servicing Rights</w:t>
            </w: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25"/>
        </w:trPr>
        <w:tc>
          <w:tcPr>
            <w:tcW w:w="4600" w:type="dxa"/>
            <w:vAlign w:val="bottom"/>
          </w:tcPr>
          <w:p>
            <w:pPr>
              <w:spacing w:after="0"/>
              <w:rPr>
                <w:sz w:val="24"/>
                <w:szCs w:val="24"/>
                <w:color w:val="auto"/>
              </w:rPr>
            </w:pPr>
          </w:p>
        </w:tc>
        <w:tc>
          <w:tcPr>
            <w:tcW w:w="3040" w:type="dxa"/>
            <w:vAlign w:val="bottom"/>
            <w:gridSpan w:val="6"/>
          </w:tcPr>
          <w:p>
            <w:pPr>
              <w:ind w:left="260"/>
              <w:spacing w:after="0"/>
              <w:rPr>
                <w:sz w:val="20"/>
                <w:szCs w:val="20"/>
                <w:color w:val="auto"/>
              </w:rPr>
            </w:pPr>
            <w:r>
              <w:rPr>
                <w:rFonts w:ascii="Times New Roman" w:cs="Times New Roman" w:eastAsia="Times New Roman" w:hAnsi="Times New Roman"/>
                <w:sz w:val="17"/>
                <w:szCs w:val="17"/>
                <w:color w:val="auto"/>
              </w:rPr>
              <w:t>Three months ended September 30,</w:t>
            </w:r>
          </w:p>
        </w:tc>
        <w:tc>
          <w:tcPr>
            <w:tcW w:w="260" w:type="dxa"/>
            <w:vAlign w:val="bottom"/>
          </w:tcPr>
          <w:p>
            <w:pPr>
              <w:spacing w:after="0"/>
              <w:rPr>
                <w:sz w:val="24"/>
                <w:szCs w:val="24"/>
                <w:color w:val="auto"/>
              </w:rPr>
            </w:pPr>
          </w:p>
        </w:tc>
        <w:tc>
          <w:tcPr>
            <w:tcW w:w="2940" w:type="dxa"/>
            <w:vAlign w:val="bottom"/>
            <w:gridSpan w:val="4"/>
          </w:tcPr>
          <w:p>
            <w:pPr>
              <w:jc w:val="right"/>
              <w:ind w:right="314"/>
              <w:spacing w:after="0"/>
              <w:rPr>
                <w:sz w:val="20"/>
                <w:szCs w:val="20"/>
                <w:color w:val="auto"/>
              </w:rPr>
            </w:pPr>
            <w:r>
              <w:rPr>
                <w:rFonts w:ascii="Times New Roman" w:cs="Times New Roman" w:eastAsia="Times New Roman" w:hAnsi="Times New Roman"/>
                <w:sz w:val="17"/>
                <w:szCs w:val="17"/>
                <w:color w:val="auto"/>
              </w:rPr>
              <w:t>Nine months ended September 30,</w:t>
            </w:r>
          </w:p>
        </w:tc>
      </w:tr>
      <w:tr>
        <w:trPr>
          <w:trHeight w:val="264"/>
        </w:trPr>
        <w:tc>
          <w:tcPr>
            <w:tcW w:w="460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2024</w:t>
            </w:r>
          </w:p>
        </w:tc>
      </w:tr>
      <w:tr>
        <w:trPr>
          <w:trHeight w:val="238"/>
        </w:trPr>
        <w:tc>
          <w:tcPr>
            <w:tcW w:w="4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gridSpan w:val="5"/>
          </w:tcPr>
          <w:p>
            <w:pPr>
              <w:jc w:val="center"/>
              <w:ind w:right="420"/>
              <w:spacing w:after="0"/>
              <w:rPr>
                <w:sz w:val="20"/>
                <w:szCs w:val="20"/>
                <w:color w:val="auto"/>
              </w:rPr>
            </w:pPr>
            <w:r>
              <w:rPr>
                <w:rFonts w:ascii="Times New Roman" w:cs="Times New Roman" w:eastAsia="Times New Roman" w:hAnsi="Times New Roman"/>
                <w:sz w:val="17"/>
                <w:szCs w:val="17"/>
                <w:color w:val="auto"/>
              </w:rPr>
              <w:t>(In thousands)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1"/>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88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32,053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44,406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46,796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42,243</w:t>
            </w:r>
          </w:p>
        </w:tc>
      </w:tr>
      <w:tr>
        <w:trPr>
          <w:trHeight w:val="239"/>
        </w:trPr>
        <w:tc>
          <w:tcPr>
            <w:tcW w:w="46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Originated servicing rights capitalized</w:t>
            </w: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2,956</w:t>
            </w:r>
          </w:p>
        </w:tc>
      </w:tr>
      <w:tr>
        <w:trPr>
          <w:trHeight w:val="251"/>
        </w:trPr>
        <w:tc>
          <w:tcPr>
            <w:tcW w:w="4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Change in fair value</w:t>
            </w:r>
          </w:p>
        </w:tc>
        <w:tc>
          <w:tcPr>
            <w:tcW w:w="8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(4,995)</w:t>
            </w:r>
          </w:p>
        </w:tc>
      </w:tr>
      <w:tr>
        <w:trPr>
          <w:trHeight w:val="239"/>
        </w:trPr>
        <w:tc>
          <w:tcPr>
            <w:tcW w:w="46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Sale of originated servicing rights (1)</w:t>
            </w: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(12,823)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4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Loss on sale of originated servicing rights (1)</w:t>
            </w:r>
          </w:p>
        </w:tc>
        <w:tc>
          <w:tcPr>
            <w:tcW w:w="8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4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880" w:type="dxa"/>
            <w:vAlign w:val="bottom"/>
            <w:tcBorders>
              <w:top w:val="single" w:sz="8" w:color="auto"/>
              <w:bottom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31,522</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40,204</w:t>
            </w: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31,522</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40,204</w:t>
            </w:r>
          </w:p>
        </w:tc>
      </w:tr>
      <w:tr>
        <w:trPr>
          <w:trHeight w:val="25"/>
        </w:trPr>
        <w:tc>
          <w:tcPr>
            <w:tcW w:w="46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173" w:lineRule="exact"/>
        <w:rPr>
          <w:sz w:val="20"/>
          <w:szCs w:val="20"/>
          <w:color w:val="auto"/>
        </w:rPr>
      </w:pPr>
    </w:p>
    <w:p>
      <w:pPr>
        <w:jc w:val="both"/>
        <w:ind w:left="320" w:hanging="317"/>
        <w:spacing w:after="0" w:line="252" w:lineRule="auto"/>
        <w:tabs>
          <w:tab w:leader="none" w:pos="463"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31, 2025 we sold $931.6 million of mortgage loan servicing rights (26.3% of total servicing portfolio) and transferred the servicing on March 3, 2025. This sale represented approximately $13.1 million (27.9%) of the total capitalized mortgage loan servicing right asset. While there remains a customary hold back of final settlement funds of approximately $0.6 million relating to this transaction, we are not aware of any issues that will have a material impact on this final payment. We have until the first quarter, 2026 to receive this final payment. Transaction expenses relating to this sale were approximately $0.2 million and was expensed during the first quarter of 2025.</w:t>
      </w:r>
    </w:p>
    <w:p>
      <w:pPr>
        <w:spacing w:after="0" w:line="1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At September 30, 2025 we were servicing approximately $2.62 billion in mortgage loans for others on which servicing rights have been capitalized. This servicing portfolio had a weighted average coupon rate of 4.49% and a weighted average service fee of approximately 25.6 basis points. Capitalized mortgage loan servicing rights at September 30, 2025 totaled $31.5 million, representing approximately 120.3 basis points on the related amount of mortgage loans serviced for others.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summarized in the table above, the decrease in capitalized mortgage loan servicing rights during the first nine months of 2025 is primarily attributed to the originated mortgage loan servicing rights sale. This transaction was executed in part to reduce the amount of exposure the bank had to rate variances that may impact the mortgage servicing right asset valuation in future periods. With this sale, it is expected mortgage loan servicing, net will decrease commensurate with the amount of servicing sold relative to the same periods in 2024. While the magnitude of fair value adjustments would also be expected to decrease, those adjustments are dependent upon factors that are harder to predict.</w:t>
      </w:r>
    </w:p>
    <w:p>
      <w:pPr>
        <w:spacing w:after="0" w:line="18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Bank owned life insurance increased by $0.1 million and $0.3 million in the third quarter and first nine months of 2025, respectively compared to the same prior year periods due to an increase in crediting rate.</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Other income in the table above decreased by $0.4 million in the third quarter of 2025, as compared to the same prior year period due to lower commercial loan swap fees.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Non-interest expense. </w:t>
      </w:r>
      <w:r>
        <w:rPr>
          <w:rFonts w:ascii="Times New Roman" w:cs="Times New Roman" w:eastAsia="Times New Roman" w:hAnsi="Times New Roman"/>
          <w:sz w:val="17"/>
          <w:szCs w:val="17"/>
          <w:color w:val="auto"/>
        </w:rPr>
        <w:t>Non-interest expense is an important component of our results of operations. We strive to efficiently manage our cost structure.</w:t>
      </w:r>
    </w:p>
    <w:p>
      <w:pPr>
        <w:spacing w:after="0" w:line="1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Non-interest expense increased by $1.5 million to $34.1 million and increased by $4.0 million to $102.2 million during the three- and nine-month periods ended September 30, 2025, respectively, compared to the same periods in 2024.</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95"/>
        </w:trPr>
        <w:tc>
          <w:tcPr>
            <w:tcW w:w="55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960"/>
        </w:trPr>
        <w:tc>
          <w:tcPr>
            <w:tcW w:w="5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components of non-interest expense are as follows: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87"/>
        </w:trPr>
        <w:tc>
          <w:tcPr>
            <w:tcW w:w="55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Non-Interest Expense</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25"/>
        </w:trPr>
        <w:tc>
          <w:tcPr>
            <w:tcW w:w="3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auto"/>
              </w:rPr>
              <w:t>Three Months Ended September 30,</w:t>
            </w:r>
          </w:p>
        </w:tc>
        <w:tc>
          <w:tcPr>
            <w:tcW w:w="140" w:type="dxa"/>
            <w:vAlign w:val="bottom"/>
          </w:tcPr>
          <w:p>
            <w:pPr>
              <w:spacing w:after="0"/>
              <w:rPr>
                <w:sz w:val="24"/>
                <w:szCs w:val="24"/>
                <w:color w:val="auto"/>
              </w:rPr>
            </w:pPr>
          </w:p>
        </w:tc>
        <w:tc>
          <w:tcPr>
            <w:tcW w:w="2640" w:type="dxa"/>
            <w:vAlign w:val="bottom"/>
            <w:gridSpan w:val="4"/>
          </w:tcPr>
          <w:p>
            <w:pPr>
              <w:jc w:val="right"/>
              <w:ind w:right="94"/>
              <w:spacing w:after="0"/>
              <w:rPr>
                <w:sz w:val="20"/>
                <w:szCs w:val="20"/>
                <w:color w:val="auto"/>
              </w:rPr>
            </w:pPr>
            <w:r>
              <w:rPr>
                <w:rFonts w:ascii="Times New Roman" w:cs="Times New Roman" w:eastAsia="Times New Roman" w:hAnsi="Times New Roman"/>
                <w:sz w:val="17"/>
                <w:szCs w:val="17"/>
                <w:color w:val="auto"/>
              </w:rPr>
              <w:t>Nine Months Ended September 30,</w:t>
            </w:r>
          </w:p>
        </w:tc>
      </w:tr>
      <w:tr>
        <w:trPr>
          <w:trHeight w:val="264"/>
        </w:trPr>
        <w:tc>
          <w:tcPr>
            <w:tcW w:w="380" w:type="dxa"/>
            <w:vAlign w:val="bottom"/>
          </w:tcPr>
          <w:p>
            <w:pPr>
              <w:spacing w:after="0"/>
              <w:rPr>
                <w:sz w:val="22"/>
                <w:szCs w:val="22"/>
                <w:color w:val="auto"/>
              </w:rPr>
            </w:pPr>
          </w:p>
        </w:tc>
        <w:tc>
          <w:tcPr>
            <w:tcW w:w="5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2024</w:t>
            </w:r>
          </w:p>
        </w:tc>
      </w:tr>
      <w:tr>
        <w:trPr>
          <w:trHeight w:val="238"/>
        </w:trPr>
        <w:tc>
          <w:tcPr>
            <w:tcW w:w="3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60" w:type="dxa"/>
            <w:vAlign w:val="bottom"/>
            <w:gridSpan w:val="5"/>
          </w:tcPr>
          <w:p>
            <w:pPr>
              <w:ind w:left="580"/>
              <w:spacing w:after="0"/>
              <w:rPr>
                <w:sz w:val="20"/>
                <w:szCs w:val="20"/>
                <w:color w:val="auto"/>
              </w:rPr>
            </w:pPr>
            <w:r>
              <w:rPr>
                <w:rFonts w:ascii="Times New Roman" w:cs="Times New Roman" w:eastAsia="Times New Roman" w:hAnsi="Times New Roman"/>
                <w:sz w:val="17"/>
                <w:szCs w:val="17"/>
                <w:color w:val="auto"/>
              </w:rPr>
              <w:t>(In thousands)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1"/>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Compensation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13,916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13,264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40,723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39,931</w:t>
            </w:r>
          </w:p>
        </w:tc>
      </w:tr>
      <w:tr>
        <w:trPr>
          <w:trHeight w:val="239"/>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Performance-based compensation</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9,979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10,787</w:t>
            </w:r>
          </w:p>
        </w:tc>
      </w:tr>
      <w:tr>
        <w:trPr>
          <w:trHeight w:val="251"/>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Payroll taxes and employee benefits</w:t>
            </w:r>
          </w:p>
        </w:tc>
        <w:tc>
          <w:tcPr>
            <w:tcW w:w="1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4,309</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3,358</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11,929</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11,351</w:t>
            </w:r>
          </w:p>
        </w:tc>
      </w:tr>
      <w:tr>
        <w:trPr>
          <w:trHeight w:val="232"/>
        </w:trPr>
        <w:tc>
          <w:tcPr>
            <w:tcW w:w="55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Compensation and employee benefits</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20,048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62,631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62,069</w:t>
            </w:r>
          </w:p>
        </w:tc>
      </w:tr>
      <w:tr>
        <w:trPr>
          <w:trHeight w:val="251"/>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Data processing</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9,891</w:t>
            </w:r>
          </w:p>
        </w:tc>
      </w:tr>
      <w:tr>
        <w:trPr>
          <w:trHeight w:val="239"/>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Occupancy, net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6,396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5,853</w:t>
            </w:r>
          </w:p>
        </w:tc>
      </w:tr>
      <w:tr>
        <w:trPr>
          <w:trHeight w:val="251"/>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Interchange expense</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3,373</w:t>
            </w:r>
          </w:p>
        </w:tc>
      </w:tr>
      <w:tr>
        <w:trPr>
          <w:trHeight w:val="239"/>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Furniture, fixtures and equipment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2,834</w:t>
            </w:r>
          </w:p>
        </w:tc>
      </w:tr>
      <w:tr>
        <w:trPr>
          <w:trHeight w:val="251"/>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Advertising</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1,860</w:t>
            </w:r>
          </w:p>
        </w:tc>
      </w:tr>
      <w:tr>
        <w:trPr>
          <w:trHeight w:val="239"/>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Loan and collection</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1,868</w:t>
            </w:r>
          </w:p>
        </w:tc>
      </w:tr>
      <w:tr>
        <w:trPr>
          <w:trHeight w:val="251"/>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FDIC deposit insurance</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2,141</w:t>
            </w:r>
          </w:p>
        </w:tc>
      </w:tr>
      <w:tr>
        <w:trPr>
          <w:trHeight w:val="239"/>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Legal and professional</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1,717</w:t>
            </w:r>
          </w:p>
        </w:tc>
      </w:tr>
      <w:tr>
        <w:trPr>
          <w:trHeight w:val="251"/>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Communications</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1,633</w:t>
            </w:r>
          </w:p>
        </w:tc>
      </w:tr>
      <w:tr>
        <w:trPr>
          <w:trHeight w:val="239"/>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Taxes, licenses and fees</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w:t>
            </w:r>
          </w:p>
        </w:tc>
      </w:tr>
      <w:tr>
        <w:trPr>
          <w:trHeight w:val="251"/>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Director fees</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w:t>
            </w:r>
          </w:p>
        </w:tc>
      </w:tr>
      <w:tr>
        <w:trPr>
          <w:trHeight w:val="239"/>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w:t>
            </w:r>
          </w:p>
        </w:tc>
      </w:tr>
      <w:tr>
        <w:trPr>
          <w:trHeight w:val="251"/>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(recovery) for loss reimbursement on sold loans</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39"/>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gains (losses) on other real estate and repossessed assets</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r>
      <w:tr>
        <w:trPr>
          <w:trHeight w:val="251"/>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1,325</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3,027</w:t>
            </w:r>
          </w:p>
        </w:tc>
      </w:tr>
      <w:tr>
        <w:trPr>
          <w:trHeight w:val="232"/>
        </w:trPr>
        <w:tc>
          <w:tcPr>
            <w:tcW w:w="55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Total non-interest expense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34,131</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32,583</w:t>
            </w: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102,155</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98,109</w:t>
            </w:r>
          </w:p>
        </w:tc>
      </w:tr>
      <w:tr>
        <w:trPr>
          <w:trHeight w:val="25"/>
        </w:trPr>
        <w:tc>
          <w:tcPr>
            <w:tcW w:w="3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Compensation and employee benefits expenses, in total, increased $1.1 million on a quarterly comparative basis and increased $0.6 million for the first nine months of 2025 compared to the same periods in 2024.</w:t>
      </w:r>
    </w:p>
    <w:p>
      <w:pPr>
        <w:spacing w:after="0" w:line="1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Compensation expense increased by $0.7 million and $0.8 million in the third quarter and first nine months of 2025, respectively, compared to the same periods in 2024. These comparative increases in 2025 were primarily due to salary increases that were predominantly effective on January 1, 2025, that were partially offset by deferred loan origination costs due in part to higher commercial loan volume and higher per loan costs as well as a decrease in mortgage lending and other retail personnel.</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Performance-based compensation decreased by $0.5 million and $0.8 million in the third quarter and first nine months of 2025, respectively, compared to the same periods in 2024. The decrease is due in part to lower expected incentive compensation payout for salaried and hourly employees.</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Payroll taxes and employee benefits increased by $1.0 million and $0.6 million in the third quarter and first nine months of 2025, respectively, compared to the same periods in 2024, due primarily to increases in employee medical insurance costs and retirement costs.</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Data processing expense increased by $0.4 million and $1.5 million in the third quarter and first nine months of 2025, respectively, compared to the same prior year periods due in part to core data processor annual asset growth and CPI related cost increases as well as new solutions implemented during this time frame.</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Occupancy, net increased by $0.2 million and $0.5 million in the third quarter and first nine months of 2025, respectively, compared to the same prior year periods due in part to higher snow removal costs, utility costs and higher depreciation expense due to a new location.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Other expense increased by $1.2 million in the first nine months of 2025, due primarily to costs related to the capitalized mortgage loan servicing right sale (nine month period - see “Non-interest income” above), higher fraud related losses, real estate property write down, higher travel and expense costs and higher Michigan Corporate Income Tax (due to an increase in taxable base).</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Income tax expense. </w:t>
      </w:r>
      <w:r>
        <w:rPr>
          <w:rFonts w:ascii="Times New Roman" w:cs="Times New Roman" w:eastAsia="Times New Roman" w:hAnsi="Times New Roman"/>
          <w:sz w:val="17"/>
          <w:szCs w:val="17"/>
          <w:color w:val="auto"/>
        </w:rPr>
        <w:t>We recorded an income tax expense of $3.7 million and $11.0 million in the third quarter and the first nine months of 2025, respectively.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compares to an income tax expense of $3.5 million and $11.9 million in the third quarter and the first nine months of 2024, respectively. The changes in expense for the first nine months of 2025 compared to the same period in 2024 is primarily due to changes in pretax income that was partially offset by an increase in non-taxable income and certain low income housing and solar tax credits.</w:t>
      </w:r>
    </w:p>
    <w:p>
      <w:pPr>
        <w:spacing w:after="0" w:line="1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actual income tax expense is different than the amount computed by applying our statutory income tax rate to our income before income tax primarily due to tax-exempt interest income, tax-exempt income from the increase in the cash surrender value on life insurance, differences in the value of stock awards that vest and stock options that are exercised as compared to the initial fair values that were expensed and certain low income housing and solar tax credits.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September 30, 2025 and 2024 and at December 31, 2024, that the realization of substantially all of our deferred tax assets continues to be more likely than not.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3"/>
          <w:szCs w:val="13"/>
          <w:b w:val="1"/>
          <w:bCs w:val="1"/>
          <w:color w:val="auto"/>
        </w:rPr>
        <w:t>INANCIAL</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3"/>
          <w:szCs w:val="13"/>
          <w:b w:val="1"/>
          <w:bCs w:val="1"/>
          <w:color w:val="auto"/>
        </w:rPr>
        <w:t>ONDITION</w:t>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Summary. </w:t>
      </w:r>
      <w:r>
        <w:rPr>
          <w:rFonts w:ascii="Times New Roman" w:cs="Times New Roman" w:eastAsia="Times New Roman" w:hAnsi="Times New Roman"/>
          <w:sz w:val="17"/>
          <w:szCs w:val="17"/>
          <w:color w:val="auto"/>
        </w:rPr>
        <w:t>Our total assets increased by $155.0 million during the first nine months of 2025. Loans, excluding loans held for sale, were $4.20 billion 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September 30, 2025, compared to $4.04 billion at December 31, 2024. Commercial loans and mortgage loans increased while installment loans decreased during the first nine months of 2025. (See “Portfolio Loans and asset quality.”) Securities available for sale and securities held to maturity together totaled $824.0 million at September 30, 2025, a decline of $74.6 million since December 31, 2024.</w:t>
      </w:r>
    </w:p>
    <w:p>
      <w:pPr>
        <w:spacing w:after="0" w:line="1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Deposits totaled $4.86 billion at September 30, 2025, an increase of $205.1 million from December 31, 2024. The increase in deposits from December 31, 2024, is due to increases in savings and interest-bearing checking, reciprocal, time and brokered time deposits that were partially offset by a decrease in non-interest bearing deposits.</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Securities. </w:t>
      </w:r>
      <w:r>
        <w:rPr>
          <w:rFonts w:ascii="Times New Roman" w:cs="Times New Roman" w:eastAsia="Times New Roman" w:hAnsi="Times New Roman"/>
          <w:sz w:val="17"/>
          <w:szCs w:val="17"/>
          <w:color w:val="auto"/>
        </w:rPr>
        <w:t>We maintain diversified securities portfolios, which include obligations of U.S. government-sponsored agencies, securities issued by states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political subdivisions, residential and commercial mortgage-backed securities, asset-backed securities, corporate securities, trust preferred securities and foreign government securities (that are denominated in U.S. dollars). We regularly evaluate asset/liability management needs and attempt to maintain a portfolio structure that provides sufficient liquidity and cash flow.</w:t>
      </w:r>
    </w:p>
    <w:p>
      <w:pPr>
        <w:spacing w:after="0" w:line="1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believe that the unrealized losses on securities AFS are temporary in nature and are expected to be recovered within a reasonable time period. Based upon our liquidity and capital resources (as explained in more detail below under "Liquidity and capital resources"), we believe that we have the ability to hold securities with unrealized losses to maturity or until such time as the unrealized losses reverse. (See “Asset/liability management.”)</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April 1, 2022, we transferred certain securities AFS with an amortized cost and unrealized loss at the date of transfer of $418.1 million and $26.5 million, respectively to securities HTM. The transfer was made at fair value, with the unrealized loss becoming part of the purchase discount which will be accreted over the remaining life of the securities. The other comprehensive loss component is separated from the remaining available for sale securities and is accreted over the remaining life of the securities transferred. Based upon our liquidity and capital resources (as explained in more detail below under "Liquidity and capital resources"), we believe that we have the ability and intent to hold these securities until they mature, at which time we expect to receive full value for these securities.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95"/>
        </w:trPr>
        <w:tc>
          <w:tcPr>
            <w:tcW w:w="21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2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Securities Available for Sale</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gridSpan w:val="2"/>
          </w:tcPr>
          <w:p>
            <w:pPr>
              <w:jc w:val="right"/>
              <w:ind w:right="234"/>
              <w:spacing w:after="0"/>
              <w:rPr>
                <w:sz w:val="20"/>
                <w:szCs w:val="20"/>
                <w:color w:val="auto"/>
              </w:rPr>
            </w:pPr>
            <w:r>
              <w:rPr>
                <w:rFonts w:ascii="Times New Roman" w:cs="Times New Roman" w:eastAsia="Times New Roman" w:hAnsi="Times New Roman"/>
                <w:sz w:val="17"/>
                <w:szCs w:val="17"/>
                <w:color w:val="auto"/>
              </w:rPr>
              <w:t>Amortized</w:t>
            </w:r>
          </w:p>
        </w:tc>
        <w:tc>
          <w:tcPr>
            <w:tcW w:w="1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Unrealized</w:t>
            </w: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Borders>
              <w:bottom w:val="single" w:sz="8" w:color="auto"/>
            </w:tcBorders>
            <w:gridSpan w:val="2"/>
          </w:tcPr>
          <w:p>
            <w:pPr>
              <w:jc w:val="right"/>
              <w:ind w:right="454"/>
              <w:spacing w:after="0"/>
              <w:rPr>
                <w:sz w:val="20"/>
                <w:szCs w:val="20"/>
                <w:color w:val="auto"/>
              </w:rPr>
            </w:pPr>
            <w:r>
              <w:rPr>
                <w:rFonts w:ascii="Times New Roman" w:cs="Times New Roman" w:eastAsia="Times New Roman" w:hAnsi="Times New Roman"/>
                <w:sz w:val="17"/>
                <w:szCs w:val="17"/>
                <w:color w:val="auto"/>
              </w:rPr>
              <w:t>Cost</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Gains</w:t>
            </w:r>
          </w:p>
        </w:tc>
        <w:tc>
          <w:tcPr>
            <w:tcW w:w="6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Losses</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212"/>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(In thousands)</w:t>
            </w: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September 30, 2025</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556,662</w:t>
            </w:r>
          </w:p>
        </w:tc>
        <w:tc>
          <w:tcPr>
            <w:tcW w:w="880" w:type="dxa"/>
            <w:vAlign w:val="bottom"/>
            <w:gridSpan w:val="2"/>
            <w:shd w:val="clear" w:color="auto" w:fill="CCEEFF"/>
          </w:tcPr>
          <w:p>
            <w:pPr>
              <w:jc w:val="center"/>
              <w:ind w:right="394"/>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415</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54,494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502,583</w:t>
            </w:r>
          </w:p>
        </w:tc>
        <w:tc>
          <w:tcPr>
            <w:tcW w:w="0" w:type="dxa"/>
            <w:vAlign w:val="bottom"/>
          </w:tcPr>
          <w:p>
            <w:pPr>
              <w:spacing w:after="0"/>
              <w:rPr>
                <w:sz w:val="1"/>
                <w:szCs w:val="1"/>
                <w:color w:val="auto"/>
              </w:rPr>
            </w:pPr>
          </w:p>
        </w:tc>
      </w:tr>
      <w:tr>
        <w:trPr>
          <w:trHeight w:val="223"/>
        </w:trPr>
        <w:tc>
          <w:tcPr>
            <w:tcW w:w="2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December 31, 2024</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621,588</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343</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62,749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559,182</w:t>
            </w:r>
          </w:p>
        </w:tc>
        <w:tc>
          <w:tcPr>
            <w:tcW w:w="0" w:type="dxa"/>
            <w:vAlign w:val="bottom"/>
          </w:tcPr>
          <w:p>
            <w:pPr>
              <w:spacing w:after="0"/>
              <w:rPr>
                <w:sz w:val="1"/>
                <w:szCs w:val="1"/>
                <w:color w:val="auto"/>
              </w:rPr>
            </w:pPr>
          </w:p>
        </w:tc>
      </w:tr>
      <w:tr>
        <w:trPr>
          <w:trHeight w:val="461"/>
        </w:trPr>
        <w:tc>
          <w:tcPr>
            <w:tcW w:w="2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Securities Held to Maturity</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rPr>
              <w:t>Transferred</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auto"/>
              </w:rPr>
              <w:t>Unrealized</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94"/>
              <w:spacing w:after="0" w:line="186" w:lineRule="exact"/>
              <w:rPr>
                <w:sz w:val="20"/>
                <w:szCs w:val="20"/>
                <w:color w:val="auto"/>
              </w:rPr>
            </w:pPr>
            <w:r>
              <w:rPr>
                <w:rFonts w:ascii="Times New Roman" w:cs="Times New Roman" w:eastAsia="Times New Roman" w:hAnsi="Times New Roman"/>
                <w:sz w:val="17"/>
                <w:szCs w:val="17"/>
                <w:color w:val="auto"/>
              </w:rPr>
              <w:t>Carrying</w:t>
            </w:r>
          </w:p>
        </w:tc>
        <w:tc>
          <w:tcPr>
            <w:tcW w:w="240" w:type="dxa"/>
            <w:vAlign w:val="bottom"/>
          </w:tcPr>
          <w:p>
            <w:pPr>
              <w:spacing w:after="0"/>
              <w:rPr>
                <w:sz w:val="16"/>
                <w:szCs w:val="16"/>
                <w:color w:val="auto"/>
              </w:rPr>
            </w:pPr>
          </w:p>
        </w:tc>
        <w:tc>
          <w:tcPr>
            <w:tcW w:w="1100" w:type="dxa"/>
            <w:vAlign w:val="bottom"/>
          </w:tcPr>
          <w:p>
            <w:pPr>
              <w:jc w:val="center"/>
              <w:ind w:right="114"/>
              <w:spacing w:after="0" w:line="186" w:lineRule="exact"/>
              <w:rPr>
                <w:sz w:val="20"/>
                <w:szCs w:val="20"/>
                <w:color w:val="auto"/>
              </w:rPr>
            </w:pPr>
            <w:r>
              <w:rPr>
                <w:rFonts w:ascii="Times New Roman" w:cs="Times New Roman" w:eastAsia="Times New Roman" w:hAnsi="Times New Roman"/>
                <w:sz w:val="17"/>
                <w:szCs w:val="17"/>
                <w:color w:val="auto"/>
                <w:w w:val="99"/>
              </w:rPr>
              <w:t>Unrealized</w:t>
            </w: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80" w:type="dxa"/>
            <w:vAlign w:val="bottom"/>
            <w:gridSpan w:val="3"/>
          </w:tcPr>
          <w:p>
            <w:pPr>
              <w:jc w:val="center"/>
              <w:spacing w:after="0" w:line="186" w:lineRule="exact"/>
              <w:rPr>
                <w:sz w:val="20"/>
                <w:szCs w:val="20"/>
                <w:color w:val="auto"/>
              </w:rPr>
            </w:pPr>
            <w:r>
              <w:rPr>
                <w:rFonts w:ascii="Times New Roman" w:cs="Times New Roman" w:eastAsia="Times New Roman" w:hAnsi="Times New Roman"/>
                <w:sz w:val="17"/>
                <w:szCs w:val="17"/>
                <w:color w:val="auto"/>
              </w:rPr>
              <w:t>Amortized</w:t>
            </w: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Value</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rPr>
              <w:t>Loss (1)</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ACL</w:t>
            </w: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ind w:right="434"/>
              <w:spacing w:after="0"/>
              <w:rPr>
                <w:sz w:val="20"/>
                <w:szCs w:val="20"/>
                <w:color w:val="auto"/>
              </w:rPr>
            </w:pPr>
            <w:r>
              <w:rPr>
                <w:rFonts w:ascii="Times New Roman" w:cs="Times New Roman" w:eastAsia="Times New Roman" w:hAnsi="Times New Roman"/>
                <w:sz w:val="17"/>
                <w:szCs w:val="17"/>
                <w:color w:val="auto"/>
              </w:rPr>
              <w:t>Cost</w:t>
            </w: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Gains</w:t>
            </w:r>
          </w:p>
        </w:tc>
        <w:tc>
          <w:tcPr>
            <w:tcW w:w="4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Losses</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Fair Value</w:t>
            </w:r>
          </w:p>
        </w:tc>
        <w:tc>
          <w:tcPr>
            <w:tcW w:w="0" w:type="dxa"/>
            <w:vAlign w:val="bottom"/>
          </w:tcPr>
          <w:p>
            <w:pPr>
              <w:spacing w:after="0"/>
              <w:rPr>
                <w:sz w:val="1"/>
                <w:szCs w:val="1"/>
                <w:color w:val="auto"/>
              </w:rPr>
            </w:pPr>
          </w:p>
        </w:tc>
      </w:tr>
      <w:tr>
        <w:trPr>
          <w:trHeight w:val="216"/>
        </w:trPr>
        <w:tc>
          <w:tcPr>
            <w:tcW w:w="2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Securities held to maturity</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gridSpan w:val="3"/>
          </w:tcPr>
          <w:p>
            <w:pPr>
              <w:jc w:val="right"/>
              <w:ind w:right="74"/>
              <w:spacing w:after="0"/>
              <w:rPr>
                <w:sz w:val="20"/>
                <w:szCs w:val="20"/>
                <w:color w:val="auto"/>
              </w:rPr>
            </w:pPr>
            <w:r>
              <w:rPr>
                <w:rFonts w:ascii="Times New Roman" w:cs="Times New Roman" w:eastAsia="Times New Roman" w:hAnsi="Times New Roman"/>
                <w:sz w:val="17"/>
                <w:szCs w:val="17"/>
                <w:color w:val="auto"/>
              </w:rPr>
              <w:t>(In thousands)</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September 30,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321,450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13,766</w:t>
            </w:r>
          </w:p>
        </w:tc>
        <w:tc>
          <w:tcPr>
            <w:tcW w:w="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60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335,308</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43</w:t>
            </w:r>
          </w:p>
        </w:tc>
        <w:tc>
          <w:tcPr>
            <w:tcW w:w="3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42,109</w:t>
            </w:r>
          </w:p>
        </w:tc>
        <w:tc>
          <w:tcPr>
            <w:tcW w:w="80" w:type="dxa"/>
            <w:vAlign w:val="bottom"/>
            <w:shd w:val="clear" w:color="auto" w:fill="CCEEFF"/>
          </w:tcPr>
          <w:p>
            <w:pPr>
              <w:spacing w:after="0"/>
              <w:rPr>
                <w:sz w:val="19"/>
                <w:szCs w:val="19"/>
                <w:color w:val="auto"/>
              </w:rPr>
            </w:pPr>
          </w:p>
        </w:tc>
        <w:tc>
          <w:tcPr>
            <w:tcW w:w="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293,242</w:t>
            </w:r>
          </w:p>
        </w:tc>
        <w:tc>
          <w:tcPr>
            <w:tcW w:w="0" w:type="dxa"/>
            <w:vAlign w:val="bottom"/>
          </w:tcPr>
          <w:p>
            <w:pPr>
              <w:spacing w:after="0"/>
              <w:rPr>
                <w:sz w:val="1"/>
                <w:szCs w:val="1"/>
                <w:color w:val="auto"/>
              </w:rPr>
            </w:pPr>
          </w:p>
        </w:tc>
      </w:tr>
      <w:tr>
        <w:trPr>
          <w:trHeight w:val="223"/>
        </w:trPr>
        <w:tc>
          <w:tcPr>
            <w:tcW w:w="2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December 31, 2024</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339,436</w:t>
            </w:r>
          </w:p>
        </w:tc>
        <w:tc>
          <w:tcPr>
            <w:tcW w:w="240" w:type="dxa"/>
            <w:vAlign w:val="bottom"/>
          </w:tcPr>
          <w:p>
            <w:pPr>
              <w:spacing w:after="0"/>
              <w:rPr>
                <w:sz w:val="19"/>
                <w:szCs w:val="19"/>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16,171</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600" w:type="dxa"/>
            <w:vAlign w:val="bottom"/>
          </w:tcPr>
          <w:p>
            <w:pPr>
              <w:spacing w:after="0"/>
              <w:rPr>
                <w:sz w:val="19"/>
                <w:szCs w:val="19"/>
                <w:color w:val="auto"/>
              </w:rPr>
            </w:pPr>
          </w:p>
        </w:tc>
        <w:tc>
          <w:tcPr>
            <w:tcW w:w="8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355,739</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28</w:t>
            </w:r>
          </w:p>
        </w:tc>
        <w:tc>
          <w:tcPr>
            <w:tcW w:w="3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53,907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301,860</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Represents the remaining unrealized loss to be accreted on securities that were transferred from AFS to HTM on April 1, 2022.</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Securities AFS in unrealized loss positions are evaluated quarterly for impairment related to credit losses. For securities AFS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AFS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net of applicable taxes. No ACL for securities AFS was needed at September 30, 2025. The decrease in unrealized losses during the third quarter and first nine months of 2025 is primarily attributed to a decrease in interest rates since December 31, 2024. See note #3 to the interim Condensed Consolidated Financial Statements included within this report for further discussion.</w:t>
      </w:r>
    </w:p>
    <w:p>
      <w:pPr>
        <w:spacing w:after="0" w:line="3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For securities HTM an ACL is maintained at a level which represents our best estimate of expected credit losses. This ACL is a contra asset valuation account that is deducted from the carrying amount of securities HTM to present the net amount expected to be collected. Securities HTM are charged off against the ACL when deemed uncollectible. Adjustments to the ACL are reported in our interim Condensed Consolidated Statements of Operations in provision for credit loss. We measure expected credit losses on securities HTM on a collective basis by major security type with each type sharing similar risk characteristics. With regard to U.S. Government-sponsored agency and mortgage-backed securities (residential and commercial), all these securities are issued by a U.S. government-sponsored entity and have an implicit or explicit government guarantee; therefore, no allowance for credit losses has been recorded for these securities. With regard to obligations of states and political subdivisions, private label-mortgage-backed, corporate and trust preferred securities HTM, we consider (1) issuer bond ratings,</w:t>
      </w:r>
    </w:p>
    <w:p>
      <w:pPr>
        <w:spacing w:after="0" w:line="1" w:lineRule="exact"/>
        <w:rPr>
          <w:sz w:val="20"/>
          <w:szCs w:val="20"/>
          <w:color w:val="auto"/>
        </w:rPr>
      </w:pPr>
    </w:p>
    <w:p>
      <w:pPr>
        <w:jc w:val="both"/>
        <w:ind w:firstLine="3"/>
        <w:spacing w:after="0" w:line="256" w:lineRule="auto"/>
        <w:tabs>
          <w:tab w:leader="none" w:pos="25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long-term historical loss rates for given bond ratings, (3) the financial condition of the issuer, and (4) whether issuers continue to make timely principal and interest payments under the contractual terms of the securities. During the first quarter of 2023, one corporate security (Signature Bank) defaulted resulting in a full charge-off. Subsequent to this security's charge-off, a portion of its fair value had recovered and was subsequently sold during the first quarter of 2024 for $1.1 million during which period we recorded that amount as a recovery to the ACL. See note #3 to the interim Condensed Consolidated Financial Statements included within this report for further discussion.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Sales of securities available for sale were as follows (See “Non-interest income.”):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Sales of Securities Available for Sale</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25"/>
        </w:trPr>
        <w:tc>
          <w:tcPr>
            <w:tcW w:w="5200" w:type="dxa"/>
            <w:vAlign w:val="bottom"/>
          </w:tcPr>
          <w:p>
            <w:pPr>
              <w:spacing w:after="0"/>
              <w:rPr>
                <w:sz w:val="24"/>
                <w:szCs w:val="24"/>
                <w:color w:val="auto"/>
              </w:rPr>
            </w:pPr>
          </w:p>
        </w:tc>
        <w:tc>
          <w:tcPr>
            <w:tcW w:w="30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auto"/>
              </w:rPr>
              <w:t>Three Months Ended September 30,</w:t>
            </w:r>
          </w:p>
        </w:tc>
        <w:tc>
          <w:tcPr>
            <w:tcW w:w="200" w:type="dxa"/>
            <w:vAlign w:val="bottom"/>
          </w:tcPr>
          <w:p>
            <w:pPr>
              <w:spacing w:after="0"/>
              <w:rPr>
                <w:sz w:val="24"/>
                <w:szCs w:val="24"/>
                <w:color w:val="auto"/>
              </w:rPr>
            </w:pPr>
          </w:p>
        </w:tc>
        <w:tc>
          <w:tcPr>
            <w:tcW w:w="2780" w:type="dxa"/>
            <w:vAlign w:val="bottom"/>
            <w:gridSpan w:val="4"/>
          </w:tcPr>
          <w:p>
            <w:pPr>
              <w:jc w:val="right"/>
              <w:ind w:right="194"/>
              <w:spacing w:after="0"/>
              <w:rPr>
                <w:sz w:val="20"/>
                <w:szCs w:val="20"/>
                <w:color w:val="auto"/>
              </w:rPr>
            </w:pPr>
            <w:r>
              <w:rPr>
                <w:rFonts w:ascii="Times New Roman" w:cs="Times New Roman" w:eastAsia="Times New Roman" w:hAnsi="Times New Roman"/>
                <w:sz w:val="17"/>
                <w:szCs w:val="17"/>
                <w:color w:val="auto"/>
              </w:rPr>
              <w:t>Nine Months Ended September 30,</w:t>
            </w:r>
          </w:p>
        </w:tc>
      </w:tr>
      <w:tr>
        <w:trPr>
          <w:trHeight w:val="245"/>
        </w:trPr>
        <w:tc>
          <w:tcPr>
            <w:tcW w:w="520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2024</w:t>
            </w:r>
          </w:p>
        </w:tc>
      </w:tr>
      <w:tr>
        <w:trPr>
          <w:trHeight w:val="212"/>
        </w:trPr>
        <w:tc>
          <w:tcPr>
            <w:tcW w:w="5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940" w:type="dxa"/>
            <w:vAlign w:val="bottom"/>
          </w:tcPr>
          <w:p>
            <w:pPr>
              <w:spacing w:after="0"/>
              <w:rPr>
                <w:sz w:val="18"/>
                <w:szCs w:val="18"/>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w:t>
            </w: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30,581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39,431</w:t>
            </w:r>
          </w:p>
        </w:tc>
      </w:tr>
      <w:tr>
        <w:trPr>
          <w:trHeight w:val="219"/>
        </w:trPr>
        <w:tc>
          <w:tcPr>
            <w:tcW w:w="52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Gross gains</w:t>
            </w:r>
          </w:p>
        </w:tc>
        <w:tc>
          <w:tcPr>
            <w:tcW w:w="9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9"/>
        </w:trPr>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Gross losses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w:t>
            </w:r>
          </w:p>
        </w:tc>
      </w:tr>
      <w:tr>
        <w:trPr>
          <w:trHeight w:val="212"/>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losses</w:t>
            </w:r>
          </w:p>
        </w:tc>
        <w:tc>
          <w:tcPr>
            <w:tcW w:w="9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w:t>
            </w:r>
          </w:p>
        </w:tc>
      </w:tr>
      <w:tr>
        <w:trPr>
          <w:trHeight w:val="20"/>
        </w:trPr>
        <w:tc>
          <w:tcPr>
            <w:tcW w:w="5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Securities at Fair Value</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May 6, 2024, we exchanged 12,566 shares of Visa Inc. Class B-1 common stock (all of the Class B-1 shares we owned) for 2,493 shares of Visa Inc. Class C common stock and 6,283 shares of Visa Inc. Class B-2 common stock pursuant to an exchange offer conducted by Visa. With the completion of the exchange, we recorded a gain related to the Class C shares of $2.7 million based on the conversion privilege of those shares and the closing price of the Class A shares on May 3, 2024 (the exchange expiration date) of $268.49 per share. Subsequent to the exchange, we sold all of our Class C shares. See note #13 to the interim Condensed Consolidated Financial Statements included within this report for further discussion.</w:t>
      </w:r>
    </w:p>
    <w:p>
      <w:pPr>
        <w:spacing w:after="0" w:line="14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Portfolio Loans and asset quality. </w:t>
      </w:r>
      <w:r>
        <w:rPr>
          <w:rFonts w:ascii="Times New Roman" w:cs="Times New Roman" w:eastAsia="Times New Roman" w:hAnsi="Times New Roman"/>
          <w:sz w:val="17"/>
          <w:szCs w:val="17"/>
          <w:color w:val="auto"/>
        </w:rPr>
        <w:t>In addition to the communities served by our Bank branch and loan production office network, our principal lending markets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also include nearby communities and metropolitan areas. Subject to established underwriting criteria, we also may participate in commercial lending transactions with certain non-affiliated banks and make whole loan purchases from other financial institutions.</w:t>
      </w:r>
    </w:p>
    <w:p>
      <w:pPr>
        <w:spacing w:after="0" w:line="1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1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generally retain loans that may be profitably funded within established risk parameters. (See “Asset/liability management.”) As a result, we may hold adjustable-rate conventional and fixed rate jumbo mortgage loans as Portfolio Loans, while 15- and 30-year fixed-rate non-jumbo mortgage loans are generally sold to mitigate exposure to changes in interest rates. (See “Non-interest income and “Asset/liability management.”).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Pr>
          <w:p>
            <w:pPr>
              <w:spacing w:after="0"/>
              <w:rPr>
                <w:sz w:val="20"/>
                <w:szCs w:val="20"/>
                <w:color w:val="auto"/>
              </w:rPr>
            </w:pPr>
            <w:r>
              <w:rPr>
                <w:rFonts w:ascii="Times New Roman" w:cs="Times New Roman" w:eastAsia="Times New Roman" w:hAnsi="Times New Roman"/>
                <w:sz w:val="17"/>
                <w:szCs w:val="17"/>
                <w:color w:val="auto"/>
              </w:rPr>
              <w:t>A summary of our Portfolio Loans follows: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8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r>
        <w:trPr>
          <w:trHeight w:val="228"/>
        </w:trPr>
        <w:tc>
          <w:tcPr>
            <w:tcW w:w="8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c>
          <w:tcPr>
            <w:tcW w:w="0" w:type="dxa"/>
            <w:vAlign w:val="bottom"/>
          </w:tcPr>
          <w:p>
            <w:pPr>
              <w:spacing w:after="0"/>
              <w:rPr>
                <w:sz w:val="1"/>
                <w:szCs w:val="1"/>
                <w:color w:val="auto"/>
              </w:rPr>
            </w:pPr>
          </w:p>
        </w:tc>
      </w:tr>
      <w:tr>
        <w:trPr>
          <w:trHeight w:val="220"/>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Real estate(1)</w:t>
            </w:r>
          </w:p>
        </w:tc>
        <w:tc>
          <w:tcPr>
            <w:tcW w:w="180" w:type="dxa"/>
            <w:vAlign w:val="bottom"/>
          </w:tcPr>
          <w:p>
            <w:pPr>
              <w:spacing w:after="0"/>
              <w:rPr>
                <w:sz w:val="19"/>
                <w:szCs w:val="19"/>
                <w:color w:val="auto"/>
              </w:rPr>
            </w:pPr>
          </w:p>
        </w:tc>
        <w:tc>
          <w:tcPr>
            <w:tcW w:w="2880" w:type="dxa"/>
            <w:vAlign w:val="bottom"/>
            <w:gridSpan w:val="4"/>
          </w:tcPr>
          <w:p>
            <w:pPr>
              <w:jc w:val="right"/>
              <w:ind w:right="934"/>
              <w:spacing w:after="0"/>
              <w:rPr>
                <w:sz w:val="20"/>
                <w:szCs w:val="20"/>
                <w:color w:val="auto"/>
              </w:rPr>
            </w:pPr>
            <w:r>
              <w:rPr>
                <w:rFonts w:ascii="Times New Roman" w:cs="Times New Roman" w:eastAsia="Times New Roman" w:hAnsi="Times New Roman"/>
                <w:sz w:val="17"/>
                <w:szCs w:val="17"/>
                <w:color w:val="auto"/>
              </w:rPr>
              <w:t>(In thousands)</w:t>
            </w:r>
          </w:p>
        </w:tc>
        <w:tc>
          <w:tcPr>
            <w:tcW w:w="0" w:type="dxa"/>
            <w:vAlign w:val="bottom"/>
          </w:tcPr>
          <w:p>
            <w:pPr>
              <w:spacing w:after="0"/>
              <w:rPr>
                <w:sz w:val="1"/>
                <w:szCs w:val="1"/>
                <w:color w:val="auto"/>
              </w:rPr>
            </w:pPr>
          </w:p>
        </w:tc>
      </w:tr>
      <w:tr>
        <w:trPr>
          <w:trHeight w:val="215"/>
        </w:trPr>
        <w:tc>
          <w:tcPr>
            <w:tcW w:w="81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Residential first mortgages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1,294,990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1,284,322</w:t>
            </w:r>
          </w:p>
        </w:tc>
        <w:tc>
          <w:tcPr>
            <w:tcW w:w="0" w:type="dxa"/>
            <w:vAlign w:val="bottom"/>
          </w:tcPr>
          <w:p>
            <w:pPr>
              <w:spacing w:after="0"/>
              <w:rPr>
                <w:sz w:val="1"/>
                <w:szCs w:val="1"/>
                <w:color w:val="auto"/>
              </w:rPr>
            </w:pPr>
          </w:p>
        </w:tc>
      </w:tr>
      <w:tr>
        <w:trPr>
          <w:trHeight w:val="219"/>
        </w:trPr>
        <w:tc>
          <w:tcPr>
            <w:tcW w:w="8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Residential home equity and other junior mortgages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205,530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179,857</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Construction and land development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252,955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322,092</w:t>
            </w:r>
          </w:p>
        </w:tc>
        <w:tc>
          <w:tcPr>
            <w:tcW w:w="0" w:type="dxa"/>
            <w:vAlign w:val="bottom"/>
          </w:tcPr>
          <w:p>
            <w:pPr>
              <w:spacing w:after="0"/>
              <w:rPr>
                <w:sz w:val="1"/>
                <w:szCs w:val="1"/>
                <w:color w:val="auto"/>
              </w:rPr>
            </w:pPr>
          </w:p>
        </w:tc>
      </w:tr>
      <w:tr>
        <w:trPr>
          <w:trHeight w:val="219"/>
        </w:trPr>
        <w:tc>
          <w:tcPr>
            <w:tcW w:w="8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Other(2)</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1,323,789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1,126,720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Consumer</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551,747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579,345</w:t>
            </w:r>
          </w:p>
        </w:tc>
        <w:tc>
          <w:tcPr>
            <w:tcW w:w="0" w:type="dxa"/>
            <w:vAlign w:val="bottom"/>
          </w:tcPr>
          <w:p>
            <w:pPr>
              <w:spacing w:after="0"/>
              <w:rPr>
                <w:sz w:val="1"/>
                <w:szCs w:val="1"/>
                <w:color w:val="auto"/>
              </w:rPr>
            </w:pP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Commercial</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565,934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542,742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Agricultural</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3,747</w:t>
            </w:r>
          </w:p>
        </w:tc>
        <w:tc>
          <w:tcPr>
            <w:tcW w:w="0" w:type="dxa"/>
            <w:vAlign w:val="bottom"/>
          </w:tcPr>
          <w:p>
            <w:pPr>
              <w:spacing w:after="0"/>
              <w:rPr>
                <w:sz w:val="1"/>
                <w:szCs w:val="1"/>
                <w:color w:val="auto"/>
              </w:rPr>
            </w:pPr>
          </w:p>
        </w:tc>
      </w:tr>
      <w:tr>
        <w:trPr>
          <w:trHeight w:val="212"/>
        </w:trPr>
        <w:tc>
          <w:tcPr>
            <w:tcW w:w="8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loans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4,198,283</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4,038,825</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28" w:lineRule="exact"/>
        <w:rPr>
          <w:sz w:val="20"/>
          <w:szCs w:val="20"/>
          <w:color w:val="auto"/>
        </w:rPr>
      </w:pPr>
    </w:p>
    <w:p>
      <w:pPr>
        <w:ind w:left="300" w:hanging="297"/>
        <w:spacing w:after="0"/>
        <w:tabs>
          <w:tab w:leader="none" w:pos="3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both residential and non-residential commercial loans secured by real estate.</w:t>
      </w:r>
    </w:p>
    <w:p>
      <w:pPr>
        <w:spacing w:after="0" w:line="10"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loans secured by multi-family residential and non-farm, non-residential property.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95"/>
        </w:trPr>
        <w:tc>
          <w:tcPr>
            <w:tcW w:w="79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960"/>
        </w:trPr>
        <w:tc>
          <w:tcPr>
            <w:tcW w:w="79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Non-performing assets</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3"/>
        </w:trPr>
        <w:tc>
          <w:tcPr>
            <w:tcW w:w="38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September 30,</w:t>
            </w:r>
          </w:p>
        </w:tc>
        <w:tc>
          <w:tcPr>
            <w:tcW w:w="200" w:type="dxa"/>
            <w:vAlign w:val="bottom"/>
          </w:tcPr>
          <w:p>
            <w:pPr>
              <w:spacing w:after="0"/>
              <w:rPr>
                <w:sz w:val="24"/>
                <w:szCs w:val="24"/>
                <w:color w:val="auto"/>
              </w:rPr>
            </w:pPr>
          </w:p>
        </w:tc>
        <w:tc>
          <w:tcPr>
            <w:tcW w:w="140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December 31,</w:t>
            </w:r>
          </w:p>
        </w:tc>
      </w:tr>
      <w:tr>
        <w:trPr>
          <w:trHeight w:val="228"/>
        </w:trPr>
        <w:tc>
          <w:tcPr>
            <w:tcW w:w="38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2024</w:t>
            </w:r>
          </w:p>
        </w:tc>
      </w:tr>
      <w:tr>
        <w:trPr>
          <w:trHeight w:val="217"/>
        </w:trPr>
        <w:tc>
          <w:tcPr>
            <w:tcW w:w="38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4"/>
          </w:tcPr>
          <w:p>
            <w:pPr>
              <w:jc w:val="right"/>
              <w:ind w:right="794"/>
              <w:spacing w:after="0"/>
              <w:rPr>
                <w:sz w:val="20"/>
                <w:szCs w:val="20"/>
                <w:color w:val="auto"/>
              </w:rPr>
            </w:pPr>
            <w:r>
              <w:rPr>
                <w:rFonts w:ascii="Times New Roman" w:cs="Times New Roman" w:eastAsia="Times New Roman" w:hAnsi="Times New Roman"/>
                <w:sz w:val="17"/>
                <w:szCs w:val="17"/>
                <w:color w:val="auto"/>
              </w:rPr>
              <w:t>(Dollars in thousands)</w:t>
            </w:r>
          </w:p>
        </w:tc>
      </w:tr>
      <w:tr>
        <w:trPr>
          <w:trHeight w:val="21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Non-accrual loans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22,598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7,792</w:t>
            </w:r>
          </w:p>
        </w:tc>
      </w:tr>
      <w:tr>
        <w:trPr>
          <w:trHeight w:val="21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Loans 90 days or more past due and still accruing interest</w:t>
            </w:r>
          </w:p>
        </w:tc>
        <w:tc>
          <w:tcPr>
            <w:tcW w:w="20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4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380" w:type="dxa"/>
            <w:vAlign w:val="bottom"/>
            <w:tcBorders>
              <w:top w:val="single" w:sz="8" w:color="CCEEFF"/>
            </w:tcBorders>
            <w:shd w:val="clear" w:color="auto" w:fill="CCEEFF"/>
          </w:tcPr>
          <w:p>
            <w:pPr>
              <w:spacing w:after="0"/>
              <w:rPr>
                <w:sz w:val="18"/>
                <w:szCs w:val="18"/>
                <w:color w:val="auto"/>
              </w:rPr>
            </w:pPr>
          </w:p>
        </w:tc>
        <w:tc>
          <w:tcPr>
            <w:tcW w:w="756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Subtotal</w:t>
            </w: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22,598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7,792</w:t>
            </w:r>
          </w:p>
        </w:tc>
      </w:tr>
      <w:tr>
        <w:trPr>
          <w:trHeight w:val="219"/>
        </w:trPr>
        <w:tc>
          <w:tcPr>
            <w:tcW w:w="7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Less: Government guaranteed loans</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2,243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1,790</w:t>
            </w:r>
          </w:p>
        </w:tc>
      </w:tr>
      <w:tr>
        <w:trPr>
          <w:trHeight w:val="212"/>
        </w:trPr>
        <w:tc>
          <w:tcPr>
            <w:tcW w:w="380" w:type="dxa"/>
            <w:vAlign w:val="bottom"/>
            <w:shd w:val="clear" w:color="auto" w:fill="CCEEFF"/>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non-performing loans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20,355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6,002</w:t>
            </w:r>
          </w:p>
        </w:tc>
      </w:tr>
      <w:tr>
        <w:trPr>
          <w:trHeight w:val="219"/>
        </w:trPr>
        <w:tc>
          <w:tcPr>
            <w:tcW w:w="7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real estate and repossessed assets</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589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938</w:t>
            </w:r>
          </w:p>
        </w:tc>
      </w:tr>
      <w:tr>
        <w:trPr>
          <w:trHeight w:val="237"/>
        </w:trPr>
        <w:tc>
          <w:tcPr>
            <w:tcW w:w="380" w:type="dxa"/>
            <w:vAlign w:val="bottom"/>
            <w:tcBorders>
              <w:bottom w:val="single" w:sz="8" w:color="CCEEFF"/>
            </w:tcBorders>
            <w:shd w:val="clear" w:color="auto" w:fill="CCEEFF"/>
          </w:tcPr>
          <w:p>
            <w:pPr>
              <w:spacing w:after="0"/>
              <w:rPr>
                <w:sz w:val="20"/>
                <w:szCs w:val="20"/>
                <w:color w:val="auto"/>
              </w:rPr>
            </w:pPr>
          </w:p>
        </w:tc>
        <w:tc>
          <w:tcPr>
            <w:tcW w:w="75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non-performing assets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20,944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6,940</w:t>
            </w:r>
          </w:p>
        </w:tc>
      </w:tr>
      <w:tr>
        <w:trPr>
          <w:trHeight w:val="20"/>
        </w:trPr>
        <w:tc>
          <w:tcPr>
            <w:tcW w:w="794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 a percent of Portfolio Loans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9"/>
        </w:trPr>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Non-performing loans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0.15 %</w:t>
            </w:r>
          </w:p>
        </w:tc>
      </w:tr>
      <w:tr>
        <w:trPr>
          <w:trHeight w:val="219"/>
        </w:trPr>
        <w:tc>
          <w:tcPr>
            <w:tcW w:w="7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1.47</w:t>
            </w:r>
          </w:p>
        </w:tc>
      </w:tr>
      <w:tr>
        <w:trPr>
          <w:trHeight w:val="21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Non-performing assets to total assets</w:t>
            </w:r>
          </w:p>
        </w:tc>
        <w:tc>
          <w:tcPr>
            <w:tcW w:w="200" w:type="dxa"/>
            <w:vAlign w:val="bottom"/>
          </w:tcPr>
          <w:p>
            <w:pPr>
              <w:spacing w:after="0"/>
              <w:rPr>
                <w:sz w:val="19"/>
                <w:szCs w:val="19"/>
                <w:color w:val="auto"/>
              </w:rPr>
            </w:pPr>
          </w:p>
        </w:tc>
        <w:tc>
          <w:tcPr>
            <w:tcW w:w="14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0.13</w:t>
            </w:r>
          </w:p>
        </w:tc>
      </w:tr>
      <w:tr>
        <w:trPr>
          <w:trHeight w:val="21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for credit losses as a percent of non-performing loans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306.85 %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989.32 %</w:t>
            </w:r>
          </w:p>
        </w:tc>
      </w:tr>
    </w:tbl>
    <w:p>
      <w:pPr>
        <w:spacing w:after="0" w:line="2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Non-performing loans have increased as a percent of Portfolio Loans since year-end 2024, primarily due to the addition of one commercial real estate loan during the third quarter of 2025. See note #4.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real estate and repossessed assets totaled $0.59 million and $0.94 million at September 30, 2025, and December 31, 2024, respectively.</w:t>
      </w:r>
    </w:p>
    <w:p>
      <w:pPr>
        <w:spacing w:after="0" w:line="1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125" w:lineRule="exact"/>
        <w:rPr>
          <w:sz w:val="20"/>
          <w:szCs w:val="20"/>
          <w:color w:val="auto"/>
        </w:rPr>
      </w:pPr>
    </w:p>
    <w:p>
      <w:pPr>
        <w:ind w:right="880"/>
        <w:spacing w:after="0" w:line="482" w:lineRule="auto"/>
        <w:rPr>
          <w:sz w:val="20"/>
          <w:szCs w:val="20"/>
          <w:color w:val="auto"/>
        </w:rPr>
      </w:pPr>
      <w:r>
        <w:rPr>
          <w:rFonts w:ascii="Times New Roman" w:cs="Times New Roman" w:eastAsia="Times New Roman" w:hAnsi="Times New Roman"/>
          <w:sz w:val="17"/>
          <w:szCs w:val="17"/>
          <w:color w:val="auto"/>
        </w:rPr>
        <w:t xml:space="preserve">The following tables reflect activity in our ACL on loans, securities and unfunded lending commitments as well as the allocation of our ACL on loans. </w:t>
      </w:r>
      <w:r>
        <w:rPr>
          <w:rFonts w:ascii="Times New Roman" w:cs="Times New Roman" w:eastAsia="Times New Roman" w:hAnsi="Times New Roman"/>
          <w:sz w:val="17"/>
          <w:szCs w:val="17"/>
          <w:b w:val="1"/>
          <w:bCs w:val="1"/>
          <w:color w:val="auto"/>
        </w:rPr>
        <w:t>Allowance for credit losses on loans and unfunded lending commitments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gridSpan w:val="5"/>
          </w:tcPr>
          <w:p>
            <w:pPr>
              <w:jc w:val="center"/>
              <w:ind w:right="120"/>
              <w:spacing w:after="0"/>
              <w:rPr>
                <w:sz w:val="20"/>
                <w:szCs w:val="20"/>
                <w:color w:val="auto"/>
              </w:rPr>
            </w:pPr>
            <w:r>
              <w:rPr>
                <w:rFonts w:ascii="Times New Roman" w:cs="Times New Roman" w:eastAsia="Times New Roman" w:hAnsi="Times New Roman"/>
                <w:sz w:val="17"/>
                <w:szCs w:val="17"/>
                <w:color w:val="auto"/>
              </w:rPr>
              <w:t>Nine months ended September 30,</w:t>
            </w:r>
          </w:p>
        </w:tc>
        <w:tc>
          <w:tcPr>
            <w:tcW w:w="240" w:type="dxa"/>
            <w:vAlign w:val="bottom"/>
          </w:tcPr>
          <w:p>
            <w:pPr>
              <w:spacing w:after="0"/>
              <w:rPr>
                <w:sz w:val="19"/>
                <w:szCs w:val="19"/>
                <w:color w:val="auto"/>
              </w:rPr>
            </w:pPr>
          </w:p>
        </w:tc>
        <w:tc>
          <w:tcPr>
            <w:tcW w:w="76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74"/>
              <w:spacing w:after="0" w:line="170" w:lineRule="exact"/>
              <w:rPr>
                <w:sz w:val="20"/>
                <w:szCs w:val="20"/>
                <w:color w:val="auto"/>
              </w:rPr>
            </w:pPr>
            <w:r>
              <w:rPr>
                <w:rFonts w:ascii="Times New Roman" w:cs="Times New Roman" w:eastAsia="Times New Roman" w:hAnsi="Times New Roman"/>
                <w:sz w:val="17"/>
                <w:szCs w:val="17"/>
                <w:color w:val="auto"/>
              </w:rPr>
              <w:t>Unfunded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74"/>
              <w:spacing w:after="0" w:line="170" w:lineRule="exact"/>
              <w:rPr>
                <w:sz w:val="20"/>
                <w:szCs w:val="20"/>
                <w:color w:val="auto"/>
              </w:rPr>
            </w:pPr>
            <w:r>
              <w:rPr>
                <w:rFonts w:ascii="Times New Roman" w:cs="Times New Roman" w:eastAsia="Times New Roman" w:hAnsi="Times New Roman"/>
                <w:sz w:val="17"/>
                <w:szCs w:val="17"/>
                <w:color w:val="auto"/>
                <w:w w:val="99"/>
              </w:rPr>
              <w:t>Unfunded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Loans</w:t>
            </w:r>
          </w:p>
        </w:tc>
        <w:tc>
          <w:tcPr>
            <w:tcW w:w="140" w:type="dxa"/>
            <w:vAlign w:val="bottom"/>
          </w:tcPr>
          <w:p>
            <w:pPr>
              <w:spacing w:after="0"/>
              <w:rPr>
                <w:sz w:val="19"/>
                <w:szCs w:val="19"/>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Securities</w:t>
            </w:r>
          </w:p>
        </w:tc>
        <w:tc>
          <w:tcPr>
            <w:tcW w:w="16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Commitments</w:t>
            </w:r>
          </w:p>
        </w:tc>
        <w:tc>
          <w:tcPr>
            <w:tcW w:w="240" w:type="dxa"/>
            <w:vAlign w:val="bottom"/>
          </w:tcPr>
          <w:p>
            <w:pPr>
              <w:spacing w:after="0"/>
              <w:rPr>
                <w:sz w:val="19"/>
                <w:szCs w:val="19"/>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Loans</w:t>
            </w:r>
          </w:p>
        </w:tc>
        <w:tc>
          <w:tcPr>
            <w:tcW w:w="10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Securities</w:t>
            </w:r>
          </w:p>
        </w:tc>
        <w:tc>
          <w:tcPr>
            <w:tcW w:w="160" w:type="dxa"/>
            <w:vAlign w:val="bottom"/>
          </w:tcPr>
          <w:p>
            <w:pPr>
              <w:spacing w:after="0"/>
              <w:rPr>
                <w:sz w:val="19"/>
                <w:szCs w:val="19"/>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9"/>
              </w:rPr>
              <w:t>Commitments</w:t>
            </w:r>
          </w:p>
        </w:tc>
        <w:tc>
          <w:tcPr>
            <w:tcW w:w="0" w:type="dxa"/>
            <w:vAlign w:val="bottom"/>
          </w:tcPr>
          <w:p>
            <w:pPr>
              <w:spacing w:after="0"/>
              <w:rPr>
                <w:sz w:val="1"/>
                <w:szCs w:val="1"/>
                <w:color w:val="auto"/>
              </w:rPr>
            </w:pPr>
          </w:p>
        </w:tc>
      </w:tr>
      <w:tr>
        <w:trPr>
          <w:trHeight w:val="212"/>
        </w:trPr>
        <w:tc>
          <w:tcPr>
            <w:tcW w:w="34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7"/>
                <w:szCs w:val="17"/>
                <w:color w:val="auto"/>
              </w:rPr>
              <w:t>(Dollars in thousands)</w:t>
            </w: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59,379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54,658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 (deductions)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4,252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3,400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Recoveries credited to allowance</w:t>
            </w:r>
          </w:p>
        </w:tc>
        <w:tc>
          <w:tcPr>
            <w:tcW w:w="26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1,604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2,106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Assets charged against the allowance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(2,776)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(2,720)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Recoveries included in non-interest expense</w:t>
            </w: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62,459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57,444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4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Net loans charged against the allowance to</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average Portfolio Loans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0.04 %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7"/>
        </w:trPr>
        <w:tc>
          <w:tcPr>
            <w:tcW w:w="3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81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4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95"/>
        </w:trPr>
        <w:tc>
          <w:tcPr>
            <w:tcW w:w="81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960"/>
        </w:trPr>
        <w:tc>
          <w:tcPr>
            <w:tcW w:w="8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Allocation of the Allowance for Credit Losses on Loans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3"/>
        </w:trPr>
        <w:tc>
          <w:tcPr>
            <w:tcW w:w="38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December 31,</w:t>
            </w:r>
          </w:p>
        </w:tc>
      </w:tr>
      <w:tr>
        <w:trPr>
          <w:trHeight w:val="228"/>
        </w:trPr>
        <w:tc>
          <w:tcPr>
            <w:tcW w:w="38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r>
      <w:tr>
        <w:trPr>
          <w:trHeight w:val="217"/>
        </w:trPr>
        <w:tc>
          <w:tcPr>
            <w:tcW w:w="38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4"/>
          </w:tcPr>
          <w:p>
            <w:pPr>
              <w:jc w:val="right"/>
              <w:ind w:right="674"/>
              <w:spacing w:after="0"/>
              <w:rPr>
                <w:sz w:val="20"/>
                <w:szCs w:val="20"/>
                <w:color w:val="auto"/>
              </w:rPr>
            </w:pPr>
            <w:r>
              <w:rPr>
                <w:rFonts w:ascii="Times New Roman" w:cs="Times New Roman" w:eastAsia="Times New Roman" w:hAnsi="Times New Roman"/>
                <w:sz w:val="17"/>
                <w:szCs w:val="17"/>
                <w:color w:val="auto"/>
              </w:rPr>
              <w:t>(Dollars in thousands)</w:t>
            </w:r>
          </w:p>
        </w:tc>
      </w:tr>
      <w:tr>
        <w:trPr>
          <w:trHeight w:val="21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Specific allocations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2,300</w:t>
            </w:r>
          </w:p>
        </w:tc>
      </w:tr>
      <w:tr>
        <w:trPr>
          <w:trHeight w:val="21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Pooled analysis allocations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45,929</w:t>
            </w:r>
          </w:p>
        </w:tc>
      </w:tr>
      <w:tr>
        <w:trPr>
          <w:trHeight w:val="21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Additional allocations based on subjective factors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11,150</w:t>
            </w:r>
          </w:p>
        </w:tc>
      </w:tr>
      <w:tr>
        <w:trPr>
          <w:trHeight w:val="212"/>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62,459</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59,379</w:t>
            </w:r>
          </w:p>
        </w:tc>
      </w:tr>
      <w:tr>
        <w:trPr>
          <w:trHeight w:val="20"/>
        </w:trPr>
        <w:tc>
          <w:tcPr>
            <w:tcW w:w="3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Some loans will not be repaid in full. Therefore, an ACL on loans is maintained at a level which represents our best estimate of expected credit losses. Our ACL on loans is comprised of three principal elements: (i) specific analysis of individual loans identified during the review of the loan portfolio, (ii) pooled analysis of loans with similar risk characteristics based on historical experience, adjusted for current conditions, reasonable and supportable forecasts, and expected prepayments, and (iii) additional allowances based on subjective factors, including local and general economic business factors and trends, portfolio concentrations and changes in the size and/or the general terms of the loan portfolios. See note #4 to the interim Condensed Consolidated Financial Statements included within this report for further discussion on the ACL on loans.</w:t>
      </w:r>
    </w:p>
    <w:p>
      <w:pPr>
        <w:spacing w:after="0" w:line="13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While we use relevant information to recognize losses on loans, additional provisions for related losses may be necessary based on changes in economic conditions, customer circumstances and other credit risk factors.</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ACL increased $3.1 million to $62.5 million at September 30, 2025 from $59.4 million at December 31, 2024, and was equal to 1.49% of total Portfolio Loans at September 30, 2025, compared to 1.47% at December 31, 2024.</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Since December 31, 2024, the ACL related to specific loans increased $3.4 million due primarily to one commercial loan addition. The ACL related to pooled analysis of loans increased $0.2 million due primarily to commercial loan growth that was only partially offset by a refinement in prepayment assumptions on mortgage loans that included a breakdown between fixed and variable rate loans. The ACL related to subjective factors decreased $0.4 million due primarily to a two basis point decrease in the allocation rate that was partially offset by commercial loan growth during the first nine months of 2025. The decrease in the allocation based on subjective factors was due in part to a generally less pessimistic economic outlook including previous expectations of the impact of new tariffs.</w:t>
      </w:r>
    </w:p>
    <w:p>
      <w:pPr>
        <w:spacing w:after="0" w:line="13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Deposits and borrowings. </w:t>
      </w:r>
      <w:r>
        <w:rPr>
          <w:rFonts w:ascii="Times New Roman" w:cs="Times New Roman" w:eastAsia="Times New Roman" w:hAnsi="Times New Roman"/>
          <w:sz w:val="17"/>
          <w:szCs w:val="17"/>
          <w:color w:val="auto"/>
        </w:rPr>
        <w:t>Historically, the loyalty of our customer base has allowed us to price deposits competitively, contributing to a net interest margin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generally 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Deposits totaled $4.86 billion and $4.65 billion at September 30, 2025, and December 31, 2024, respectively. The increase in balances during the first nine months of 2025 is due to increases in savings and interest-bearing checking, reciprocal, time and brokered time deposits that were partially offset by a decrease in non-interest bearing deposits. Reciprocal deposits totaled $981.1 million and $907.0 million at September 30, 2025 and December 31, 2024, respectively. These deposits represent demand, money market and time deposits from our customers that have been placed through IntraFi Network. This service allows our customers to access multi-million dollar FDIC deposit insurance on deposit balances greater than the standard FDIC insurance maximum.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cannot be sure that we will be able to maintain our current level of core deposits. In particular, those deposits that are uninsured may be susceptible to outflow.</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Data relating to our deposit portfolios (excluding brokered time) follows: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September 30,</w:t>
            </w:r>
          </w:p>
        </w:tc>
        <w:tc>
          <w:tcPr>
            <w:tcW w:w="320" w:type="dxa"/>
            <w:vAlign w:val="bottom"/>
          </w:tcPr>
          <w:p>
            <w:pPr>
              <w:spacing w:after="0"/>
              <w:rPr>
                <w:sz w:val="17"/>
                <w:szCs w:val="17"/>
                <w:color w:val="auto"/>
              </w:rPr>
            </w:pPr>
          </w:p>
        </w:tc>
        <w:tc>
          <w:tcPr>
            <w:tcW w:w="158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December 31,</w:t>
            </w:r>
          </w:p>
        </w:tc>
      </w:tr>
      <w:tr>
        <w:trPr>
          <w:trHeight w:val="223"/>
        </w:trPr>
        <w:tc>
          <w:tcPr>
            <w:tcW w:w="7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color w:val="auto"/>
              </w:rPr>
              <w:t>2025</w:t>
            </w: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color w:val="auto"/>
              </w:rPr>
              <w:t>2024</w:t>
            </w:r>
          </w:p>
        </w:tc>
      </w:tr>
      <w:tr>
        <w:trPr>
          <w:trHeight w:val="212"/>
        </w:trPr>
        <w:tc>
          <w:tcPr>
            <w:tcW w:w="7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60" w:type="dxa"/>
            <w:vAlign w:val="bottom"/>
            <w:gridSpan w:val="3"/>
          </w:tcPr>
          <w:p>
            <w:pPr>
              <w:jc w:val="right"/>
              <w:ind w:right="1054"/>
              <w:spacing w:after="0"/>
              <w:rPr>
                <w:sz w:val="20"/>
                <w:szCs w:val="20"/>
                <w:color w:val="auto"/>
              </w:rPr>
            </w:pPr>
            <w:r>
              <w:rPr>
                <w:rFonts w:ascii="Times New Roman" w:cs="Times New Roman" w:eastAsia="Times New Roman" w:hAnsi="Times New Roman"/>
                <w:sz w:val="17"/>
                <w:szCs w:val="17"/>
                <w:color w:val="auto"/>
              </w:rPr>
              <w:t>(Dollars in thousands)</w:t>
            </w:r>
          </w:p>
        </w:tc>
      </w:tr>
      <w:tr>
        <w:trPr>
          <w:trHeight w:val="219"/>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Uninsured deposits (1)</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1,139,186</w:t>
            </w:r>
          </w:p>
        </w:tc>
        <w:tc>
          <w:tcPr>
            <w:tcW w:w="3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1,059,909</w:t>
            </w:r>
          </w:p>
        </w:tc>
      </w:tr>
      <w:tr>
        <w:trPr>
          <w:trHeight w:val="219"/>
        </w:trPr>
        <w:tc>
          <w:tcPr>
            <w:tcW w:w="7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Uninsured deposits as a percentage of deposits</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24.3 %</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23.3 %</w:t>
            </w:r>
          </w:p>
        </w:tc>
      </w:tr>
      <w:tr>
        <w:trPr>
          <w:trHeight w:val="219"/>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Average deposit account size</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22.20</w:t>
            </w:r>
          </w:p>
        </w:tc>
        <w:tc>
          <w:tcPr>
            <w:tcW w:w="3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21.14</w:t>
            </w:r>
          </w:p>
        </w:tc>
      </w:tr>
      <w:tr>
        <w:trPr>
          <w:trHeight w:val="219"/>
        </w:trPr>
        <w:tc>
          <w:tcPr>
            <w:tcW w:w="7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Balance of top 100 largest depositors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1,146,569</w:t>
            </w:r>
          </w:p>
        </w:tc>
        <w:tc>
          <w:tcPr>
            <w:tcW w:w="3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1,062,255</w:t>
            </w:r>
          </w:p>
        </w:tc>
      </w:tr>
      <w:tr>
        <w:trPr>
          <w:trHeight w:val="219"/>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Balance of top 100 depositors as a percentage of deposits, excluding brokered time deposits</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24.5 %</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23.4 %</w:t>
            </w:r>
          </w:p>
        </w:tc>
      </w:tr>
    </w:tbl>
    <w:p>
      <w:pPr>
        <w:spacing w:after="0" w:line="241" w:lineRule="exact"/>
        <w:rPr>
          <w:sz w:val="20"/>
          <w:szCs w:val="20"/>
          <w:color w:val="auto"/>
        </w:rPr>
      </w:pPr>
    </w:p>
    <w:p>
      <w:pPr>
        <w:ind w:firstLine="3"/>
        <w:spacing w:after="0" w:line="287" w:lineRule="auto"/>
        <w:tabs>
          <w:tab w:leader="none" w:pos="274"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amounts exclude intercompany related deposits of $48.4 million and $54.8 million at September 30, 2025 and December 31, 2024, respectively. Uninsured deposits reported in our Call Report at September 30, 2025 and December 31, 2024 totaled $1,187.5 million and $1,114.7 million, respectively.</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have also implemented strategies that incorporate using federal funds purchased, other borrowings and Brokered CDs to fund a portion of our interest-earning assets. The use of such alternate sources of funds supplements our core deposits and is also an integral part of our asset/liability management efforts.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borrowings, comprised primarily of FHLB borrowings, totaled $2.0 million and $45.0 million at September 30, 2025, and December 31, 2024, respectively.</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As described above, we have utilized wholesale funding, including federal funds purchased, FHLB and FRB borrowings and Brokered CDs to augment our core deposits and fund a portion of our assets. At September 30, 2025, our use of such wholesale funding sources (including reciprocal deposits) amounted to approximately $1.16 billion, or 23.8% of total funding (deposits and all borrowings, excluding subordinated debt and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CDs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3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historically employed derivative financial instruments to manage our exposure to changes in interest rates. During the first nine months of 2025 and 2024, we entered into $117.9 million and $136.0 million (aggregate notional amounts), respectively, of interest rate swaps with commercial loan customers, which were offset with interest rate swaps that the Bank entered into with a broker-dealer. We recorded $1.39 million and $1.52 million of fee income related to these transactions during the first nine months of 2025 and 2024, respectively. See note #6 to the interim Condensed Consolidated Financial Statements included within this report for more information on our derivative financial instruments.</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Liquidity and capital resources. </w:t>
      </w:r>
      <w:r>
        <w:rPr>
          <w:rFonts w:ascii="Times New Roman" w:cs="Times New Roman" w:eastAsia="Times New Roman" w:hAnsi="Times New Roman"/>
          <w:sz w:val="17"/>
          <w:szCs w:val="17"/>
          <w:color w:val="auto"/>
        </w:rPr>
        <w:t>Liquidity risk is the risk of being unable to timely meet obligations as they come due at a reasonable funding cost or without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incurring unacceptable losses. Our liquidity management involves the measurement and monitoring of a variety of sources and uses of funds. Our interim Condensed Consolidated Statements of Cash Flows categorize these sources and uses into operating, investing and financing activities. We primarily focus our liquidity management on maintaining adequate levels of liquid assets (primarily funds on deposit with the FRB and certain securities AFS) as well as developing access to a variety of borrowing sources to supplement our deposit gathering activities and provide funds for purchasing securities or originating Portfolio Loans as well as to be able to respond to unforeseen liquidity needs.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primary sources of funds include our deposit base, secured advances from the FHLB and FRB, federal funds purchased, borrowing facilities with other banks, and access to the capital markets (for Brokered CDs). At September 30, 2025, in addition to liquidity available from our normal operating, funding and investing activities we had unused credit lines with the FHLB and FRB of approximately $1.152 billion and $468.8 million, respectively. We also had approximately $465.9 million in fair value of unpledged securities AFS and HTM at September 30, 2025, which could be pledged for an estimated additional borrowing capacity at the FHLB and FRB of approximately $437.3 million.</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At September 30, 2025, we had $946.2 million of time deposits that mature in the next 12 months. Historically, a majority of these maturing time deposits are renewed by our customers. Additionally, $3.91 billion of our deposits at September 30,</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2025, were in account types from which the customer could withdraw the funds on demand. Changes in the balances of deposits 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3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highly liquid or short-term assets) to total assets, short-term liability dependence and basic surplus (defined as quick assets less volatile liabilities to total assets). Policy limits have been established for our various liquidity measurements and are monitored on a quarterly basis. In addition, we also prepare cash flow forecasts that include a variety of different scenarios.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believe that we currently have adequate liquidity at our Bank because of our cash and cash equivalents, our portfolio of securities AFS, our access to secured advances from the FHLB and FRB and our ability to issue Brokered CDs.</w:t>
      </w:r>
    </w:p>
    <w:p>
      <w:pPr>
        <w:spacing w:after="0" w:line="11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also believe that the available cash on hand at the parent company (including time deposits) of approximately $48.2 million as of September 30, 2025, provides sufficient liquidity resources at the parent company to meet operating expenses, to make interest payments on the subordinated debentures and, along with dividends from the Bank, to pay projected cash dividends on our common stock.</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Effective management of capital resources is critical to our mission to create value for our shareholders. In addition to common stock, our capital structure also currently includes cumulative trust preferred securities and prior to the end of the third quarter of 2025, also included subordinated debt.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Capitalization</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70"/>
        </w:trPr>
        <w:tc>
          <w:tcPr>
            <w:tcW w:w="8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December 31,</w:t>
            </w:r>
          </w:p>
        </w:tc>
      </w:tr>
      <w:tr>
        <w:trPr>
          <w:trHeight w:val="223"/>
        </w:trPr>
        <w:tc>
          <w:tcPr>
            <w:tcW w:w="8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r>
      <w:tr>
        <w:trPr>
          <w:trHeight w:val="212"/>
        </w:trPr>
        <w:tc>
          <w:tcPr>
            <w:tcW w:w="8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4"/>
          </w:tcPr>
          <w:p>
            <w:pPr>
              <w:jc w:val="right"/>
              <w:ind w:right="934"/>
              <w:spacing w:after="0"/>
              <w:rPr>
                <w:sz w:val="20"/>
                <w:szCs w:val="20"/>
                <w:color w:val="auto"/>
              </w:rPr>
            </w:pPr>
            <w:r>
              <w:rPr>
                <w:rFonts w:ascii="Times New Roman" w:cs="Times New Roman" w:eastAsia="Times New Roman" w:hAnsi="Times New Roman"/>
                <w:sz w:val="17"/>
                <w:szCs w:val="17"/>
                <w:color w:val="auto"/>
              </w:rPr>
              <w:t>(In thousands)</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Subordinated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39,586</w:t>
            </w: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Subordinated debentures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39,847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39,796</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 not qualifying as regulatory capital</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w:t>
            </w:r>
          </w:p>
        </w:tc>
      </w:tr>
      <w:tr>
        <w:trPr>
          <w:trHeight w:val="212"/>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Amount qualifying as regulatory capital</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38,623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78,572</w:t>
            </w:r>
          </w:p>
        </w:tc>
      </w:tr>
      <w:tr>
        <w:trPr>
          <w:trHeight w:val="19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Shareholders’ equity</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9"/>
        </w:trPr>
        <w:tc>
          <w:tcPr>
            <w:tcW w:w="8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Common stock</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311,770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318,777</w:t>
            </w: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239,602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205,853</w:t>
            </w:r>
          </w:p>
        </w:tc>
      </w:tr>
      <w:tr>
        <w:trPr>
          <w:trHeight w:val="219"/>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(60,630)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(69,944)</w:t>
            </w:r>
          </w:p>
        </w:tc>
      </w:tr>
      <w:tr>
        <w:trPr>
          <w:trHeight w:val="212"/>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490,742</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454,686</w:t>
            </w:r>
          </w:p>
        </w:tc>
      </w:tr>
      <w:tr>
        <w:trPr>
          <w:trHeight w:val="212"/>
        </w:trPr>
        <w:tc>
          <w:tcPr>
            <w:tcW w:w="81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capitalization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529,365</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533,258</w:t>
            </w:r>
          </w:p>
        </w:tc>
      </w:tr>
      <w:tr>
        <w:trPr>
          <w:trHeight w:val="20"/>
        </w:trPr>
        <w:tc>
          <w:tcPr>
            <w:tcW w:w="8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May 2020, we issued $40.0 million of fixed to floating subordinated notes with a ten year maturity and a five year call option. The initial coupon rate was 5.95% fixed for five years and then floated at the Secured Overnight Financing Rate (“SOFR”) plus 5.825% beginning May 31, 2025. These subordinated notes were presented in the interim Condensed Consolidated Statement of Financial Condition under the caption “Subordinated debt” and presented net of remaining unamortized deferred issuance costs that were being amortized through the maturity date into interest expense on other borrowings and subordinated debt and debentures in our interim Condensed Consolidated Statements of Operations. On September 2, 2025 we redeemed our $40 million floating subordinated notes. As a result, we accelerated the remaining unamortized net issuance costs of $0.36 million during the third quarter of 2025 into interest expense as described above. This redemption did not affect our status as well-capitalized for regulatory purposes or have a material impact on our liquidity resources.</w:t>
      </w:r>
    </w:p>
    <w:p>
      <w:pPr>
        <w:spacing w:after="0" w:line="1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currently have four special purpose entities with $39.8 million of outstanding cumulative trust preferred securities as of September 30, 2025. These special purpose entities issued common securities and provided cash to our parent company that in turn issued subordinated debentures to these special purpose entities equal to the trust preferred securities and common securities. The subordinated debentures represent the sole asset of the special purpose entities. The common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and subordinated debentures are included in our interim Condensed Consolidated Statements of Financial Condition.</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FRB has issued rules regarding trust preferred securities as a component of the Tier 1 capital of bank holding companies. The aggregate amount of trust preferred securities (and certain other capital elements) are limited to 25 percent of Tier 1 capital elements, net of goodwill (net of any associated deferred tax liability). The amount of trust preferred securities and certain other elements in excess of the limit can be included in Tier 2 capital, subject to restrictions. At the parent company, all of these securities qualified as Tier 1 capital at September 30, 2025, and December 31, 2024.</w:t>
      </w:r>
    </w:p>
    <w:p>
      <w:pPr>
        <w:spacing w:after="0" w:line="1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Common shareholders’ equity increased to $490.7 million at September 30, 2025, from $454.7 million at December 31, 2024. The increase is primarily due to earnings retention and a decrease in accumulated other comprehensive loss. Our tangible common equity (“TCE”) totaled $461.3 million and $424.9 million, respectively, at those same dates. Our ratio of TCE to tangible assets was 8.44% and 8.00% at September 30, 2025, and December 31, 2024, respectively. TCE and the ratio of TCE to tangible assets are non-GAAP measures. TCE represents total common equity less goodwill and other intangible assets.</w:t>
      </w:r>
    </w:p>
    <w:p>
      <w:pPr>
        <w:spacing w:after="0" w:line="1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December 2024, our Board of Directors authorized a 2025 share repurchase plan. Under the terms of the 2025 share repurchase plan, we are authorized to buy back up to 1,100,000, or approximately 5% of our outstanding common stock. During the first nine months of 2025, we repurchased 266,008 shares of common stock, for an aggregate purchase price of $7.8 million. There were no shares repurchased during the first nine months of 2024.</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currently pay a quarterly cash dividend on our common stock. These dividends totaled $0.78 per share and $0.72 per share in the first nine months of 2025 and 2024, respectively. We generally favor a dividend payout ratio between 30% and 50% of net income.</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September 30, 2025 and December 31, 2024, our Bank (and holding company) continued to meet the requirements to be considered “well-capitalized” under federal regulatory standards (also see note #10 to the interim Condensed Consolidated Financial Statements included within this report).</w:t>
      </w:r>
    </w:p>
    <w:p>
      <w:pPr>
        <w:spacing w:after="0" w:line="10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Asset/liability management. </w:t>
      </w:r>
      <w:r>
        <w:rPr>
          <w:rFonts w:ascii="Times New Roman" w:cs="Times New Roman" w:eastAsia="Times New Roman" w:hAnsi="Times New Roman"/>
          <w:sz w:val="17"/>
          <w:szCs w:val="17"/>
          <w:color w:val="auto"/>
        </w:rPr>
        <w:t>Interest-rate risk is created by differences in the cash flow characteristics of our assets and liabilities. Options embedded in certain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financial instruments, including caps on adjustable-rate loans as well as borrowers’ rights to prepay fixed-rate loans, also create interest-rate risk.</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asset/liability management efforts identify and evaluate opportunities to structure our assets and liabilities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spacing w:after="0" w:line="3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 At September 30, 2025, our longer term interest rate risk measure based on changes in economic value indicates exposure to rising rates. Interest rate sensitivity under this measure has decreased from December 31, 2024 due to a decline in asset duration and a higher base value. Asset duration declined due to a shift in the asset mix to shorter duration loans (primarily variable rate commercial loans). In addition, at September 30, 2025 our simulation base-rate scenario for economic value increased from December 31, 2024. The increase was due primarily to an increase in the Bank’s tangible equity and an improvement in medium to long duration asset values given a decline in interest rates. The increase in asset values outpaced the increase in market value for longer duration deposits. We are carefully monitoring the change in our funding mix as well as the composition of our earning assets and the impact of potential future changes in interest rates on our changes in economic value and changes in net interest income. As a result, we may add some longer-term borrowings, may utilize derivatives (interest rate swaps, interest rate caps and interest rate floors) and may continue to sell some fixed rate jumbo and other portfolio mortgage loans in the future.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95"/>
        </w:trPr>
        <w:tc>
          <w:tcPr>
            <w:tcW w:w="2580" w:type="dxa"/>
            <w:vAlign w:val="bottom"/>
            <w:gridSpan w:val="3"/>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72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8320" w:type="dxa"/>
            <w:vAlign w:val="bottom"/>
            <w:gridSpan w:val="10"/>
          </w:tcPr>
          <w:p>
            <w:pPr>
              <w:spacing w:after="0"/>
              <w:rPr>
                <w:sz w:val="20"/>
                <w:szCs w:val="20"/>
                <w:color w:val="auto"/>
              </w:rPr>
            </w:pPr>
            <w:r>
              <w:rPr>
                <w:rFonts w:ascii="Times New Roman" w:cs="Times New Roman" w:eastAsia="Times New Roman" w:hAnsi="Times New Roman"/>
                <w:sz w:val="17"/>
                <w:szCs w:val="17"/>
                <w:b w:val="1"/>
                <w:bCs w:val="1"/>
                <w:color w:val="auto"/>
              </w:rPr>
              <w:t>CHANGES IN ECONOMIC VALUE, NET INTEREST INCOME AND NET INTEREST MARGIN</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center"/>
              <w:ind w:right="334"/>
              <w:spacing w:after="0"/>
              <w:rPr>
                <w:sz w:val="20"/>
                <w:szCs w:val="20"/>
                <w:color w:val="auto"/>
              </w:rPr>
            </w:pPr>
            <w:r>
              <w:rPr>
                <w:rFonts w:ascii="Times New Roman" w:cs="Times New Roman" w:eastAsia="Times New Roman" w:hAnsi="Times New Roman"/>
                <w:sz w:val="17"/>
                <w:szCs w:val="17"/>
                <w:b w:val="1"/>
                <w:bCs w:val="1"/>
                <w:color w:val="auto"/>
              </w:rPr>
              <w:t>Net</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Economic</w:t>
            </w:r>
          </w:p>
        </w:tc>
        <w:tc>
          <w:tcPr>
            <w:tcW w:w="1320" w:type="dxa"/>
            <w:vAlign w:val="bottom"/>
          </w:tcPr>
          <w:p>
            <w:pPr>
              <w:ind w:left="300"/>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240" w:type="dxa"/>
            <w:vAlign w:val="bottom"/>
          </w:tcPr>
          <w:p>
            <w:pPr>
              <w:spacing w:after="0"/>
              <w:rPr>
                <w:sz w:val="17"/>
                <w:szCs w:val="17"/>
                <w:color w:val="auto"/>
              </w:rPr>
            </w:pPr>
          </w:p>
        </w:tc>
        <w:tc>
          <w:tcPr>
            <w:tcW w:w="1320" w:type="dxa"/>
            <w:vAlign w:val="bottom"/>
          </w:tcPr>
          <w:p>
            <w:pPr>
              <w:jc w:val="center"/>
              <w:ind w:right="334"/>
              <w:spacing w:after="0"/>
              <w:rPr>
                <w:sz w:val="20"/>
                <w:szCs w:val="20"/>
                <w:color w:val="auto"/>
              </w:rPr>
            </w:pPr>
            <w:r>
              <w:rPr>
                <w:rFonts w:ascii="Times New Roman" w:cs="Times New Roman" w:eastAsia="Times New Roman" w:hAnsi="Times New Roman"/>
                <w:sz w:val="17"/>
                <w:szCs w:val="17"/>
                <w:b w:val="1"/>
                <w:bCs w:val="1"/>
                <w:color w:val="auto"/>
              </w:rPr>
              <w:t>Interest</w:t>
            </w:r>
          </w:p>
        </w:tc>
        <w:tc>
          <w:tcPr>
            <w:tcW w:w="136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Net Interest</w:t>
            </w:r>
          </w:p>
        </w:tc>
        <w:tc>
          <w:tcPr>
            <w:tcW w:w="140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0" w:type="dxa"/>
            <w:vAlign w:val="bottom"/>
          </w:tcPr>
          <w:p>
            <w:pPr>
              <w:spacing w:after="0"/>
              <w:rPr>
                <w:sz w:val="1"/>
                <w:szCs w:val="1"/>
                <w:color w:val="auto"/>
              </w:rPr>
            </w:pPr>
          </w:p>
        </w:tc>
      </w:tr>
      <w:tr>
        <w:trPr>
          <w:trHeight w:val="252"/>
        </w:trPr>
        <w:tc>
          <w:tcPr>
            <w:tcW w:w="2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Change in Interest Rates</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Value(1)</w:t>
            </w:r>
          </w:p>
        </w:tc>
        <w:tc>
          <w:tcPr>
            <w:tcW w:w="13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334"/>
              <w:spacing w:after="0"/>
              <w:rPr>
                <w:sz w:val="20"/>
                <w:szCs w:val="20"/>
                <w:color w:val="auto"/>
              </w:rPr>
            </w:pPr>
            <w:r>
              <w:rPr>
                <w:rFonts w:ascii="Times New Roman" w:cs="Times New Roman" w:eastAsia="Times New Roman" w:hAnsi="Times New Roman"/>
                <w:sz w:val="17"/>
                <w:szCs w:val="17"/>
                <w:b w:val="1"/>
                <w:bCs w:val="1"/>
                <w:color w:val="auto"/>
              </w:rPr>
              <w:t>Income(2)</w:t>
            </w:r>
          </w:p>
        </w:tc>
        <w:tc>
          <w:tcPr>
            <w:tcW w:w="12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00" w:type="dxa"/>
            <w:vAlign w:val="bottom"/>
          </w:tcPr>
          <w:p>
            <w:pPr>
              <w:spacing w:after="0"/>
              <w:rPr>
                <w:sz w:val="21"/>
                <w:szCs w:val="21"/>
                <w:color w:val="auto"/>
              </w:rPr>
            </w:pPr>
          </w:p>
        </w:tc>
        <w:tc>
          <w:tcPr>
            <w:tcW w:w="14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Margin(3)</w:t>
            </w:r>
          </w:p>
        </w:tc>
        <w:tc>
          <w:tcPr>
            <w:tcW w:w="100" w:type="dxa"/>
            <w:vAlign w:val="bottom"/>
          </w:tcPr>
          <w:p>
            <w:pPr>
              <w:spacing w:after="0"/>
              <w:rPr>
                <w:sz w:val="21"/>
                <w:szCs w:val="21"/>
                <w:color w:val="auto"/>
              </w:rPr>
            </w:pPr>
          </w:p>
        </w:tc>
        <w:tc>
          <w:tcPr>
            <w:tcW w:w="14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220"/>
        </w:trPr>
        <w:tc>
          <w:tcPr>
            <w:tcW w:w="2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September 30, 2025</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80" w:type="dxa"/>
            <w:vAlign w:val="bottom"/>
            <w:gridSpan w:val="3"/>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5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200 basis point rise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676,500</w:t>
            </w:r>
          </w:p>
        </w:tc>
        <w:tc>
          <w:tcPr>
            <w:tcW w:w="1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(5.31)%</w:t>
            </w:r>
          </w:p>
        </w:tc>
        <w:tc>
          <w:tcPr>
            <w:tcW w:w="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198,000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w w:val="99"/>
              </w:rPr>
              <w:t>3.79 %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2.99 %</w:t>
            </w:r>
          </w:p>
        </w:tc>
        <w:tc>
          <w:tcPr>
            <w:tcW w:w="0" w:type="dxa"/>
            <w:vAlign w:val="bottom"/>
          </w:tcPr>
          <w:p>
            <w:pPr>
              <w:spacing w:after="0"/>
              <w:rPr>
                <w:sz w:val="1"/>
                <w:szCs w:val="1"/>
                <w:color w:val="auto"/>
              </w:rPr>
            </w:pPr>
          </w:p>
        </w:tc>
      </w:tr>
      <w:tr>
        <w:trPr>
          <w:trHeight w:val="219"/>
        </w:trPr>
        <w:tc>
          <w:tcPr>
            <w:tcW w:w="25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100 basis point rise</w:t>
            </w:r>
          </w:p>
        </w:tc>
        <w:tc>
          <w:tcPr>
            <w:tcW w:w="200" w:type="dxa"/>
            <w:vAlign w:val="bottom"/>
          </w:tcPr>
          <w:p>
            <w:pPr>
              <w:spacing w:after="0"/>
              <w:rPr>
                <w:sz w:val="19"/>
                <w:szCs w:val="19"/>
                <w:color w:val="auto"/>
              </w:rPr>
            </w:pP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697,300</w:t>
            </w:r>
          </w:p>
        </w:tc>
        <w:tc>
          <w:tcPr>
            <w:tcW w:w="13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(2.39)</w:t>
            </w:r>
          </w:p>
        </w:tc>
        <w:tc>
          <w:tcPr>
            <w:tcW w:w="240" w:type="dxa"/>
            <w:vAlign w:val="bottom"/>
          </w:tcPr>
          <w:p>
            <w:pPr>
              <w:spacing w:after="0"/>
              <w:rPr>
                <w:sz w:val="19"/>
                <w:szCs w:val="19"/>
                <w:color w:val="auto"/>
              </w:rPr>
            </w:pPr>
          </w:p>
        </w:tc>
        <w:tc>
          <w:tcPr>
            <w:tcW w:w="13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195,600</w:t>
            </w:r>
          </w:p>
        </w:tc>
        <w:tc>
          <w:tcPr>
            <w:tcW w:w="12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tcPr>
          <w:p>
            <w:pPr>
              <w:spacing w:after="0"/>
              <w:rPr>
                <w:sz w:val="19"/>
                <w:szCs w:val="19"/>
                <w:color w:val="auto"/>
              </w:rPr>
            </w:pPr>
          </w:p>
        </w:tc>
        <w:tc>
          <w:tcPr>
            <w:tcW w:w="142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3.74</w:t>
            </w:r>
          </w:p>
        </w:tc>
        <w:tc>
          <w:tcPr>
            <w:tcW w:w="100" w:type="dxa"/>
            <w:vAlign w:val="bottom"/>
          </w:tcPr>
          <w:p>
            <w:pPr>
              <w:spacing w:after="0"/>
              <w:rPr>
                <w:sz w:val="19"/>
                <w:szCs w:val="19"/>
                <w:color w:val="auto"/>
              </w:rPr>
            </w:pPr>
          </w:p>
        </w:tc>
        <w:tc>
          <w:tcPr>
            <w:tcW w:w="14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1.63</w:t>
            </w:r>
          </w:p>
        </w:tc>
        <w:tc>
          <w:tcPr>
            <w:tcW w:w="0" w:type="dxa"/>
            <w:vAlign w:val="bottom"/>
          </w:tcPr>
          <w:p>
            <w:pPr>
              <w:spacing w:after="0"/>
              <w:rPr>
                <w:sz w:val="1"/>
                <w:szCs w:val="1"/>
                <w:color w:val="auto"/>
              </w:rPr>
            </w:pPr>
          </w:p>
        </w:tc>
      </w:tr>
      <w:tr>
        <w:trPr>
          <w:trHeight w:val="219"/>
        </w:trPr>
        <w:tc>
          <w:tcPr>
            <w:tcW w:w="2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Base-rate scenario</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714,400</w:t>
            </w:r>
          </w:p>
        </w:tc>
        <w:tc>
          <w:tcPr>
            <w:tcW w:w="13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192,500</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3.68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5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100 basis point decline</w:t>
            </w:r>
          </w:p>
        </w:tc>
        <w:tc>
          <w:tcPr>
            <w:tcW w:w="200" w:type="dxa"/>
            <w:vAlign w:val="bottom"/>
          </w:tcPr>
          <w:p>
            <w:pPr>
              <w:spacing w:after="0"/>
              <w:rPr>
                <w:sz w:val="19"/>
                <w:szCs w:val="19"/>
                <w:color w:val="auto"/>
              </w:rPr>
            </w:pP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719,200</w:t>
            </w:r>
          </w:p>
        </w:tc>
        <w:tc>
          <w:tcPr>
            <w:tcW w:w="13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0.67</w:t>
            </w:r>
          </w:p>
        </w:tc>
        <w:tc>
          <w:tcPr>
            <w:tcW w:w="240" w:type="dxa"/>
            <w:vAlign w:val="bottom"/>
          </w:tcPr>
          <w:p>
            <w:pPr>
              <w:spacing w:after="0"/>
              <w:rPr>
                <w:sz w:val="19"/>
                <w:szCs w:val="19"/>
                <w:color w:val="auto"/>
              </w:rPr>
            </w:pPr>
          </w:p>
        </w:tc>
        <w:tc>
          <w:tcPr>
            <w:tcW w:w="13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190,300</w:t>
            </w:r>
          </w:p>
        </w:tc>
        <w:tc>
          <w:tcPr>
            <w:tcW w:w="1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tcPr>
          <w:p>
            <w:pPr>
              <w:spacing w:after="0"/>
              <w:rPr>
                <w:sz w:val="19"/>
                <w:szCs w:val="19"/>
                <w:color w:val="auto"/>
              </w:rPr>
            </w:pPr>
          </w:p>
        </w:tc>
        <w:tc>
          <w:tcPr>
            <w:tcW w:w="142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3.64</w:t>
            </w:r>
          </w:p>
        </w:tc>
        <w:tc>
          <w:tcPr>
            <w:tcW w:w="100" w:type="dxa"/>
            <w:vAlign w:val="bottom"/>
          </w:tcPr>
          <w:p>
            <w:pPr>
              <w:spacing w:after="0"/>
              <w:rPr>
                <w:sz w:val="19"/>
                <w:szCs w:val="19"/>
                <w:color w:val="auto"/>
              </w:rPr>
            </w:pPr>
          </w:p>
        </w:tc>
        <w:tc>
          <w:tcPr>
            <w:tcW w:w="14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(1.09)</w:t>
            </w:r>
          </w:p>
        </w:tc>
        <w:tc>
          <w:tcPr>
            <w:tcW w:w="0" w:type="dxa"/>
            <w:vAlign w:val="bottom"/>
          </w:tcPr>
          <w:p>
            <w:pPr>
              <w:spacing w:after="0"/>
              <w:rPr>
                <w:sz w:val="1"/>
                <w:szCs w:val="1"/>
                <w:color w:val="auto"/>
              </w:rPr>
            </w:pPr>
          </w:p>
        </w:tc>
      </w:tr>
      <w:tr>
        <w:trPr>
          <w:trHeight w:val="219"/>
        </w:trPr>
        <w:tc>
          <w:tcPr>
            <w:tcW w:w="2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200 basis point decline</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706,300</w:t>
            </w:r>
          </w:p>
        </w:tc>
        <w:tc>
          <w:tcPr>
            <w:tcW w:w="1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(1.13)</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188,100</w:t>
            </w:r>
          </w:p>
        </w:tc>
        <w:tc>
          <w:tcPr>
            <w:tcW w:w="1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(2.29)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3.60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(2.17)</w:t>
            </w:r>
          </w:p>
        </w:tc>
        <w:tc>
          <w:tcPr>
            <w:tcW w:w="0" w:type="dxa"/>
            <w:vAlign w:val="bottom"/>
          </w:tcPr>
          <w:p>
            <w:pPr>
              <w:spacing w:after="0"/>
              <w:rPr>
                <w:sz w:val="1"/>
                <w:szCs w:val="1"/>
                <w:color w:val="auto"/>
              </w:rPr>
            </w:pPr>
          </w:p>
        </w:tc>
      </w:tr>
      <w:tr>
        <w:trPr>
          <w:trHeight w:val="258"/>
        </w:trPr>
        <w:tc>
          <w:tcPr>
            <w:tcW w:w="250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2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200 basis point rise</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566,000</w:t>
            </w:r>
          </w:p>
        </w:tc>
        <w:tc>
          <w:tcPr>
            <w:tcW w:w="13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(9.76)%</w:t>
            </w:r>
          </w:p>
        </w:tc>
        <w:tc>
          <w:tcPr>
            <w:tcW w:w="2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185,500</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1.64 %</w:t>
            </w:r>
          </w:p>
        </w:tc>
        <w:tc>
          <w:tcPr>
            <w:tcW w:w="100" w:type="dxa"/>
            <w:vAlign w:val="bottom"/>
          </w:tcPr>
          <w:p>
            <w:pPr>
              <w:spacing w:after="0"/>
              <w:rPr>
                <w:sz w:val="19"/>
                <w:szCs w:val="19"/>
                <w:color w:val="auto"/>
              </w:rPr>
            </w:pPr>
          </w:p>
        </w:tc>
        <w:tc>
          <w:tcPr>
            <w:tcW w:w="1420" w:type="dxa"/>
            <w:vAlign w:val="bottom"/>
          </w:tcPr>
          <w:p>
            <w:pPr>
              <w:ind w:left="920"/>
              <w:spacing w:after="0"/>
              <w:rPr>
                <w:sz w:val="20"/>
                <w:szCs w:val="20"/>
                <w:color w:val="auto"/>
              </w:rPr>
            </w:pPr>
            <w:r>
              <w:rPr>
                <w:rFonts w:ascii="Times New Roman" w:cs="Times New Roman" w:eastAsia="Times New Roman" w:hAnsi="Times New Roman"/>
                <w:sz w:val="17"/>
                <w:szCs w:val="17"/>
                <w:color w:val="auto"/>
                <w:w w:val="99"/>
              </w:rPr>
              <w:t>3.65 %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1.67 %</w:t>
            </w:r>
          </w:p>
        </w:tc>
        <w:tc>
          <w:tcPr>
            <w:tcW w:w="0" w:type="dxa"/>
            <w:vAlign w:val="bottom"/>
          </w:tcPr>
          <w:p>
            <w:pPr>
              <w:spacing w:after="0"/>
              <w:rPr>
                <w:sz w:val="1"/>
                <w:szCs w:val="1"/>
                <w:color w:val="auto"/>
              </w:rPr>
            </w:pPr>
          </w:p>
        </w:tc>
      </w:tr>
      <w:tr>
        <w:trPr>
          <w:trHeight w:val="219"/>
        </w:trPr>
        <w:tc>
          <w:tcPr>
            <w:tcW w:w="2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100 basis point rise</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598,600</w:t>
            </w:r>
          </w:p>
        </w:tc>
        <w:tc>
          <w:tcPr>
            <w:tcW w:w="1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(4.56)</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184,400</w:t>
            </w:r>
          </w:p>
        </w:tc>
        <w:tc>
          <w:tcPr>
            <w:tcW w:w="1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3.63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1.11</w:t>
            </w:r>
          </w:p>
        </w:tc>
        <w:tc>
          <w:tcPr>
            <w:tcW w:w="0" w:type="dxa"/>
            <w:vAlign w:val="bottom"/>
          </w:tcPr>
          <w:p>
            <w:pPr>
              <w:spacing w:after="0"/>
              <w:rPr>
                <w:sz w:val="1"/>
                <w:szCs w:val="1"/>
                <w:color w:val="auto"/>
              </w:rPr>
            </w:pPr>
          </w:p>
        </w:tc>
      </w:tr>
      <w:tr>
        <w:trPr>
          <w:trHeight w:val="219"/>
        </w:trPr>
        <w:tc>
          <w:tcPr>
            <w:tcW w:w="25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Base-rate scenario</w:t>
            </w:r>
          </w:p>
        </w:tc>
        <w:tc>
          <w:tcPr>
            <w:tcW w:w="200" w:type="dxa"/>
            <w:vAlign w:val="bottom"/>
          </w:tcPr>
          <w:p>
            <w:pPr>
              <w:spacing w:after="0"/>
              <w:rPr>
                <w:sz w:val="19"/>
                <w:szCs w:val="19"/>
                <w:color w:val="auto"/>
              </w:rPr>
            </w:pP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627,200</w:t>
            </w:r>
          </w:p>
        </w:tc>
        <w:tc>
          <w:tcPr>
            <w:tcW w:w="13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3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182,500</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3.59</w:t>
            </w:r>
          </w:p>
        </w:tc>
        <w:tc>
          <w:tcPr>
            <w:tcW w:w="100" w:type="dxa"/>
            <w:vAlign w:val="bottom"/>
          </w:tcPr>
          <w:p>
            <w:pPr>
              <w:spacing w:after="0"/>
              <w:rPr>
                <w:sz w:val="19"/>
                <w:szCs w:val="19"/>
                <w:color w:val="auto"/>
              </w:rPr>
            </w:pPr>
          </w:p>
        </w:tc>
        <w:tc>
          <w:tcPr>
            <w:tcW w:w="14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100 basis point decline</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650,000</w:t>
            </w:r>
          </w:p>
        </w:tc>
        <w:tc>
          <w:tcPr>
            <w:tcW w:w="13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3.64</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181,800</w:t>
            </w:r>
          </w:p>
        </w:tc>
        <w:tc>
          <w:tcPr>
            <w:tcW w:w="1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(0.38)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3.58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(0.28)</w:t>
            </w:r>
          </w:p>
        </w:tc>
        <w:tc>
          <w:tcPr>
            <w:tcW w:w="0" w:type="dxa"/>
            <w:vAlign w:val="bottom"/>
          </w:tcPr>
          <w:p>
            <w:pPr>
              <w:spacing w:after="0"/>
              <w:rPr>
                <w:sz w:val="1"/>
                <w:szCs w:val="1"/>
                <w:color w:val="auto"/>
              </w:rPr>
            </w:pPr>
          </w:p>
        </w:tc>
      </w:tr>
      <w:tr>
        <w:trPr>
          <w:trHeight w:val="223"/>
        </w:trPr>
        <w:tc>
          <w:tcPr>
            <w:tcW w:w="25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200 basis point decline</w:t>
            </w:r>
          </w:p>
        </w:tc>
        <w:tc>
          <w:tcPr>
            <w:tcW w:w="200" w:type="dxa"/>
            <w:vAlign w:val="bottom"/>
          </w:tcPr>
          <w:p>
            <w:pPr>
              <w:spacing w:after="0"/>
              <w:rPr>
                <w:sz w:val="19"/>
                <w:szCs w:val="19"/>
                <w:color w:val="auto"/>
              </w:rPr>
            </w:pP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661,300</w:t>
            </w:r>
          </w:p>
        </w:tc>
        <w:tc>
          <w:tcPr>
            <w:tcW w:w="13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5.44</w:t>
            </w:r>
          </w:p>
        </w:tc>
        <w:tc>
          <w:tcPr>
            <w:tcW w:w="240" w:type="dxa"/>
            <w:vAlign w:val="bottom"/>
          </w:tcPr>
          <w:p>
            <w:pPr>
              <w:spacing w:after="0"/>
              <w:rPr>
                <w:sz w:val="19"/>
                <w:szCs w:val="19"/>
                <w:color w:val="auto"/>
              </w:rPr>
            </w:pPr>
          </w:p>
        </w:tc>
        <w:tc>
          <w:tcPr>
            <w:tcW w:w="13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181,600</w:t>
            </w:r>
          </w:p>
        </w:tc>
        <w:tc>
          <w:tcPr>
            <w:tcW w:w="1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(0.49)</w:t>
            </w:r>
          </w:p>
        </w:tc>
        <w:tc>
          <w:tcPr>
            <w:tcW w:w="100" w:type="dxa"/>
            <w:vAlign w:val="bottom"/>
          </w:tcPr>
          <w:p>
            <w:pPr>
              <w:spacing w:after="0"/>
              <w:rPr>
                <w:sz w:val="19"/>
                <w:szCs w:val="19"/>
                <w:color w:val="auto"/>
              </w:rPr>
            </w:pPr>
          </w:p>
        </w:tc>
        <w:tc>
          <w:tcPr>
            <w:tcW w:w="142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3.58</w:t>
            </w:r>
          </w:p>
        </w:tc>
        <w:tc>
          <w:tcPr>
            <w:tcW w:w="100" w:type="dxa"/>
            <w:vAlign w:val="bottom"/>
          </w:tcPr>
          <w:p>
            <w:pPr>
              <w:spacing w:after="0"/>
              <w:rPr>
                <w:sz w:val="19"/>
                <w:szCs w:val="19"/>
                <w:color w:val="auto"/>
              </w:rPr>
            </w:pPr>
          </w:p>
        </w:tc>
        <w:tc>
          <w:tcPr>
            <w:tcW w:w="14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(0.28)</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191" w:lineRule="exact"/>
        <w:rPr>
          <w:sz w:val="20"/>
          <w:szCs w:val="20"/>
          <w:color w:val="auto"/>
        </w:rPr>
      </w:pPr>
    </w:p>
    <w:p>
      <w:pPr>
        <w:jc w:val="both"/>
        <w:ind w:left="320" w:hanging="317"/>
        <w:spacing w:after="0" w:line="260" w:lineRule="auto"/>
        <w:tabs>
          <w:tab w:leader="none" w:pos="314"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jc w:val="both"/>
        <w:ind w:left="320" w:hanging="317"/>
        <w:spacing w:after="0" w:line="253" w:lineRule="auto"/>
        <w:tabs>
          <w:tab w:leader="none" w:pos="314"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Simulation analyses calculate the change in net interest income under immediate parallel shifts in interest rates over the next twelve months, based upon a static interim Condensed Consolidated Statement of Financial Condition, which includes debt and related financial derivative instruments, and do not consider loan fees or loan origination costs.</w:t>
      </w:r>
    </w:p>
    <w:p>
      <w:pPr>
        <w:jc w:val="both"/>
        <w:ind w:left="320" w:hanging="317"/>
        <w:spacing w:after="0" w:line="259" w:lineRule="auto"/>
        <w:tabs>
          <w:tab w:leader="none" w:pos="314"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Simulation analyses calculate the change in tax equivalent net interest income as a percent of average interest-earning assets (the “net interest margin”) under immediate parallel shifts in interest rates over the next twelve months, based upon a static interim Condensed Consolidated Statement of Financial Condition, which includes debt and related financial derivative instruments, and do not consider loan fees or loan origination costs.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w:t>
      </w:r>
      <w:r>
        <w:rPr>
          <w:rFonts w:ascii="Times New Roman" w:cs="Times New Roman" w:eastAsia="Times New Roman" w:hAnsi="Times New Roman"/>
          <w:sz w:val="13"/>
          <w:szCs w:val="13"/>
          <w:b w:val="1"/>
          <w:bCs w:val="1"/>
          <w:color w:val="auto"/>
        </w:rPr>
        <w:t>ITIGATION</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3"/>
          <w:szCs w:val="13"/>
          <w:b w:val="1"/>
          <w:bCs w:val="1"/>
          <w:color w:val="auto"/>
        </w:rPr>
        <w:t>ATTERS</w:t>
      </w:r>
    </w:p>
    <w:p>
      <w:pPr>
        <w:spacing w:after="0" w:line="1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aggregate amount we have accrued for losses we consider probable as a result of litigation matters is not 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2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Accounting standards update. </w:t>
      </w:r>
      <w:r>
        <w:rPr>
          <w:rFonts w:ascii="Times New Roman" w:cs="Times New Roman" w:eastAsia="Times New Roman" w:hAnsi="Times New Roman"/>
          <w:sz w:val="17"/>
          <w:szCs w:val="17"/>
          <w:color w:val="auto"/>
        </w:rPr>
        <w:t>See note #2 to the interim Condensed Consolidated Financial Statements included elsewhere in this report for details on recently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issued accounting pronouncements and their impact on our interim condensed consolidated financial statements.</w:t>
      </w:r>
    </w:p>
    <w:p>
      <w:pPr>
        <w:spacing w:after="0" w:line="10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Fair valuation of financial instruments. </w:t>
      </w:r>
      <w:r>
        <w:rPr>
          <w:rFonts w:ascii="Times New Roman" w:cs="Times New Roman" w:eastAsia="Times New Roman" w:hAnsi="Times New Roman"/>
          <w:sz w:val="17"/>
          <w:szCs w:val="17"/>
          <w:color w:val="auto"/>
        </w:rPr>
        <w:t>Financial Accounting Standards Board (“FASB”) Accounting Standards Codification (“ASC”) Topic 820 - “Fair Value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Measurements and Disclosures” (“FASB ASC Topic 820”) defines fair value as the exchange price that would be received for an asset or paid to transfer a liability (an exit price) in the principal</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most advantageous market for the asset or liability in an orderly transaction between market participants on the measurement date.</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Equity securities at fair value, securities AFS, loans held for sale, carried at fair value, derivatives and capitalized mortgage loan servicing rights are financial instruments recorded at fair value on a recurring basis. Additionally, from time to time, we may be required to record at fair value other financial assets on a nonrecurring basis, such as loans held for investment and certain other assets. These nonrecurring fair value adjustments typically involve application of lower of cost or fair value accounting or write-downs of individual assets. See note #11 to the interim Condensed Consolidated Financial Statements included within this report for a complete discussion on our use of fair valuation of financial instruments and the related measurement techniques.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3"/>
          <w:szCs w:val="13"/>
          <w:b w:val="1"/>
          <w:bCs w:val="1"/>
          <w:color w:val="auto"/>
        </w:rPr>
        <w:t>RITICAL</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3"/>
          <w:szCs w:val="13"/>
          <w:b w:val="1"/>
          <w:bCs w:val="1"/>
          <w:color w:val="auto"/>
        </w:rPr>
        <w:t>CCOUNTING</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3"/>
          <w:szCs w:val="13"/>
          <w:b w:val="1"/>
          <w:bCs w:val="1"/>
          <w:color w:val="auto"/>
        </w:rPr>
        <w:t>OLICIES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accounting and reporting policies are in accordance with accounting principles generally accepted in the United States of America and conform to general practices within the banking industry. Accounting and reporting policies for the ACL and capitalized mortgage loan servicing rights are deemed critical since they involve the use of estimates and require significant management judgments. Application of assumptions different than those that we have used could result in material changes in our consolidated financial position or results of operations. There have been no material changes to our critical accounting policies as disclosed in our Annual Report on Form 10-K for the year ended December 31, 2024.</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3.</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Q</w:t>
      </w:r>
      <w:r>
        <w:rPr>
          <w:rFonts w:ascii="Times New Roman" w:cs="Times New Roman" w:eastAsia="Times New Roman" w:hAnsi="Times New Roman"/>
          <w:sz w:val="13"/>
          <w:szCs w:val="13"/>
          <w:b w:val="1"/>
          <w:bCs w:val="1"/>
          <w:color w:val="auto"/>
        </w:rPr>
        <w:t>UANTITATIVE AND</w:t>
      </w:r>
      <w:r>
        <w:rPr>
          <w:rFonts w:ascii="Times New Roman" w:cs="Times New Roman" w:eastAsia="Times New Roman" w:hAnsi="Times New Roman"/>
          <w:sz w:val="17"/>
          <w:szCs w:val="17"/>
          <w:b w:val="1"/>
          <w:bCs w:val="1"/>
          <w:color w:val="auto"/>
        </w:rPr>
        <w:t xml:space="preserve"> Q</w:t>
      </w:r>
      <w:r>
        <w:rPr>
          <w:rFonts w:ascii="Times New Roman" w:cs="Times New Roman" w:eastAsia="Times New Roman" w:hAnsi="Times New Roman"/>
          <w:sz w:val="13"/>
          <w:szCs w:val="13"/>
          <w:b w:val="1"/>
          <w:bCs w:val="1"/>
          <w:color w:val="auto"/>
        </w:rPr>
        <w:t>UALITATIVE</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3"/>
          <w:szCs w:val="13"/>
          <w:b w:val="1"/>
          <w:bCs w:val="1"/>
          <w:color w:val="auto"/>
        </w:rPr>
        <w:t>ISCLOSURES ABOUT</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3"/>
          <w:szCs w:val="13"/>
          <w:b w:val="1"/>
          <w:bCs w:val="1"/>
          <w:color w:val="auto"/>
        </w:rPr>
        <w:t>ARKET</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3"/>
          <w:szCs w:val="13"/>
          <w:b w:val="1"/>
          <w:bCs w:val="1"/>
          <w:color w:val="auto"/>
        </w:rPr>
        <w:t>ISK</w:t>
      </w:r>
    </w:p>
    <w:p>
      <w:pPr>
        <w:spacing w:after="0" w:line="18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See applicable disclosures set forth in “Management’s Discussion and Analysis of Financial Condition and Results of Operations” in Item 2 under the caption “Asset/liability management.”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3"/>
          <w:szCs w:val="13"/>
          <w:b w:val="1"/>
          <w:bCs w:val="1"/>
          <w:color w:val="auto"/>
        </w:rPr>
        <w:t>ONTROLS AND</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3"/>
          <w:szCs w:val="13"/>
          <w:b w:val="1"/>
          <w:bCs w:val="1"/>
          <w:color w:val="auto"/>
        </w:rPr>
        <w:t>ROCEDURES</w:t>
      </w:r>
    </w:p>
    <w:p>
      <w:pPr>
        <w:spacing w:after="0" w:line="182" w:lineRule="exact"/>
        <w:rPr>
          <w:sz w:val="20"/>
          <w:szCs w:val="20"/>
          <w:color w:val="auto"/>
        </w:rPr>
      </w:pPr>
    </w:p>
    <w:p>
      <w:pPr>
        <w:ind w:left="300" w:hanging="297"/>
        <w:spacing w:after="0"/>
        <w:tabs>
          <w:tab w:leader="none" w:pos="3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Evaluation of Disclosure Controls and Procedures.</w:t>
      </w:r>
    </w:p>
    <w:p>
      <w:pPr>
        <w:spacing w:after="0" w:line="178" w:lineRule="exact"/>
        <w:rPr>
          <w:rFonts w:ascii="Times New Roman" w:cs="Times New Roman" w:eastAsia="Times New Roman" w:hAnsi="Times New Roman"/>
          <w:sz w:val="17"/>
          <w:szCs w:val="17"/>
          <w:color w:val="auto"/>
        </w:rPr>
      </w:pPr>
    </w:p>
    <w:p>
      <w:pPr>
        <w:jc w:val="both"/>
        <w:ind w:left="32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participation of management, our chief executive officer and chief financial officer, after evaluating the effectiveness of our disclosure controls and procedures (as defined in Exchange Act Rules 13a – 15(e) and 15d – 15(e)) for the period ended September 30, 2025, have concluded that, as of such date, our disclosure controls and procedures were effective.</w:t>
      </w:r>
    </w:p>
    <w:p>
      <w:pPr>
        <w:spacing w:after="0" w:line="139"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Internal Controls.</w:t>
      </w:r>
    </w:p>
    <w:p>
      <w:pPr>
        <w:spacing w:after="0" w:line="178" w:lineRule="exact"/>
        <w:rPr>
          <w:rFonts w:ascii="Times New Roman" w:cs="Times New Roman" w:eastAsia="Times New Roman" w:hAnsi="Times New Roman"/>
          <w:sz w:val="17"/>
          <w:szCs w:val="17"/>
          <w:color w:val="auto"/>
        </w:rPr>
      </w:pPr>
    </w:p>
    <w:p>
      <w:pPr>
        <w:ind w:left="320"/>
        <w:spacing w:after="0" w:line="28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quarter ended September 30, 2025, there were no changes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II</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-113030</wp:posOffset>
            </wp:positionV>
            <wp:extent cx="581025" cy="1225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81025" cy="122555"/>
                    </a:xfrm>
                    <a:prstGeom prst="rect">
                      <a:avLst/>
                    </a:prstGeom>
                    <a:noFill/>
                  </pic:spPr>
                </pic:pic>
              </a:graphicData>
            </a:graphic>
          </wp:anchor>
        </w:drawing>
      </w:r>
    </w:p>
    <w:p>
      <w:pPr>
        <w:spacing w:after="0" w:line="1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There have been no material changes to the risk factors disclosed in Item 1A. Risk Factors of our Annual Report on Form 10-K for the year ended December 31,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 Unregistered Sales of Equity Securities and Use of Proceeds</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 maintains a Deferred Compensation and Stock Purchase Plan for Non-Employee Directors (the "Plan") pursuant to which non-employee directors can elect to receive shares of the Company's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third quarter of 2025, the Company issued 332 shares of common stock to non-employee directors on a current basis and 1,765 shares of common stock to the trust for distribution to directors on a deferred basis. These shares were issued on July 1, 2025 representing aggregate fees of $0.06 million. The shares on a current basis were issued at a price of $32.41 per share and the shares on a deferred basis were issued at a price of $29.17 per share, representing 90% of the fair value of the shares on the credit date. The price per share was the consolidated closing bid price per share of the Company's common stock as of the date of issuance, as determined in accordance with NASDAQ Marketplace Rules. The Company issued the shares pursuant to an exemption from registration under Section 4(2) of the Securities Act of 1933 due to the fact that the issuance of the shares was made on a private basis pursuant to the Plan.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certain information relating to repurchases of common stock for the three-months ended September 30, 2025: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Total Number of</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Remaining</w:t>
            </w:r>
          </w:p>
        </w:tc>
      </w:tr>
      <w:tr>
        <w:trPr>
          <w:trHeight w:val="206"/>
        </w:trPr>
        <w:tc>
          <w:tcPr>
            <w:tcW w:w="5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Shares Purchased</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Number of</w:t>
            </w:r>
          </w:p>
        </w:tc>
      </w:tr>
      <w:tr>
        <w:trPr>
          <w:trHeight w:val="206"/>
        </w:trPr>
        <w:tc>
          <w:tcPr>
            <w:tcW w:w="5140" w:type="dxa"/>
            <w:vAlign w:val="bottom"/>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Total Number of</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as Part of 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Shares Authorized</w:t>
            </w:r>
          </w:p>
        </w:tc>
      </w:tr>
      <w:tr>
        <w:trPr>
          <w:trHeight w:val="206"/>
        </w:trPr>
        <w:tc>
          <w:tcPr>
            <w:tcW w:w="5140" w:type="dxa"/>
            <w:vAlign w:val="bottom"/>
          </w:tcPr>
          <w:p>
            <w:pPr>
              <w:spacing w:after="0"/>
              <w:rPr>
                <w:sz w:val="17"/>
                <w:szCs w:val="17"/>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Shares Purchased</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Average Price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Publicly</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for Purchase</w:t>
            </w:r>
          </w:p>
        </w:tc>
      </w:tr>
      <w:tr>
        <w:trPr>
          <w:trHeight w:val="248"/>
        </w:trPr>
        <w:tc>
          <w:tcPr>
            <w:tcW w:w="514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Period</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Paid Per Share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Announced Plan</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Under the Plan</w:t>
            </w:r>
          </w:p>
        </w:tc>
      </w:tr>
      <w:tr>
        <w:trPr>
          <w:trHeight w:val="212"/>
        </w:trPr>
        <w:tc>
          <w:tcPr>
            <w:tcW w:w="5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July 2025</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847,724</w:t>
            </w:r>
          </w:p>
        </w:tc>
      </w:tr>
      <w:tr>
        <w:trPr>
          <w:trHeight w:val="219"/>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August 2025</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30.10</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13,732</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833,992</w:t>
            </w:r>
          </w:p>
        </w:tc>
      </w:tr>
      <w:tr>
        <w:trPr>
          <w:trHeight w:val="21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September 2025</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32.97</w:t>
            </w: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833,992</w:t>
            </w:r>
          </w:p>
        </w:tc>
      </w:tr>
      <w:tr>
        <w:trPr>
          <w:trHeight w:val="212"/>
        </w:trPr>
        <w:tc>
          <w:tcPr>
            <w:tcW w:w="5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14,969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30.33</w:t>
            </w:r>
          </w:p>
        </w:tc>
        <w:tc>
          <w:tcPr>
            <w:tcW w:w="8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13,732</w:t>
            </w:r>
          </w:p>
        </w:tc>
        <w:tc>
          <w:tcPr>
            <w:tcW w:w="8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833,992</w:t>
            </w:r>
          </w:p>
        </w:tc>
      </w:tr>
      <w:tr>
        <w:trPr>
          <w:trHeight w:val="20"/>
        </w:trPr>
        <w:tc>
          <w:tcPr>
            <w:tcW w:w="5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320" w:hanging="317"/>
        <w:spacing w:after="0" w:line="271" w:lineRule="auto"/>
        <w:tabs>
          <w:tab w:leader="none" w:pos="2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August and September include 57 shares and 1,180 shares, respectively, withheld from the shares that would otherwise have been issued to certain officers in order to satisfy the tax withholding obligations resulting from the vesting of restricted stock.</w:t>
      </w:r>
    </w:p>
    <w:p>
      <w:pPr>
        <w:spacing w:after="0" w:line="177" w:lineRule="exact"/>
        <w:rPr>
          <w:sz w:val="20"/>
          <w:szCs w:val="20"/>
          <w:color w:val="auto"/>
        </w:rPr>
      </w:pPr>
    </w:p>
    <w:p>
      <w:pPr>
        <w:ind w:right="600"/>
        <w:spacing w:after="0" w:line="271" w:lineRule="auto"/>
        <w:rPr>
          <w:sz w:val="20"/>
          <w:szCs w:val="20"/>
          <w:color w:val="auto"/>
        </w:rPr>
      </w:pPr>
      <w:r>
        <w:rPr>
          <w:rFonts w:ascii="Times New Roman" w:cs="Times New Roman" w:eastAsia="Times New Roman" w:hAnsi="Times New Roman"/>
          <w:sz w:val="17"/>
          <w:szCs w:val="17"/>
          <w:color w:val="auto"/>
        </w:rPr>
        <w:t>As announced on December 17, 2024, the Board of Directors of the Company authorized the 2025 share repurchase plan on December 17, 2024. This plan authorizes the Company to purchase up to 1,100,000 shares through December 31, 2025.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Other Information</w:t>
      </w:r>
    </w:p>
    <w:p>
      <w:pPr>
        <w:spacing w:after="0" w:line="165" w:lineRule="exact"/>
        <w:rPr>
          <w:sz w:val="20"/>
          <w:szCs w:val="20"/>
          <w:color w:val="auto"/>
        </w:rPr>
      </w:pPr>
    </w:p>
    <w:p>
      <w:pPr>
        <w:spacing w:after="0" w:line="221" w:lineRule="exact"/>
        <w:rPr>
          <w:sz w:val="20"/>
          <w:szCs w:val="20"/>
          <w:color w:val="auto"/>
        </w:rPr>
      </w:pPr>
      <w:r>
        <w:rPr>
          <w:rFonts w:ascii="Times New Roman" w:cs="Times New Roman" w:eastAsia="Times New Roman" w:hAnsi="Times New Roman"/>
          <w:sz w:val="17"/>
          <w:szCs w:val="17"/>
          <w:color w:val="auto"/>
        </w:rPr>
        <w:t>During the period covered by this Quarterly Report on Form 10-Q, no director or officer of the Company adopted or terminated a "Rule 10b5-1 Trading Arrangement" or "Non-Rule 10b5</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 Trading Arrangement," as each term is defined in Item 408(a) of Regulation S-K.</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Exhibits</w:t>
      </w:r>
    </w:p>
    <w:p>
      <w:pPr>
        <w:spacing w:after="0" w:line="230" w:lineRule="exact"/>
        <w:rPr>
          <w:sz w:val="20"/>
          <w:szCs w:val="20"/>
          <w:color w:val="auto"/>
        </w:rPr>
      </w:pPr>
    </w:p>
    <w:p>
      <w:pPr>
        <w:ind w:left="920" w:hanging="561"/>
        <w:spacing w:after="0"/>
        <w:tabs>
          <w:tab w:leader="none" w:pos="9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exhibits (listed by number corresponding to the Exhibit Table as Item 601 in Regulation S-K) are filed with this report:</w:t>
      </w:r>
    </w:p>
    <w:p>
      <w:pPr>
        <w:spacing w:after="0" w:line="27" w:lineRule="exact"/>
        <w:rPr>
          <w:rFonts w:ascii="Times New Roman" w:cs="Times New Roman" w:eastAsia="Times New Roman" w:hAnsi="Times New Roman"/>
          <w:sz w:val="17"/>
          <w:szCs w:val="17"/>
          <w:color w:val="auto"/>
        </w:rPr>
      </w:pPr>
    </w:p>
    <w:p>
      <w:pPr>
        <w:ind w:left="1600" w:hanging="683"/>
        <w:spacing w:after="0" w:line="23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31.1</w:t>
      </w:r>
      <w:r>
        <w:rPr>
          <w:rFonts w:ascii="Times New Roman" w:cs="Times New Roman" w:eastAsia="Times New Roman" w:hAnsi="Times New Roman"/>
          <w:sz w:val="17"/>
          <w:szCs w:val="17"/>
          <w:color w:val="auto"/>
        </w:rPr>
        <w:t>Certificate of the Chief Executive Officer of Independent Bank Corporation pursuant to Section 302 of the Sarbanes-Oxley Act of 2002 (18 U.S.C. 1350).</w:t>
      </w:r>
    </w:p>
    <w:p>
      <w:pPr>
        <w:spacing w:after="0" w:line="9" w:lineRule="exact"/>
        <w:rPr>
          <w:rFonts w:ascii="Times New Roman" w:cs="Times New Roman" w:eastAsia="Times New Roman" w:hAnsi="Times New Roman"/>
          <w:sz w:val="17"/>
          <w:szCs w:val="17"/>
          <w:color w:val="auto"/>
        </w:rPr>
      </w:pPr>
    </w:p>
    <w:p>
      <w:pPr>
        <w:ind w:left="1600" w:hanging="683"/>
        <w:spacing w:after="0" w:line="23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31.2</w:t>
      </w:r>
      <w:r>
        <w:rPr>
          <w:rFonts w:ascii="Times New Roman" w:cs="Times New Roman" w:eastAsia="Times New Roman" w:hAnsi="Times New Roman"/>
          <w:sz w:val="17"/>
          <w:szCs w:val="17"/>
          <w:color w:val="auto"/>
        </w:rPr>
        <w:t>Certificate of the Chief Financial Officer of Independent Bank Corporation pursuant to Section 302 of the Sarbanes-Oxley Act of 2002 (18 U.S.C. 1350).</w:t>
      </w:r>
    </w:p>
    <w:p>
      <w:pPr>
        <w:spacing w:after="0" w:line="10" w:lineRule="exact"/>
        <w:rPr>
          <w:rFonts w:ascii="Times New Roman" w:cs="Times New Roman" w:eastAsia="Times New Roman" w:hAnsi="Times New Roman"/>
          <w:sz w:val="17"/>
          <w:szCs w:val="17"/>
          <w:color w:val="auto"/>
        </w:rPr>
      </w:pPr>
    </w:p>
    <w:p>
      <w:pPr>
        <w:ind w:left="1600" w:hanging="683"/>
        <w:spacing w:after="0" w:line="23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32.1</w:t>
      </w:r>
      <w:r>
        <w:rPr>
          <w:rFonts w:ascii="Times New Roman" w:cs="Times New Roman" w:eastAsia="Times New Roman" w:hAnsi="Times New Roman"/>
          <w:sz w:val="17"/>
          <w:szCs w:val="17"/>
          <w:color w:val="auto"/>
        </w:rPr>
        <w:t>Certificate of the Chief Executive Officer of Independent Bank Corporation pursuant to Section 906 of the Sarbanes-Oxley Act of 2002 (18 U.S.C. 1350).</w:t>
      </w:r>
    </w:p>
    <w:p>
      <w:pPr>
        <w:spacing w:after="0" w:line="10" w:lineRule="exact"/>
        <w:rPr>
          <w:rFonts w:ascii="Times New Roman" w:cs="Times New Roman" w:eastAsia="Times New Roman" w:hAnsi="Times New Roman"/>
          <w:sz w:val="17"/>
          <w:szCs w:val="17"/>
          <w:color w:val="auto"/>
        </w:rPr>
      </w:pPr>
    </w:p>
    <w:p>
      <w:pPr>
        <w:ind w:left="1600" w:hanging="683"/>
        <w:spacing w:after="0" w:line="23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32.2</w:t>
      </w:r>
      <w:r>
        <w:rPr>
          <w:rFonts w:ascii="Times New Roman" w:cs="Times New Roman" w:eastAsia="Times New Roman" w:hAnsi="Times New Roman"/>
          <w:sz w:val="17"/>
          <w:szCs w:val="17"/>
          <w:color w:val="auto"/>
        </w:rPr>
        <w:t>Certificate of the Chief Financial Officer of Independent Bank Corporation pursuant to Section 906 of the Sarbanes-Oxley Act of 2002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-1005840</wp:posOffset>
            </wp:positionV>
            <wp:extent cx="7138670" cy="2540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-497840</wp:posOffset>
            </wp:positionV>
            <wp:extent cx="7138670" cy="2540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8670" cy="254000"/>
                    </a:xfrm>
                    <a:prstGeom prst="rect">
                      <a:avLst/>
                    </a:prstGeom>
                    <a:noFill/>
                  </pic:spPr>
                </pic:pic>
              </a:graphicData>
            </a:graphic>
          </wp:anchor>
        </w:drawing>
      </w:r>
    </w:p>
    <w:p>
      <w:pPr>
        <w:ind w:left="1600" w:hanging="677"/>
        <w:spacing w:after="0" w:line="239" w:lineRule="auto"/>
        <w:tabs>
          <w:tab w:leader="none" w:pos="16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 Inline XBRL Instance Document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-244475</wp:posOffset>
            </wp:positionV>
            <wp:extent cx="7138670" cy="2540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8670" cy="254000"/>
                    </a:xfrm>
                    <a:prstGeom prst="rect">
                      <a:avLst/>
                    </a:prstGeom>
                    <a:noFill/>
                  </pic:spPr>
                </pic:pic>
              </a:graphicData>
            </a:graphic>
          </wp:anchor>
        </w:drawing>
      </w:r>
    </w:p>
    <w:p>
      <w:pPr>
        <w:ind w:left="1600" w:hanging="677"/>
        <w:spacing w:after="0"/>
        <w:tabs>
          <w:tab w:leader="none" w:pos="16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SCH 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390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8" w:lineRule="exact"/>
        <w:rPr>
          <w:sz w:val="20"/>
          <w:szCs w:val="20"/>
          <w:color w:val="auto"/>
        </w:rPr>
      </w:pPr>
    </w:p>
    <w:p>
      <w:pPr>
        <w:ind w:left="1600" w:hanging="677"/>
        <w:spacing w:after="0"/>
        <w:tabs>
          <w:tab w:leader="none" w:pos="16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 Inline XBRL Taxonomy Extension Calculation Linkbase Document</w:t>
      </w:r>
    </w:p>
    <w:p>
      <w:pPr>
        <w:spacing w:after="0" w:line="24" w:lineRule="exact"/>
        <w:rPr>
          <w:sz w:val="20"/>
          <w:szCs w:val="20"/>
          <w:color w:val="auto"/>
        </w:rPr>
      </w:pPr>
    </w:p>
    <w:p>
      <w:pPr>
        <w:ind w:left="1600" w:hanging="677"/>
        <w:spacing w:after="0"/>
        <w:tabs>
          <w:tab w:leader="none" w:pos="16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 Inline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1600" w:hanging="677"/>
        <w:spacing w:after="0"/>
        <w:tabs>
          <w:tab w:leader="none" w:pos="16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 Inline XBRL Taxonomy Extension Label Linkbase Document</w:t>
      </w:r>
    </w:p>
    <w:p>
      <w:pPr>
        <w:spacing w:after="0" w:line="24" w:lineRule="exact"/>
        <w:rPr>
          <w:sz w:val="20"/>
          <w:szCs w:val="20"/>
          <w:color w:val="auto"/>
        </w:rPr>
      </w:pPr>
    </w:p>
    <w:p>
      <w:pPr>
        <w:ind w:left="1600" w:hanging="677"/>
        <w:spacing w:after="0"/>
        <w:tabs>
          <w:tab w:leader="none" w:pos="16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 Inline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1600" w:hanging="677"/>
        <w:spacing w:after="0"/>
        <w:tabs>
          <w:tab w:leader="none" w:pos="16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64"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SIGNATURES</w:t>
      </w:r>
    </w:p>
    <w:p>
      <w:pPr>
        <w:spacing w:after="0" w:line="19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1" w:lineRule="exact"/>
        <w:rPr>
          <w:sz w:val="20"/>
          <w:szCs w:val="20"/>
          <w:color w:val="auto"/>
        </w:rPr>
      </w:pPr>
    </w:p>
    <w:p>
      <w:pPr>
        <w:ind w:left="20"/>
        <w:spacing w:after="0"/>
        <w:tabs>
          <w:tab w:leader="none" w:pos="2280" w:val="left"/>
          <w:tab w:leader="none" w:pos="6000" w:val="left"/>
          <w:tab w:leader="none" w:pos="820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November 5,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Gavin A. Mohr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17145</wp:posOffset>
            </wp:positionV>
            <wp:extent cx="678624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786245" cy="8255"/>
                    </a:xfrm>
                    <a:prstGeom prst="rect">
                      <a:avLst/>
                    </a:prstGeom>
                    <a:noFill/>
                  </pic:spPr>
                </pic:pic>
              </a:graphicData>
            </a:graphic>
          </wp:anchor>
        </w:drawing>
      </w:r>
    </w:p>
    <w:p>
      <w:pPr>
        <w:spacing w:after="0" w:line="17"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7"/>
          <w:szCs w:val="17"/>
          <w:color w:val="auto"/>
        </w:rPr>
        <w:t>Gavin A. Mohr, Principal Financial Officer</w:t>
      </w:r>
    </w:p>
    <w:p>
      <w:pPr>
        <w:spacing w:after="0" w:line="282" w:lineRule="exact"/>
        <w:rPr>
          <w:sz w:val="20"/>
          <w:szCs w:val="20"/>
          <w:color w:val="auto"/>
        </w:rPr>
      </w:pPr>
    </w:p>
    <w:p>
      <w:pPr>
        <w:ind w:left="20"/>
        <w:spacing w:after="0"/>
        <w:tabs>
          <w:tab w:leader="none" w:pos="2280" w:val="left"/>
          <w:tab w:leader="none" w:pos="6000" w:val="left"/>
          <w:tab w:leader="none" w:pos="79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November 5,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James J. Twarozynski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17145</wp:posOffset>
            </wp:positionV>
            <wp:extent cx="678624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786245" cy="8255"/>
                    </a:xfrm>
                    <a:prstGeom prst="rect">
                      <a:avLst/>
                    </a:prstGeom>
                    <a:noFill/>
                  </pic:spPr>
                </pic:pic>
              </a:graphicData>
            </a:graphic>
          </wp:anchor>
        </w:drawing>
      </w:r>
    </w:p>
    <w:p>
      <w:pPr>
        <w:spacing w:after="0" w:line="1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7"/>
          <w:szCs w:val="17"/>
          <w:color w:val="auto"/>
        </w:rPr>
        <w:t>James J. Twarozynski,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ectPr>
          <w:pgSz w:w="11900" w:h="16838" w:orient="portrait"/>
          <w:cols w:equalWidth="0" w:num="1">
            <w:col w:w="11240"/>
          </w:cols>
          <w:pgMar w:left="320" w:top="119"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7"/>
          <w:szCs w:val="17"/>
          <w:color w:val="auto"/>
        </w:rPr>
        <w:t>EXHIBIT 31.1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William B. Kessel, certify that:</w:t>
      </w:r>
    </w:p>
    <w:p>
      <w:pPr>
        <w:spacing w:after="0" w:line="178" w:lineRule="exact"/>
        <w:rPr>
          <w:sz w:val="20"/>
          <w:szCs w:val="20"/>
          <w:color w:val="auto"/>
        </w:rPr>
      </w:pPr>
    </w:p>
    <w:p>
      <w:pPr>
        <w:ind w:left="620" w:hanging="617"/>
        <w:spacing w:after="0"/>
        <w:tabs>
          <w:tab w:leader="none" w:pos="6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Independent Bank Corporation;</w:t>
      </w:r>
    </w:p>
    <w:p>
      <w:pPr>
        <w:spacing w:after="0" w:line="27" w:lineRule="exact"/>
        <w:rPr>
          <w:rFonts w:ascii="Times New Roman" w:cs="Times New Roman" w:eastAsia="Times New Roman" w:hAnsi="Times New Roman"/>
          <w:sz w:val="17"/>
          <w:szCs w:val="17"/>
          <w:color w:val="auto"/>
        </w:rPr>
      </w:pPr>
    </w:p>
    <w:p>
      <w:pPr>
        <w:ind w:left="620" w:hanging="617"/>
        <w:spacing w:after="0" w:line="253" w:lineRule="auto"/>
        <w:tabs>
          <w:tab w:leader="none" w:pos="6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20" w:hanging="617"/>
        <w:spacing w:after="0" w:line="253" w:lineRule="auto"/>
        <w:tabs>
          <w:tab w:leader="none" w:pos="6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20" w:hanging="617"/>
        <w:spacing w:after="0" w:line="253" w:lineRule="auto"/>
        <w:tabs>
          <w:tab w:leader="none" w:pos="6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jc w:val="both"/>
        <w:ind w:left="1240" w:hanging="618"/>
        <w:spacing w:after="0" w:line="253" w:lineRule="auto"/>
        <w:tabs>
          <w:tab w:leader="none" w:pos="1231"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40" w:hanging="618"/>
        <w:spacing w:after="0" w:line="253" w:lineRule="auto"/>
        <w:tabs>
          <w:tab w:leader="none" w:pos="1228"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40" w:hanging="618"/>
        <w:spacing w:after="0" w:line="253" w:lineRule="auto"/>
        <w:tabs>
          <w:tab w:leader="none" w:pos="1231"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40" w:hanging="618"/>
        <w:spacing w:after="0" w:line="253" w:lineRule="auto"/>
        <w:tabs>
          <w:tab w:leader="none" w:pos="1228"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ind w:left="620" w:hanging="617"/>
        <w:spacing w:after="0" w:line="253" w:lineRule="auto"/>
        <w:tabs>
          <w:tab w:leader="none" w:pos="6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240" w:hanging="618"/>
        <w:spacing w:after="0" w:line="253" w:lineRule="auto"/>
        <w:tabs>
          <w:tab w:leader="none" w:pos="1231"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618"/>
        <w:spacing w:after="0" w:line="266" w:lineRule="auto"/>
        <w:tabs>
          <w:tab w:leader="none" w:pos="1228"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controls over financial reporting.</w:t>
      </w:r>
    </w:p>
    <w:p>
      <w:pPr>
        <w:spacing w:after="0" w:line="18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INDEPENDENT BANK CORPORATION</w:t>
      </w:r>
    </w:p>
    <w:p>
      <w:pPr>
        <w:spacing w:after="0" w:line="294" w:lineRule="exact"/>
        <w:rPr>
          <w:sz w:val="20"/>
          <w:szCs w:val="20"/>
          <w:color w:val="auto"/>
        </w:rPr>
      </w:pPr>
    </w:p>
    <w:p>
      <w:pPr>
        <w:ind w:left="20"/>
        <w:spacing w:after="0"/>
        <w:tabs>
          <w:tab w:leader="none" w:pos="6200" w:val="left"/>
        </w:tabs>
        <w:rPr>
          <w:sz w:val="20"/>
          <w:szCs w:val="20"/>
          <w:color w:val="auto"/>
        </w:rPr>
      </w:pPr>
      <w:r>
        <w:rPr>
          <w:rFonts w:ascii="Times New Roman" w:cs="Times New Roman" w:eastAsia="Times New Roman" w:hAnsi="Times New Roman"/>
          <w:sz w:val="17"/>
          <w:szCs w:val="17"/>
          <w:color w:val="auto"/>
        </w:rPr>
        <w:t>Date: November 5, 2025</w:t>
      </w:r>
      <w:r>
        <w:rPr>
          <w:sz w:val="20"/>
          <w:szCs w:val="20"/>
          <w:color w:val="auto"/>
        </w:rPr>
        <w:tab/>
      </w:r>
      <w:r>
        <w:rPr>
          <w:rFonts w:ascii="Times New Roman" w:cs="Times New Roman" w:eastAsia="Times New Roman" w:hAnsi="Times New Roman"/>
          <w:sz w:val="17"/>
          <w:szCs w:val="17"/>
          <w:color w:val="auto"/>
        </w:rPr>
        <w:t>/s/ William B. Kessel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33655</wp:posOffset>
            </wp:positionV>
            <wp:extent cx="322516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225165" cy="8255"/>
                    </a:xfrm>
                    <a:prstGeom prst="rect">
                      <a:avLst/>
                    </a:prstGeom>
                    <a:noFill/>
                  </pic:spPr>
                </pic:pic>
              </a:graphicData>
            </a:graphic>
          </wp:anchor>
        </w:drawing>
      </w:r>
    </w:p>
    <w:p>
      <w:pPr>
        <w:spacing w:after="0" w:line="4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7"/>
          <w:szCs w:val="17"/>
          <w:color w:val="auto"/>
        </w:rPr>
        <w:t>William B. Kessel</w:t>
      </w:r>
    </w:p>
    <w:p>
      <w:pPr>
        <w:spacing w:after="0" w:line="2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ectPr>
          <w:pgSz w:w="11900" w:h="16838" w:orient="portrait"/>
          <w:cols w:equalWidth="0" w:num="1">
            <w:col w:w="11240"/>
          </w:cols>
          <w:pgMar w:left="320" w:top="1064"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7"/>
          <w:szCs w:val="17"/>
          <w:color w:val="auto"/>
        </w:rPr>
        <w:t>EXHIBIT 31.2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Gavin A. Mohr, certify that:</w:t>
      </w:r>
    </w:p>
    <w:p>
      <w:pPr>
        <w:spacing w:after="0" w:line="178" w:lineRule="exact"/>
        <w:rPr>
          <w:sz w:val="20"/>
          <w:szCs w:val="20"/>
          <w:color w:val="auto"/>
        </w:rPr>
      </w:pPr>
    </w:p>
    <w:p>
      <w:pPr>
        <w:ind w:left="620" w:hanging="617"/>
        <w:spacing w:after="0"/>
        <w:tabs>
          <w:tab w:leader="none" w:pos="6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Independent Bank Corporation;</w:t>
      </w:r>
    </w:p>
    <w:p>
      <w:pPr>
        <w:spacing w:after="0" w:line="27" w:lineRule="exact"/>
        <w:rPr>
          <w:rFonts w:ascii="Times New Roman" w:cs="Times New Roman" w:eastAsia="Times New Roman" w:hAnsi="Times New Roman"/>
          <w:sz w:val="17"/>
          <w:szCs w:val="17"/>
          <w:color w:val="auto"/>
        </w:rPr>
      </w:pPr>
    </w:p>
    <w:p>
      <w:pPr>
        <w:ind w:left="620" w:hanging="617"/>
        <w:spacing w:after="0" w:line="253" w:lineRule="auto"/>
        <w:tabs>
          <w:tab w:leader="none" w:pos="6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20" w:hanging="617"/>
        <w:spacing w:after="0" w:line="253" w:lineRule="auto"/>
        <w:tabs>
          <w:tab w:leader="none" w:pos="6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20" w:hanging="617"/>
        <w:spacing w:after="0" w:line="253" w:lineRule="auto"/>
        <w:tabs>
          <w:tab w:leader="none" w:pos="6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jc w:val="both"/>
        <w:ind w:left="1240" w:hanging="618"/>
        <w:spacing w:after="0" w:line="253" w:lineRule="auto"/>
        <w:tabs>
          <w:tab w:leader="none" w:pos="1231"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40" w:hanging="618"/>
        <w:spacing w:after="0" w:line="253" w:lineRule="auto"/>
        <w:tabs>
          <w:tab w:leader="none" w:pos="1228"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40" w:hanging="618"/>
        <w:spacing w:after="0" w:line="253" w:lineRule="auto"/>
        <w:tabs>
          <w:tab w:leader="none" w:pos="1231"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40" w:hanging="618"/>
        <w:spacing w:after="0" w:line="253" w:lineRule="auto"/>
        <w:tabs>
          <w:tab w:leader="none" w:pos="1228"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ind w:left="620" w:hanging="617"/>
        <w:spacing w:after="0" w:line="253" w:lineRule="auto"/>
        <w:tabs>
          <w:tab w:leader="none" w:pos="6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240" w:hanging="618"/>
        <w:spacing w:after="0" w:line="253" w:lineRule="auto"/>
        <w:tabs>
          <w:tab w:leader="none" w:pos="1231"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618"/>
        <w:spacing w:after="0" w:line="266" w:lineRule="auto"/>
        <w:tabs>
          <w:tab w:leader="none" w:pos="1228"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controls over financial reporting.</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16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INDEPENDENT BANK CORPORATION</w:t>
            </w:r>
          </w:p>
        </w:tc>
      </w:tr>
      <w:tr>
        <w:trPr>
          <w:trHeight w:val="477"/>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5, 2025</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Gavin A. Mohr</w:t>
            </w:r>
          </w:p>
        </w:tc>
      </w:tr>
      <w:tr>
        <w:trPr>
          <w:trHeight w:val="209"/>
        </w:trPr>
        <w:tc>
          <w:tcPr>
            <w:tcW w:w="6160" w:type="dxa"/>
            <w:vAlign w:val="bottom"/>
          </w:tcPr>
          <w:p>
            <w:pPr>
              <w:spacing w:after="0"/>
              <w:rPr>
                <w:sz w:val="18"/>
                <w:szCs w:val="18"/>
                <w:color w:val="auto"/>
              </w:rPr>
            </w:pPr>
          </w:p>
        </w:tc>
        <w:tc>
          <w:tcPr>
            <w:tcW w:w="50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Gavin A. Mohr</w:t>
            </w:r>
          </w:p>
        </w:tc>
      </w:tr>
      <w:tr>
        <w:trPr>
          <w:trHeight w:val="223"/>
        </w:trPr>
        <w:tc>
          <w:tcPr>
            <w:tcW w:w="6160" w:type="dxa"/>
            <w:vAlign w:val="bottom"/>
          </w:tcPr>
          <w:p>
            <w:pPr>
              <w:spacing w:after="0"/>
              <w:rPr>
                <w:sz w:val="19"/>
                <w:szCs w:val="19"/>
                <w:color w:val="auto"/>
              </w:rPr>
            </w:pPr>
          </w:p>
        </w:tc>
        <w:tc>
          <w:tcPr>
            <w:tcW w:w="50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Chief Financial Officer</w:t>
            </w:r>
          </w:p>
        </w:tc>
      </w:tr>
    </w:tbl>
    <w:p>
      <w:pPr>
        <w:sectPr>
          <w:pgSz w:w="11900" w:h="16838" w:orient="portrait"/>
          <w:cols w:equalWidth="0" w:num="1">
            <w:col w:w="11240"/>
          </w:cols>
          <w:pgMar w:left="320" w:top="1064"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7"/>
          <w:szCs w:val="17"/>
          <w:color w:val="auto"/>
        </w:rPr>
        <w:t>EXHIBIT 32.1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CERTIFICATE OF THE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CHIEF EXECUTIVE OFFICER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Pursuant to Section 906 of the Sarbanes-Oxley Act of 2002 (18 U.S.C. 1350):</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 William B. Kessel, President and Chief Executive Officer of Independent Bank Corporation, certify, to the best of my knowledge and belief, pursuant 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906 of the Sarbanes-Oxley Act of 2002 (18 U.S.C. 1350) that:</w:t>
      </w:r>
    </w:p>
    <w:p>
      <w:pPr>
        <w:spacing w:after="0" w:line="174" w:lineRule="exact"/>
        <w:rPr>
          <w:sz w:val="20"/>
          <w:szCs w:val="20"/>
          <w:color w:val="auto"/>
        </w:rPr>
      </w:pPr>
    </w:p>
    <w:p>
      <w:pPr>
        <w:ind w:left="1240" w:hanging="618"/>
        <w:spacing w:after="0" w:line="287" w:lineRule="auto"/>
        <w:tabs>
          <w:tab w:leader="none" w:pos="1234"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for the quarterly period ended September 30, 2025, which this statement accompanies, fully complies with requirements of Section 13(a) or 15(d) of the Securities Exchange Act of 1934 and;</w:t>
      </w:r>
    </w:p>
    <w:p>
      <w:pPr>
        <w:spacing w:after="0" w:line="112" w:lineRule="exact"/>
        <w:rPr>
          <w:rFonts w:ascii="Times New Roman" w:cs="Times New Roman" w:eastAsia="Times New Roman" w:hAnsi="Times New Roman"/>
          <w:sz w:val="17"/>
          <w:szCs w:val="17"/>
          <w:color w:val="auto"/>
        </w:rPr>
      </w:pPr>
    </w:p>
    <w:p>
      <w:pPr>
        <w:ind w:left="1240" w:hanging="618"/>
        <w:spacing w:after="0" w:line="287" w:lineRule="auto"/>
        <w:tabs>
          <w:tab w:leader="none" w:pos="1234"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this quarterly report on Form 10-Q for the quarterly period ended September 30, 2025, fairly presents, in all material respects, the financial condition and results of operations of Independent Bank Corporation.</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1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INDEPENDENT BANK CORPORATION</w:t>
            </w:r>
          </w:p>
        </w:tc>
      </w:tr>
      <w:tr>
        <w:trPr>
          <w:trHeight w:val="477"/>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5, 2025</w:t>
            </w:r>
          </w:p>
        </w:tc>
        <w:tc>
          <w:tcPr>
            <w:tcW w:w="5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 William B. Kessel</w:t>
            </w:r>
          </w:p>
        </w:tc>
      </w:tr>
      <w:tr>
        <w:trPr>
          <w:trHeight w:val="209"/>
        </w:trPr>
        <w:tc>
          <w:tcPr>
            <w:tcW w:w="6180" w:type="dxa"/>
            <w:vAlign w:val="bottom"/>
          </w:tcPr>
          <w:p>
            <w:pPr>
              <w:spacing w:after="0"/>
              <w:rPr>
                <w:sz w:val="18"/>
                <w:szCs w:val="18"/>
                <w:color w:val="auto"/>
              </w:rPr>
            </w:pPr>
          </w:p>
        </w:tc>
        <w:tc>
          <w:tcPr>
            <w:tcW w:w="50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William B. Kessel</w:t>
            </w:r>
          </w:p>
        </w:tc>
      </w:tr>
      <w:tr>
        <w:trPr>
          <w:trHeight w:val="223"/>
        </w:trPr>
        <w:tc>
          <w:tcPr>
            <w:tcW w:w="6180" w:type="dxa"/>
            <w:vAlign w:val="bottom"/>
          </w:tcPr>
          <w:p>
            <w:pPr>
              <w:spacing w:after="0"/>
              <w:rPr>
                <w:sz w:val="19"/>
                <w:szCs w:val="19"/>
                <w:color w:val="auto"/>
              </w:rPr>
            </w:pPr>
          </w:p>
        </w:tc>
        <w:tc>
          <w:tcPr>
            <w:tcW w:w="50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bl>
    <w:p>
      <w:pPr>
        <w:spacing w:after="0" w:line="2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ectPr>
          <w:pgSz w:w="11900" w:h="16838" w:orient="portrait"/>
          <w:cols w:equalWidth="0" w:num="1">
            <w:col w:w="11240"/>
          </w:cols>
          <w:pgMar w:left="320" w:top="1064"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7"/>
          <w:szCs w:val="17"/>
          <w:color w:val="auto"/>
        </w:rPr>
        <w:t>EXHIBIT 32.2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CERTIFICATE OF THE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CHIEF FINANCIAL OFFICER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Pursuant to Section 906 of the Sarbanes-Oxley Act of 2002 (18 U.S.C. 1350):</w:t>
      </w:r>
    </w:p>
    <w:p>
      <w:pPr>
        <w:spacing w:after="0" w:line="178"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I, Gavin A. Mohr, Chief Financial Officer of Independent Bank Corporation, certify, to the best of my knowledge and belief, pursuant to Section 906 of the Sarbanes-Oxley Act of 2002 (18 U.S.C. 1350) that:</w:t>
      </w:r>
    </w:p>
    <w:p>
      <w:pPr>
        <w:spacing w:after="0" w:line="125" w:lineRule="exact"/>
        <w:rPr>
          <w:sz w:val="20"/>
          <w:szCs w:val="20"/>
          <w:color w:val="auto"/>
        </w:rPr>
      </w:pPr>
    </w:p>
    <w:p>
      <w:pPr>
        <w:ind w:left="1240" w:hanging="618"/>
        <w:spacing w:after="0" w:line="287" w:lineRule="auto"/>
        <w:tabs>
          <w:tab w:leader="none" w:pos="1234"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for the quarterly period ended September 30, 2025, which this statement accompanies, fully complies with requirements of Section 13(a) or 15(d) of the Securities Exchange Act of 1934 and;</w:t>
      </w:r>
    </w:p>
    <w:p>
      <w:pPr>
        <w:spacing w:after="0" w:line="112" w:lineRule="exact"/>
        <w:rPr>
          <w:rFonts w:ascii="Times New Roman" w:cs="Times New Roman" w:eastAsia="Times New Roman" w:hAnsi="Times New Roman"/>
          <w:sz w:val="17"/>
          <w:szCs w:val="17"/>
          <w:color w:val="auto"/>
        </w:rPr>
      </w:pPr>
    </w:p>
    <w:p>
      <w:pPr>
        <w:ind w:left="1240" w:hanging="618"/>
        <w:spacing w:after="0" w:line="287" w:lineRule="auto"/>
        <w:tabs>
          <w:tab w:leader="none" w:pos="1234"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this quarterly report on Form 10-Q for the quarterly period ended September 30, 2025, fairly presents, in all material respects, the financial condition and results of operations of Independent Bank Corporation.</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16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INDEPENDENT BANK CORPORATION</w:t>
            </w:r>
          </w:p>
        </w:tc>
      </w:tr>
      <w:tr>
        <w:trPr>
          <w:trHeight w:val="477"/>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5, 2025</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Gavin A. Mohr</w:t>
            </w:r>
          </w:p>
        </w:tc>
      </w:tr>
      <w:tr>
        <w:trPr>
          <w:trHeight w:val="209"/>
        </w:trPr>
        <w:tc>
          <w:tcPr>
            <w:tcW w:w="6160" w:type="dxa"/>
            <w:vAlign w:val="bottom"/>
          </w:tcPr>
          <w:p>
            <w:pPr>
              <w:spacing w:after="0"/>
              <w:rPr>
                <w:sz w:val="18"/>
                <w:szCs w:val="18"/>
                <w:color w:val="auto"/>
              </w:rPr>
            </w:pPr>
          </w:p>
        </w:tc>
        <w:tc>
          <w:tcPr>
            <w:tcW w:w="50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Gavin A. Mohr</w:t>
            </w:r>
          </w:p>
        </w:tc>
      </w:tr>
      <w:tr>
        <w:trPr>
          <w:trHeight w:val="223"/>
        </w:trPr>
        <w:tc>
          <w:tcPr>
            <w:tcW w:w="6160" w:type="dxa"/>
            <w:vAlign w:val="bottom"/>
          </w:tcPr>
          <w:p>
            <w:pPr>
              <w:spacing w:after="0"/>
              <w:rPr>
                <w:sz w:val="19"/>
                <w:szCs w:val="19"/>
                <w:color w:val="auto"/>
              </w:rPr>
            </w:pPr>
          </w:p>
        </w:tc>
        <w:tc>
          <w:tcPr>
            <w:tcW w:w="50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Chief Financial Officer</w:t>
            </w:r>
          </w:p>
        </w:tc>
      </w:tr>
    </w:tbl>
    <w:p>
      <w:pPr>
        <w:spacing w:after="0" w:line="2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sectPr>
      <w:pgSz w:w="11900" w:h="16838" w:orient="portrait"/>
      <w:cols w:equalWidth="0" w:num="1">
        <w:col w:w="11240"/>
      </w:cols>
      <w:pgMar w:left="320" w:top="10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emdash "/>
      <w:numFmt w:val="bullet"/>
      <w:start w:val="1"/>
    </w:lvl>
  </w:abstractNum>
  <w:abstractNum w:abstractNumId="2">
    <w:nsid w:val="77465F01"/>
    <w:multiLevelType w:val="hybridMultilevel"/>
    <w:lvl w:ilvl="0">
      <w:lvlJc w:val="left"/>
      <w:lvlText w:val="%1."/>
      <w:numFmt w:val="decimal"/>
      <w:start w:val="1"/>
    </w:lvl>
  </w:abstractNum>
  <w:abstractNum w:abstractNumId="3">
    <w:nsid w:val="7724C67E"/>
    <w:multiLevelType w:val="hybridMultilevel"/>
    <w:lvl w:ilvl="0">
      <w:lvlJc w:val="left"/>
      <w:lvlText w:val="%1."/>
      <w:numFmt w:val="decimal"/>
      <w:start w:val="2"/>
    </w:lvl>
  </w:abstractNum>
  <w:abstractNum w:abstractNumId="4">
    <w:nsid w:val="5C482A97"/>
    <w:multiLevelType w:val="hybridMultilevel"/>
    <w:lvl w:ilvl="0">
      <w:lvlJc w:val="left"/>
      <w:lvlText w:val="(%1)"/>
      <w:numFmt w:val="decimal"/>
      <w:start w:val="1"/>
    </w:lvl>
  </w:abstractNum>
  <w:abstractNum w:abstractNumId="5">
    <w:nsid w:val="2463B9EA"/>
    <w:multiLevelType w:val="hybridMultilevel"/>
    <w:lvl w:ilvl="0">
      <w:lvlJc w:val="left"/>
      <w:lvlText w:val="%1."/>
      <w:numFmt w:val="decimal"/>
      <w:start w:val="4"/>
    </w:lvl>
  </w:abstractNum>
  <w:abstractNum w:abstractNumId="6">
    <w:nsid w:val="5E884ADC"/>
    <w:multiLevelType w:val="hybridMultilevel"/>
    <w:lvl w:ilvl="0">
      <w:lvlJc w:val="left"/>
      <w:lvlText w:val="(%1)"/>
      <w:numFmt w:val="decimal"/>
      <w:start w:val="1"/>
    </w:lvl>
  </w:abstractNum>
  <w:abstractNum w:abstractNumId="7">
    <w:nsid w:val="51EAD36B"/>
    <w:multiLevelType w:val="hybridMultilevel"/>
    <w:lvl w:ilvl="0">
      <w:lvlJc w:val="left"/>
      <w:lvlText w:val="(%1)"/>
      <w:numFmt w:val="decimal"/>
      <w:start w:val="1"/>
    </w:lvl>
  </w:abstractNum>
  <w:abstractNum w:abstractNumId="8">
    <w:nsid w:val="2D517796"/>
    <w:multiLevelType w:val="hybridMultilevel"/>
    <w:lvl w:ilvl="0">
      <w:lvlJc w:val="left"/>
      <w:lvlText w:val="%1."/>
      <w:numFmt w:val="decimal"/>
      <w:start w:val="5"/>
    </w:lvl>
  </w:abstractNum>
  <w:abstractNum w:abstractNumId="9">
    <w:nsid w:val="580BD78F"/>
    <w:multiLevelType w:val="hybridMultilevel"/>
    <w:lvl w:ilvl="0">
      <w:lvlJc w:val="left"/>
      <w:lvlText w:val="%1."/>
      <w:numFmt w:val="decimal"/>
      <w:start w:val="6"/>
    </w:lvl>
  </w:abstractNum>
  <w:abstractNum w:abstractNumId="10">
    <w:nsid w:val="153EA438"/>
    <w:multiLevelType w:val="hybridMultilevel"/>
    <w:lvl w:ilvl="0">
      <w:lvlJc w:val="left"/>
      <w:lvlText w:val="\endash "/>
      <w:numFmt w:val="bullet"/>
      <w:start w:val="1"/>
    </w:lvl>
  </w:abstractNum>
  <w:abstractNum w:abstractNumId="11">
    <w:nsid w:val="3855585C"/>
    <w:multiLevelType w:val="hybridMultilevel"/>
    <w:lvl w:ilvl="0">
      <w:lvlJc w:val="left"/>
      <w:lvlText w:val="(%1)"/>
      <w:numFmt w:val="decimal"/>
      <w:start w:val="23"/>
    </w:lvl>
  </w:abstractNum>
  <w:abstractNum w:abstractNumId="12">
    <w:nsid w:val="70A64E2A"/>
    <w:multiLevelType w:val="hybridMultilevel"/>
    <w:lvl w:ilvl="0">
      <w:lvlJc w:val="left"/>
      <w:lvlText w:val="%1."/>
      <w:numFmt w:val="decimal"/>
      <w:start w:val="8"/>
    </w:lvl>
  </w:abstractNum>
  <w:abstractNum w:abstractNumId="13">
    <w:nsid w:val="6A2342EC"/>
    <w:multiLevelType w:val="hybridMultilevel"/>
    <w:lvl w:ilvl="0">
      <w:lvlJc w:val="left"/>
      <w:lvlText w:val="%1."/>
      <w:numFmt w:val="decimal"/>
      <w:start w:val="10"/>
    </w:lvl>
  </w:abstractNum>
  <w:abstractNum w:abstractNumId="14">
    <w:nsid w:val="2A487CB0"/>
    <w:multiLevelType w:val="hybridMultilevel"/>
    <w:lvl w:ilvl="0">
      <w:lvlJc w:val="left"/>
      <w:lvlText w:val="(%1)"/>
      <w:numFmt w:val="decimal"/>
      <w:start w:val="1"/>
    </w:lvl>
  </w:abstractNum>
  <w:abstractNum w:abstractNumId="15">
    <w:nsid w:val="1D4ED43B"/>
    <w:multiLevelType w:val="hybridMultilevel"/>
    <w:lvl w:ilvl="0">
      <w:lvlJc w:val="left"/>
      <w:lvlText w:val="%1."/>
      <w:numFmt w:val="decimal"/>
      <w:start w:val="11"/>
    </w:lvl>
  </w:abstractNum>
  <w:abstractNum w:abstractNumId="16">
    <w:nsid w:val="725A06FB"/>
    <w:multiLevelType w:val="hybridMultilevel"/>
    <w:lvl w:ilvl="0">
      <w:lvlJc w:val="left"/>
      <w:lvlText w:val="(%1)"/>
      <w:numFmt w:val="decimal"/>
      <w:start w:val="1"/>
    </w:lvl>
  </w:abstractNum>
  <w:abstractNum w:abstractNumId="17">
    <w:nsid w:val="2CD89A32"/>
    <w:multiLevelType w:val="hybridMultilevel"/>
    <w:lvl w:ilvl="0">
      <w:lvlJc w:val="left"/>
      <w:lvlText w:val="(%1)"/>
      <w:numFmt w:val="decimal"/>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1)"/>
      <w:numFmt w:val="decimal"/>
      <w:start w:val="1"/>
    </w:lvl>
  </w:abstractNum>
  <w:abstractNum w:abstractNumId="20">
    <w:nsid w:val="4B588F54"/>
    <w:multiLevelType w:val="hybridMultilevel"/>
    <w:lvl w:ilvl="0">
      <w:lvlJc w:val="left"/>
      <w:lvlText w:val="(%1)"/>
      <w:numFmt w:val="decimal"/>
      <w:start w:val="1"/>
    </w:lvl>
  </w:abstractNum>
  <w:abstractNum w:abstractNumId="21">
    <w:nsid w:val="542289EC"/>
    <w:multiLevelType w:val="hybridMultilevel"/>
    <w:lvl w:ilvl="0">
      <w:lvlJc w:val="left"/>
      <w:lvlText w:val="%1."/>
      <w:numFmt w:val="decimal"/>
      <w:start w:val="12"/>
    </w:lvl>
  </w:abstractNum>
  <w:abstractNum w:abstractNumId="22">
    <w:nsid w:val="6DE91B18"/>
    <w:multiLevelType w:val="hybridMultilevel"/>
    <w:lvl w:ilvl="0">
      <w:lvlJc w:val="left"/>
      <w:lvlText w:val="(%1)"/>
      <w:numFmt w:val="decimal"/>
      <w:start w:val="1"/>
    </w:lvl>
  </w:abstractNum>
  <w:abstractNum w:abstractNumId="23">
    <w:nsid w:val="38437FDB"/>
    <w:multiLevelType w:val="hybridMultilevel"/>
    <w:lvl w:ilvl="0">
      <w:lvlJc w:val="left"/>
      <w:lvlText w:val="%1."/>
      <w:numFmt w:val="decimal"/>
      <w:start w:val="13"/>
    </w:lvl>
  </w:abstractNum>
  <w:abstractNum w:abstractNumId="24">
    <w:nsid w:val="7644A45C"/>
    <w:multiLevelType w:val="hybridMultilevel"/>
    <w:lvl w:ilvl="0">
      <w:lvlJc w:val="left"/>
      <w:lvlText w:val="%1."/>
      <w:numFmt w:val="decimal"/>
      <w:start w:val="14"/>
    </w:lvl>
  </w:abstractNum>
  <w:abstractNum w:abstractNumId="25">
    <w:nsid w:val="32FFF902"/>
    <w:multiLevelType w:val="hybridMultilevel"/>
    <w:lvl w:ilvl="0">
      <w:lvlJc w:val="left"/>
      <w:lvlText w:val="$"/>
      <w:numFmt w:val="bullet"/>
      <w:start w:val="1"/>
    </w:lvl>
    <w:lvl w:ilvl="1">
      <w:lvlJc w:val="left"/>
      <w:lvlText w:val="(%2)"/>
      <w:numFmt w:val="decimal"/>
      <w:start w:val="9"/>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lvl w:ilvl="1">
      <w:lvlJc w:val="left"/>
      <w:lvlText w:val="(%2)"/>
      <w:numFmt w:val="decimal"/>
      <w:start w:val="3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lvl w:ilvl="1">
      <w:lvlJc w:val="left"/>
      <w:lvlText w:val="(%2)"/>
      <w:numFmt w:val="decimal"/>
      <w:start w:val="82"/>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lvl w:ilvl="1">
      <w:lvlJc w:val="left"/>
      <w:lvlText w:val="(%2)"/>
      <w:numFmt w:val="decimal"/>
      <w:start w:val="75"/>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lvl w:ilvl="1">
      <w:lvlJc w:val="left"/>
      <w:lvlText w:val="(%2)"/>
      <w:numFmt w:val="decimal"/>
      <w:start w:val="87"/>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1."/>
      <w:numFmt w:val="decimal"/>
      <w:start w:val="15"/>
    </w:lvl>
  </w:abstractNum>
  <w:abstractNum w:abstractNumId="42">
    <w:nsid w:val="1CF10FD8"/>
    <w:multiLevelType w:val="hybridMultilevel"/>
    <w:lvl w:ilvl="0">
      <w:lvlJc w:val="left"/>
      <w:lvlText w:val="%1."/>
      <w:numFmt w:val="decimal"/>
      <w:start w:val="16"/>
    </w:lvl>
  </w:abstractNum>
  <w:abstractNum w:abstractNumId="43">
    <w:nsid w:val="180115BE"/>
    <w:multiLevelType w:val="hybridMultilevel"/>
    <w:lvl w:ilvl="0">
      <w:lvlJc w:val="left"/>
      <w:lvlText w:val="(%1)"/>
      <w:numFmt w:val="decimal"/>
      <w:start w:val="1"/>
    </w:lvl>
  </w:abstractNum>
  <w:abstractNum w:abstractNumId="44">
    <w:nsid w:val="235BA861"/>
    <w:multiLevelType w:val="hybridMultilevel"/>
    <w:lvl w:ilvl="0">
      <w:lvlJc w:val="left"/>
      <w:lvlText w:val="%1."/>
      <w:numFmt w:val="decimal"/>
      <w:start w:val="17"/>
    </w:lvl>
  </w:abstractNum>
  <w:abstractNum w:abstractNumId="45">
    <w:nsid w:val="47398C89"/>
    <w:multiLevelType w:val="hybridMultilevel"/>
    <w:lvl w:ilvl="0">
      <w:lvlJc w:val="left"/>
      <w:lvlText w:val="(%1)"/>
      <w:numFmt w:val="decimal"/>
      <w:start w:val="1"/>
    </w:lvl>
  </w:abstractNum>
  <w:abstractNum w:abstractNumId="46">
    <w:nsid w:val="354FE9F9"/>
    <w:multiLevelType w:val="hybridMultilevel"/>
    <w:lvl w:ilvl="0">
      <w:lvlJc w:val="left"/>
      <w:lvlText w:val="(%1)"/>
      <w:numFmt w:val="decimal"/>
      <w:start w:val="1"/>
    </w:lvl>
  </w:abstractNum>
  <w:abstractNum w:abstractNumId="47">
    <w:nsid w:val="15B5AF5C"/>
    <w:multiLevelType w:val="hybridMultilevel"/>
    <w:lvl w:ilvl="0">
      <w:lvlJc w:val="left"/>
      <w:lvlText w:val="(%1)"/>
      <w:numFmt w:val="decimal"/>
      <w:start w:val="1"/>
    </w:lvl>
  </w:abstractNum>
  <w:abstractNum w:abstractNumId="48">
    <w:nsid w:val="741226BB"/>
    <w:multiLevelType w:val="hybridMultilevel"/>
    <w:lvl w:ilvl="0">
      <w:lvlJc w:val="left"/>
      <w:lvlText w:val="(%1)"/>
      <w:numFmt w:val="decimal"/>
      <w:start w:val="1"/>
    </w:lvl>
  </w:abstractNum>
  <w:abstractNum w:abstractNumId="49">
    <w:nsid w:val="D34B6A8"/>
    <w:multiLevelType w:val="hybridMultilevel"/>
    <w:lvl w:ilvl="0">
      <w:lvlJc w:val="left"/>
      <w:lvlText w:val="(%1)"/>
      <w:numFmt w:val="decimal"/>
      <w:start w:val="1"/>
    </w:lvl>
  </w:abstractNum>
  <w:abstractNum w:abstractNumId="50">
    <w:nsid w:val="10233C99"/>
    <w:multiLevelType w:val="hybridMultilevel"/>
    <w:lvl w:ilvl="0">
      <w:lvlJc w:val="left"/>
      <w:lvlText w:val="(%1)"/>
      <w:numFmt w:val="decimal"/>
      <w:start w:val="1"/>
    </w:lvl>
  </w:abstractNum>
  <w:abstractNum w:abstractNumId="51">
    <w:nsid w:val="3F6AB60F"/>
    <w:multiLevelType w:val="hybridMultilevel"/>
    <w:lvl w:ilvl="0">
      <w:lvlJc w:val="left"/>
      <w:lvlText w:val="(%1)"/>
      <w:numFmt w:val="decimal"/>
      <w:start w:val="1"/>
    </w:lvl>
  </w:abstractNum>
  <w:abstractNum w:abstractNumId="52">
    <w:nsid w:val="61574095"/>
    <w:multiLevelType w:val="hybridMultilevel"/>
    <w:lvl w:ilvl="0">
      <w:lvlJc w:val="left"/>
      <w:lvlText w:val="(%1)"/>
      <w:numFmt w:val="decimal"/>
      <w:start w:val="1"/>
    </w:lvl>
  </w:abstractNum>
  <w:abstractNum w:abstractNumId="53">
    <w:nsid w:val="7E0C57B1"/>
    <w:multiLevelType w:val="hybridMultilevel"/>
    <w:lvl w:ilvl="0">
      <w:lvlJc w:val="left"/>
      <w:lvlText w:val="(%1)"/>
      <w:numFmt w:val="decimal"/>
      <w:start w:val="2"/>
    </w:lvl>
  </w:abstractNum>
  <w:abstractNum w:abstractNumId="54">
    <w:nsid w:val="77AE35EB"/>
    <w:multiLevelType w:val="hybridMultilevel"/>
    <w:lvl w:ilvl="0">
      <w:lvlJc w:val="left"/>
      <w:lvlText w:val="(%1)"/>
      <w:numFmt w:val="decimal"/>
      <w:start w:val="1"/>
    </w:lvl>
  </w:abstractNum>
  <w:abstractNum w:abstractNumId="55">
    <w:nsid w:val="579BE4F1"/>
    <w:multiLevelType w:val="hybridMultilevel"/>
    <w:lvl w:ilvl="0">
      <w:lvlJc w:val="left"/>
      <w:lvlText w:val="(%1)"/>
      <w:numFmt w:val="decimal"/>
      <w:start w:val="1"/>
    </w:lvl>
  </w:abstractNum>
  <w:abstractNum w:abstractNumId="56">
    <w:nsid w:val="310C50B3"/>
    <w:multiLevelType w:val="hybridMultilevel"/>
    <w:lvl w:ilvl="0">
      <w:lvlJc w:val="left"/>
      <w:lvlText w:val="(%1)"/>
      <w:numFmt w:val="decimal"/>
      <w:start w:val="1"/>
    </w:lvl>
  </w:abstractNum>
  <w:abstractNum w:abstractNumId="57">
    <w:nsid w:val="5FF87E05"/>
    <w:multiLevelType w:val="hybridMultilevel"/>
    <w:lvl w:ilvl="0">
      <w:lvlJc w:val="left"/>
      <w:lvlText w:val="(%1)"/>
      <w:numFmt w:val="lowerLetter"/>
      <w:start w:val="1"/>
    </w:lvl>
  </w:abstractNum>
  <w:abstractNum w:abstractNumId="58">
    <w:nsid w:val="2F305DEF"/>
    <w:multiLevelType w:val="hybridMultilevel"/>
    <w:lvl w:ilvl="0">
      <w:lvlJc w:val="left"/>
      <w:lvlText w:val="(%1)"/>
      <w:numFmt w:val="decimal"/>
      <w:start w:val="1"/>
    </w:lvl>
  </w:abstractNum>
  <w:abstractNum w:abstractNumId="59">
    <w:nsid w:val="25A70BF7"/>
    <w:multiLevelType w:val="hybridMultilevel"/>
    <w:lvl w:ilvl="0">
      <w:lvlJc w:val="left"/>
      <w:lvlText w:val="(%1)"/>
      <w:numFmt w:val="lowerLetter"/>
      <w:start w:val="1"/>
    </w:lvl>
  </w:abstractNum>
  <w:abstractNum w:abstractNumId="60">
    <w:nsid w:val="1DBABF00"/>
    <w:multiLevelType w:val="hybridMultilevel"/>
    <w:lvl w:ilvl="0">
      <w:lvlJc w:val="left"/>
      <w:lvlText w:val="%1."/>
      <w:numFmt w:val="decimal"/>
      <w:start w:val="101"/>
    </w:lvl>
  </w:abstractNum>
  <w:abstractNum w:abstractNumId="61">
    <w:nsid w:val="4AD084E9"/>
    <w:multiLevelType w:val="hybridMultilevel"/>
    <w:lvl w:ilvl="0">
      <w:lvlJc w:val="left"/>
      <w:lvlText w:val="%1."/>
      <w:numFmt w:val="decimal"/>
      <w:start w:val="101"/>
    </w:lvl>
  </w:abstractNum>
  <w:abstractNum w:abstractNumId="62">
    <w:nsid w:val="1F48EAA1"/>
    <w:multiLevelType w:val="hybridMultilevel"/>
    <w:lvl w:ilvl="0">
      <w:lvlJc w:val="left"/>
      <w:lvlText w:val="%1."/>
      <w:numFmt w:val="decimal"/>
      <w:start w:val="101"/>
    </w:lvl>
  </w:abstractNum>
  <w:abstractNum w:abstractNumId="63">
    <w:nsid w:val="1381823A"/>
    <w:multiLevelType w:val="hybridMultilevel"/>
    <w:lvl w:ilvl="0">
      <w:lvlJc w:val="left"/>
      <w:lvlText w:val="%1."/>
      <w:numFmt w:val="decimal"/>
      <w:start w:val="101"/>
    </w:lvl>
  </w:abstractNum>
  <w:abstractNum w:abstractNumId="64">
    <w:nsid w:val="5DB70AE5"/>
    <w:multiLevelType w:val="hybridMultilevel"/>
    <w:lvl w:ilvl="0">
      <w:lvlJc w:val="left"/>
      <w:lvlText w:val="%1."/>
      <w:numFmt w:val="decimal"/>
      <w:start w:val="101"/>
    </w:lvl>
  </w:abstractNum>
  <w:abstractNum w:abstractNumId="65">
    <w:nsid w:val="100F8FCA"/>
    <w:multiLevelType w:val="hybridMultilevel"/>
    <w:lvl w:ilvl="0">
      <w:lvlJc w:val="left"/>
      <w:lvlText w:val="%1."/>
      <w:numFmt w:val="decimal"/>
      <w:start w:val="101"/>
    </w:lvl>
  </w:abstractNum>
  <w:abstractNum w:abstractNumId="66">
    <w:nsid w:val="6590700B"/>
    <w:multiLevelType w:val="hybridMultilevel"/>
    <w:lvl w:ilvl="0">
      <w:lvlJc w:val="left"/>
      <w:lvlText w:val="%1"/>
      <w:numFmt w:val="decimal"/>
      <w:start w:val="104"/>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2025-11-05T09:54:26Z</dcterms:created>
  <dcterms:modified xsi:type="dcterms:W3CDTF">2025-11-05T09:54:26Z</dcterms:modified>
</cp:coreProperties>
</file>