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March 31,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20,902,444 as of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March 31, 2024 and December 31, 2023</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Three-month periods ended March 31, 2024 and 2023</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Three-month periods ended March 31, 2024 and 2023</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Borders>
              <w:top w:val="single" w:sz="8" w:color="CCEEFF"/>
            </w:tcBorders>
          </w:tcPr>
          <w:p>
            <w:pPr>
              <w:spacing w:after="0"/>
              <w:rPr>
                <w:sz w:val="16"/>
                <w:szCs w:val="16"/>
                <w:color w:val="auto"/>
              </w:rPr>
            </w:pPr>
          </w:p>
        </w:tc>
        <w:tc>
          <w:tcPr>
            <w:tcW w:w="8120" w:type="dxa"/>
            <w:vAlign w:val="bottom"/>
            <w:tcBorders>
              <w:top w:val="single" w:sz="8" w:color="0000FF"/>
            </w:tcBorders>
            <w:gridSpan w:val="14"/>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Three-month periods ended March 31, 2024 and 2023</w:t>
            </w:r>
          </w:p>
        </w:tc>
        <w:tc>
          <w:tcPr>
            <w:tcW w:w="11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0000FF"/>
            </w:tcBorders>
            <w:gridSpan w:val="1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Three-month periods ended March 31, 2024 and 2023</w:t>
            </w:r>
          </w:p>
        </w:tc>
        <w:tc>
          <w:tcPr>
            <w:tcW w:w="1340" w:type="dxa"/>
            <w:vAlign w:val="bottom"/>
            <w:tcBorders>
              <w:bottom w:val="single" w:sz="8" w:color="CCEEFF"/>
            </w:tcBorders>
            <w:gridSpan w:val="2"/>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9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8-58</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59-74</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75</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75</w:t>
            </w:r>
          </w:p>
        </w:tc>
      </w:tr>
      <w:tr>
        <w:trPr>
          <w:trHeight w:val="258"/>
        </w:trPr>
        <w:tc>
          <w:tcPr>
            <w:tcW w:w="10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77</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2023,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 Item 1.</w:t>
            </w:r>
          </w:p>
        </w:tc>
        <w:tc>
          <w:tcPr>
            <w:tcW w:w="5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3"/>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97"/>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2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80" w:type="dxa"/>
            <w:vAlign w:val="bottom"/>
            <w:gridSpan w:val="4"/>
          </w:tcPr>
          <w:p>
            <w:pPr>
              <w:jc w:val="center"/>
              <w:ind w:right="211"/>
              <w:spacing w:after="0" w:line="129" w:lineRule="exact"/>
              <w:rPr>
                <w:sz w:val="20"/>
                <w:szCs w:val="20"/>
                <w:color w:val="auto"/>
              </w:rPr>
            </w:pPr>
            <w:r>
              <w:rPr>
                <w:rFonts w:ascii="Times New Roman" w:cs="Times New Roman" w:eastAsia="Times New Roman" w:hAnsi="Times New Roman"/>
                <w:sz w:val="14"/>
                <w:szCs w:val="14"/>
                <w:color w:val="auto"/>
                <w:w w:val="98"/>
              </w:rPr>
              <w:t>(In thousands, except share</w:t>
            </w:r>
          </w:p>
        </w:tc>
      </w:tr>
      <w:tr>
        <w:trPr>
          <w:trHeight w:val="178"/>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center"/>
              <w:ind w:left="831"/>
              <w:spacing w:after="0"/>
              <w:rPr>
                <w:sz w:val="20"/>
                <w:szCs w:val="20"/>
                <w:color w:val="auto"/>
              </w:rPr>
            </w:pPr>
            <w:r>
              <w:rPr>
                <w:rFonts w:ascii="Times New Roman" w:cs="Times New Roman" w:eastAsia="Times New Roman" w:hAnsi="Times New Roman"/>
                <w:sz w:val="14"/>
                <w:szCs w:val="14"/>
                <w:color w:val="auto"/>
                <w:w w:val="99"/>
              </w:rPr>
              <w:t>amounts)</w:t>
            </w:r>
          </w:p>
        </w:tc>
        <w:tc>
          <w:tcPr>
            <w:tcW w:w="1160" w:type="dxa"/>
            <w:vAlign w:val="bottom"/>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68,208</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120,198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101,573</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161,844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679,350</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$311,013 at March 31, 2024 and $318,606 at December 31, 2023 )</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353,988</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1,735,284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1,490,441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1,485,872</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614,240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3,839,965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3,790,901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(56,313)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(54,658)</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Net Loans</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3,783,652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3,736,243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54,341</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133,395</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132,500</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5,231,255</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9"/>
        </w:trPr>
        <w:tc>
          <w:tcPr>
            <w:tcW w:w="2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1,034,605</w:t>
            </w:r>
          </w:p>
        </w:tc>
        <w:tc>
          <w:tcPr>
            <w:tcW w:w="8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1,076,093</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1,935,451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1,905,701</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893,643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832,020</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524,325</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148,585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284,740</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Deposits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4,582,414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4,622,879</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39,510</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39,728</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107,134</w:t>
            </w:r>
          </w:p>
        </w:tc>
      </w:tr>
      <w:tr>
        <w:trPr>
          <w:trHeight w:val="179"/>
        </w:trPr>
        <w:tc>
          <w:tcPr>
            <w:tcW w:w="28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4,815,685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4,859,277</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68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81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20,903,677 shares at March 31, 2024 and 20,835,633</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4"/>
        </w:trPr>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shares at December 31, 2023</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317,483</w:t>
            </w: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170,100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r>
      <w:tr>
        <w:trPr>
          <w:trHeight w:val="197"/>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(72,142)</w:t>
            </w: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2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415,570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5,231,255</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Operations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2820" w:type="dxa"/>
            <w:vAlign w:val="bottom"/>
            <w:gridSpan w:val="5"/>
          </w:tcPr>
          <w:p>
            <w:pPr>
              <w:jc w:val="right"/>
              <w:ind w:right="271"/>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0" w:type="dxa"/>
            <w:vAlign w:val="bottom"/>
          </w:tcPr>
          <w:p>
            <w:pPr>
              <w:spacing w:after="0"/>
              <w:rPr>
                <w:sz w:val="1"/>
                <w:szCs w:val="1"/>
                <w:color w:val="auto"/>
              </w:rPr>
            </w:pPr>
          </w:p>
        </w:tc>
      </w:tr>
      <w:tr>
        <w:trPr>
          <w:trHeight w:val="17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6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44,294</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securities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Taxable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5,884</w:t>
            </w:r>
          </w:p>
        </w:tc>
        <w:tc>
          <w:tcPr>
            <w:tcW w:w="0" w:type="dxa"/>
            <w:vAlign w:val="bottom"/>
          </w:tcPr>
          <w:p>
            <w:pPr>
              <w:spacing w:after="0"/>
              <w:rPr>
                <w:sz w:val="1"/>
                <w:szCs w:val="1"/>
                <w:color w:val="auto"/>
              </w:rPr>
            </w:pPr>
          </w:p>
        </w:tc>
      </w:tr>
      <w:tr>
        <w:trPr>
          <w:trHeight w:val="186"/>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Tax-exempt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3,083</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investments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Interest Income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65,126</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53,936</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13,760</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Interest Expense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24,929</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15,495</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Interest Income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38,441</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39,453</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36,281</w:t>
            </w:r>
          </w:p>
        </w:tc>
        <w:tc>
          <w:tcPr>
            <w:tcW w:w="0" w:type="dxa"/>
            <w:vAlign w:val="bottom"/>
          </w:tcPr>
          <w:p>
            <w:pPr>
              <w:spacing w:after="0"/>
              <w:rPr>
                <w:sz w:val="1"/>
                <w:szCs w:val="1"/>
                <w:color w:val="auto"/>
              </w:rPr>
            </w:pPr>
          </w:p>
        </w:tc>
      </w:tr>
      <w:tr>
        <w:trPr>
          <w:trHeight w:val="166"/>
        </w:trPr>
        <w:tc>
          <w:tcPr>
            <w:tcW w:w="7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Income</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income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2,857</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Mortgage loans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2,729</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Non-interest Income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12,561</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10,551</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19,339</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Data processing</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2,991</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Occupancy,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expense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FDIC deposit insurance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Communications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and collection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Advertising</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Legal and professional</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7"/>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Costs (recoveries) related to unfunded lending commitments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32,193</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30,957</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Income Before Income Tax</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19,821</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15,875</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218"/>
        </w:trPr>
        <w:tc>
          <w:tcPr>
            <w:tcW w:w="7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12,991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0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0.61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119" w:right="10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7"/>
          <w:szCs w:val="17"/>
          <w:color w:val="auto"/>
        </w:rPr>
        <w:t>March 31,</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r>
      <w:tr>
        <w:trPr>
          <w:trHeight w:val="216"/>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(Unaudited - In thousands)</w:t>
            </w:r>
          </w:p>
        </w:tc>
      </w:tr>
      <w:tr>
        <w:trPr>
          <w:trHeight w:val="241"/>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12,991</w:t>
            </w:r>
          </w:p>
        </w:tc>
      </w:tr>
      <w:tr>
        <w:trPr>
          <w:trHeight w:val="219"/>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6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arising during period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14,393</w:t>
            </w:r>
          </w:p>
        </w:tc>
      </w:tr>
      <w:tr>
        <w:trPr>
          <w:trHeight w:val="25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58"/>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3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 available for sale</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15,465</w:t>
            </w:r>
          </w:p>
        </w:tc>
      </w:tr>
      <w:tr>
        <w:trPr>
          <w:trHeight w:val="219"/>
        </w:trPr>
        <w:tc>
          <w:tcPr>
            <w:tcW w:w="6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 available for sale,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12,217</w:t>
            </w:r>
          </w:p>
        </w:tc>
      </w:tr>
      <w:tr>
        <w:trPr>
          <w:trHeight w:val="199"/>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losses arising during period</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58"/>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3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losses recognized in other comprehensive income on derivative instruments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58"/>
        </w:trPr>
        <w:tc>
          <w:tcPr>
            <w:tcW w:w="6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benefit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losses recognized in other comprehensive income on derivative instruments, net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12"/>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11,952</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320" w:top="119"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0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9"/>
        </w:trPr>
        <w:tc>
          <w:tcPr>
            <w:tcW w:w="8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5"/>
                <w:szCs w:val="15"/>
                <w:color w:val="auto"/>
              </w:rPr>
            </w:pPr>
          </w:p>
        </w:tc>
      </w:tr>
      <w:tr>
        <w:trPr>
          <w:trHeight w:val="186"/>
        </w:trPr>
        <w:tc>
          <w:tcPr>
            <w:tcW w:w="8180" w:type="dxa"/>
            <w:vAlign w:val="bottom"/>
          </w:tcPr>
          <w:p>
            <w:pPr>
              <w:spacing w:after="0"/>
              <w:rPr>
                <w:sz w:val="16"/>
                <w:szCs w:val="16"/>
                <w:color w:val="auto"/>
              </w:rPr>
            </w:pPr>
          </w:p>
        </w:tc>
        <w:tc>
          <w:tcPr>
            <w:tcW w:w="250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color w:val="auto"/>
              </w:rPr>
              <w:t>(Unaudited - In thousands)</w:t>
            </w:r>
          </w:p>
        </w:tc>
        <w:tc>
          <w:tcPr>
            <w:tcW w:w="560" w:type="dxa"/>
            <w:vAlign w:val="bottom"/>
          </w:tcPr>
          <w:p>
            <w:pPr>
              <w:spacing w:after="0"/>
              <w:rPr>
                <w:sz w:val="16"/>
                <w:szCs w:val="16"/>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75,178</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65,428</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 loans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securities available for sale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10,394</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20,833</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23,385</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27,742</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9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41,237</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17,691</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4,954</w:t>
            </w: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total deposits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165,680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(60,977)</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(46,461)</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124,309</w:t>
            </w:r>
          </w:p>
        </w:tc>
      </w:tr>
      <w:tr>
        <w:trPr>
          <w:trHeight w:val="179"/>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152,648</w:t>
            </w: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r>
      <w:tr>
        <w:trPr>
          <w:trHeight w:val="193"/>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161,844</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227,019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24,962</w:t>
            </w:r>
          </w:p>
        </w:tc>
        <w:tc>
          <w:tcPr>
            <w:tcW w:w="80" w:type="dxa"/>
            <w:vAlign w:val="bottom"/>
          </w:tcPr>
          <w:p>
            <w:pPr>
              <w:spacing w:after="0"/>
              <w:rPr>
                <w:sz w:val="16"/>
                <w:szCs w:val="16"/>
                <w:color w:val="auto"/>
              </w:rPr>
            </w:pP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13,697</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4"/>
                <w:szCs w:val="14"/>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5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auto"/>
                <w:w w:val="98"/>
              </w:rPr>
              <w:t>Comprehensive Income</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39,683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415,570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$0.23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15,500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86,394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27,562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321,026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127,499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(80,811)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367,714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2023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condensed consolidated financial statements contain all the adjustments necessary to present fairly our consolidated financial condition as of March 31, 2024 and December 31, 2023, and the results of operations for the three-month periods ended March 31, 2024 and 2023. The results of operations for the three-month periods ended March 31, 2024,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2023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Accounting Standards Update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had formed a cross-functional project team to lead the transition from LIBOR to a planned adoption of reference rates which included Secured Overnight Financing Rate (“SOFR”). We utilized the timeline guidance published by the Alternative Reference Rates Committee to develop and achieve internal milestones during the transitional period. We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 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The adoption of this ASU on January 1, 2024, did not have a material impact on our Condensed Consolidated Financial Statements.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323): Improvements to Reportable Segment Disclosures". This ASU enhances disclosures of significant segment expenses by requiring entities to disclose significant segment expenses regularly provided to the chief operating decision maker, extend certain annual disclosures to interim periods, and permit more than one measure of segment profit or loss to be reported under certain conditions. This ASU takes effect for annual reporting periods beginning after December 15, 2023 and interim periods within fiscal years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beginning after December 15, 2024. Early adoption is permitted. We do not expect the adoption of this ASU to have a material impact on our Condensed Consolidated Financial Statements.</w:t>
      </w:r>
    </w:p>
    <w:p>
      <w:pPr>
        <w:spacing w:after="0" w:line="12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We do not expect the adoption of this ASU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have a material impact on our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8,925</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78,495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84,770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64,833</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293,216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70,383</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613,620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10,299</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81,217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86,469</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112,931</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302,737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73,250</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1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22,146</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91,553</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145,810</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349,957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368,795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311,013</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22,479</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94,636</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149,545</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8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8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1140" w:type="dxa"/>
            <w:vAlign w:val="bottom"/>
          </w:tcPr>
          <w:p>
            <w:pPr>
              <w:spacing w:after="0"/>
              <w:rPr>
                <w:sz w:val="19"/>
                <w:szCs w:val="19"/>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60"/>
        </w:trPr>
        <w:tc>
          <w:tcPr>
            <w:tcW w:w="1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r>
      <w:tr>
        <w:trPr>
          <w:trHeight w:val="232"/>
        </w:trPr>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Losses</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21"/>
                <w:szCs w:val="21"/>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asset backed</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subdivisions</w:t>
            </w: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Trust preferred</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2"/>
                <w:szCs w:val="22"/>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asset backed</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subdivisions</w:t>
            </w: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Trust preferred</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14,487</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-3593465</wp:posOffset>
            </wp:positionV>
            <wp:extent cx="7138670"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-3134995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-2676525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-2021205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-1718310</wp:posOffset>
            </wp:positionV>
            <wp:extent cx="7138670"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-1129030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-801370</wp:posOffset>
            </wp:positionV>
            <wp:extent cx="7138670" cy="294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-342900</wp:posOffset>
            </wp:positionV>
            <wp:extent cx="7138670" cy="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-2348865</wp:posOffset>
            </wp:positionV>
            <wp:extent cx="7138670" cy="163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7,981</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8,163</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76,809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76,809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9,521</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12,056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79,576</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6,246</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53,048</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56,489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293,216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38,417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293,216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38,417</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70,383</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r>
      <w:tr>
        <w:trPr>
          <w:trHeight w:val="257"/>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942</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594,011</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63,368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601,114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63,422</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1"/>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8,453</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80,008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80,366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8,981</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12,297</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79,507</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85,792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7,307</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97,203</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301,038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38,644</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73,249</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r>
      <w:tr>
        <w:trPr>
          <w:trHeight w:val="257"/>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942</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652,697</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64,719</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667,184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-32385</wp:posOffset>
            </wp:positionV>
            <wp:extent cx="859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-7620</wp:posOffset>
            </wp:positionV>
            <wp:extent cx="859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-179705</wp:posOffset>
            </wp:positionV>
            <wp:extent cx="859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-2176780</wp:posOffset>
            </wp:positionV>
            <wp:extent cx="859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620"/>
            <w:col w:w="496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2024 and December 31, 2023. Accrued interest receivable on securities AFS totaled $3.6 million and $4.6 million at March 31, 2024 and December 31, 2023, respectively,</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is excluded from the estimate of credit losses and is included in accrued income and other assets in the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March 31, 2024, we had 30 U.S. agency, 159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March 31, 2024, we had 86 private label mortgage backed, 72 other asset backed, and 75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March 31, 2024, we had 317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March 31, 2024,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2024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Condensed Consolidated Statements of Operations related to securities AFS during the three month periods ended March 31, 2024 and 2023,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we consider historical credit loss information. Accrued interest receivable on securities HTM totaled $1.9 million and $1.8 million at March 31, 2024 and December 31, 2023,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March 31, 2024 and December 31, 2023, there were no past due principal and interest payments associated with these securities. At those same dates an allowance for credit losses of $155,000 and $157,000,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jc w:val="center"/>
              <w:ind w:right="2274"/>
              <w:spacing w:after="0"/>
              <w:rPr>
                <w:sz w:val="20"/>
                <w:szCs w:val="20"/>
                <w:color w:val="auto"/>
              </w:rPr>
            </w:pPr>
            <w:r>
              <w:rPr>
                <w:rFonts w:ascii="Times New Roman" w:cs="Times New Roman" w:eastAsia="Times New Roman" w:hAnsi="Times New Roman"/>
                <w:sz w:val="17"/>
                <w:szCs w:val="17"/>
                <w:color w:val="auto"/>
              </w:rPr>
              <w:t>March 31,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43,461</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102,612</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10,107</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34,813</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20,098</w:t>
            </w:r>
          </w:p>
        </w:tc>
      </w:tr>
      <w:tr>
        <w:trPr>
          <w:trHeight w:val="237"/>
        </w:trPr>
        <w:tc>
          <w:tcPr>
            <w:tcW w:w="35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213,039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43,931</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34,769</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21,983</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215,304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March 31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Obligations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of States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and Political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Trust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Subdivisions</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Preferred</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4"/>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5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March 31, 2024, by contractual maturity, follow:</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ind w:left="800"/>
              <w:spacing w:after="0"/>
              <w:rPr>
                <w:sz w:val="20"/>
                <w:szCs w:val="20"/>
                <w:color w:val="auto"/>
              </w:rPr>
            </w:pPr>
            <w:r>
              <w:rPr>
                <w:rFonts w:ascii="Times New Roman" w:cs="Times New Roman" w:eastAsia="Times New Roman" w:hAnsi="Times New Roman"/>
                <w:sz w:val="17"/>
                <w:szCs w:val="17"/>
                <w:color w:val="auto"/>
              </w:rPr>
              <w:t>Securities AFS</w:t>
            </w:r>
          </w:p>
        </w:tc>
        <w:tc>
          <w:tcPr>
            <w:tcW w:w="3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6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14"/>
              <w:spacing w:after="0" w:line="170"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center"/>
              <w:ind w:right="46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434"/>
              <w:spacing w:after="0" w:line="170" w:lineRule="exact"/>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Cost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7"/>
                <w:szCs w:val="17"/>
                <w:color w:val="auto"/>
                <w:w w:val="96"/>
              </w:rPr>
              <w:t>Cost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8"/>
          </w:tcPr>
          <w:p>
            <w:pPr>
              <w:ind w:left="84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51,390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82,065</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1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201,833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176,568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70,830</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208,856</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91,553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676,527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613,620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368,795</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311,013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three month periods ending March 31,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3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3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3020" w:type="dxa"/>
            <w:vAlign w:val="bottom"/>
            <w:shd w:val="clear" w:color="auto" w:fill="CCEEFF"/>
          </w:tcPr>
          <w:p>
            <w:pPr>
              <w:jc w:val="right"/>
              <w:ind w:right="2574"/>
              <w:spacing w:after="0"/>
              <w:rPr>
                <w:sz w:val="20"/>
                <w:szCs w:val="20"/>
                <w:color w:val="auto"/>
              </w:rPr>
            </w:pPr>
            <w:r>
              <w:rPr>
                <w:rFonts w:ascii="Times New Roman" w:cs="Times New Roman" w:eastAsia="Times New Roman" w:hAnsi="Times New Roman"/>
                <w:sz w:val="17"/>
                <w:szCs w:val="17"/>
                <w:color w:val="auto"/>
                <w:w w:val="99"/>
              </w:rPr>
              <w:t>2024</w:t>
            </w:r>
          </w:p>
        </w:tc>
        <w:tc>
          <w:tcPr>
            <w:tcW w:w="3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23"/>
        </w:trPr>
        <w:tc>
          <w:tcPr>
            <w:tcW w:w="3020" w:type="dxa"/>
            <w:vAlign w:val="bottom"/>
          </w:tcPr>
          <w:p>
            <w:pPr>
              <w:jc w:val="right"/>
              <w:ind w:right="2574"/>
              <w:spacing w:after="0"/>
              <w:rPr>
                <w:sz w:val="20"/>
                <w:szCs w:val="20"/>
                <w:color w:val="auto"/>
              </w:rPr>
            </w:pPr>
            <w:r>
              <w:rPr>
                <w:rFonts w:ascii="Times New Roman" w:cs="Times New Roman" w:eastAsia="Times New Roman" w:hAnsi="Times New Roman"/>
                <w:sz w:val="17"/>
                <w:szCs w:val="17"/>
                <w:color w:val="auto"/>
                <w:w w:val="99"/>
              </w:rPr>
              <w:t>2023</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278</w:t>
            </w: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847"/>
        </w:trPr>
        <w:tc>
          <w:tcPr>
            <w:tcW w:w="3020" w:type="dxa"/>
            <w:vAlign w:val="bottom"/>
          </w:tcPr>
          <w:p>
            <w:pPr>
              <w:spacing w:after="0"/>
              <w:rPr>
                <w:sz w:val="24"/>
                <w:szCs w:val="24"/>
                <w:color w:val="auto"/>
              </w:rPr>
            </w:pPr>
          </w:p>
        </w:tc>
        <w:tc>
          <w:tcPr>
            <w:tcW w:w="360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302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three months ended March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18,982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52,435</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20,113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$0.019 million and $0.021 million of government guaranteed loans at March 31, 2024 and December 31, 2023, respectively.</w:t>
      </w:r>
    </w:p>
    <w:p>
      <w:pPr>
        <w:ind w:left="320" w:hanging="317"/>
        <w:spacing w:after="0" w:line="266"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$1.646 million and $2.170 million of government guaranteed loans at March 31, 2024 and December 31, 2023,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3"/>
          </w:tcPr>
          <w:p>
            <w:pPr>
              <w:jc w:val="right"/>
              <w:ind w:right="414"/>
              <w:spacing w:after="0"/>
              <w:rPr>
                <w:sz w:val="20"/>
                <w:szCs w:val="20"/>
                <w:color w:val="auto"/>
              </w:rPr>
            </w:pPr>
            <w:r>
              <w:rPr>
                <w:rFonts w:ascii="Times New Roman" w:cs="Times New Roman" w:eastAsia="Times New Roman" w:hAnsi="Times New Roman"/>
                <w:sz w:val="17"/>
                <w:szCs w:val="17"/>
                <w:color w:val="auto"/>
                <w:w w:val="99"/>
              </w:rPr>
              <w:t>Collateral Type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5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Estate</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19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51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865,252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865,277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867,892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870,007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860,106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860,776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305,330</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172,934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173,099</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116,385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117,402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33,834</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267,605</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244,802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245,897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100,362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100,738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3,829,735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3,839,965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810,145</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858,692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859,236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297,236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301,172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173,379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173,816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116,032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268,051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268,648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251,852</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104,345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104,798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3,783,389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12,452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2024 there were two mortgage - 1-4 family owner occupied - non-jumbo loans, one mortgage 1-4 family - 2nd lien loan, and one installment - other loan modified as a troubled loan modifications totaling $0.31 million (0.1% of the total loan class), $0.07 million (0.1% of the total loan class), and $0.01 million (0.0% of the total loan class), respectively. All of the troubled loan modifications during the three months ended March 31, 2024 related to term extensions and added a weighted average 7.2 years to the life of the loans. All of the loans modified during the three months ended March 31, 2024 were on non-accrual status. During the three months ended March 31, 2023, there were no troubled loan modifications or subsequent defaults.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March 31,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834,468</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865,277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20,840</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120,384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200,198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61,444</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861,436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224,288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179,805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120,526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54,477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208,627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61,444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870,007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1,695,904</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32,547</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1,735,284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2020</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2019</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782,082</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810,145</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176,265</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861,741</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869,586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1,643,823</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March 31,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130,094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464,114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177,072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75,933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224,104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347,179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80,970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860,776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114,743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65,889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93,888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305,330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90,847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173,099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83,301</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39,859</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224,490</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737,662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331,951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133,336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1,490,441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9"/>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8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132,537</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456,463</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70,698</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222,397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859,236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37,109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301,172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34,435</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33,368</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173,816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84,297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728,990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1,485,872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149,803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60,455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267,605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77,197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245,897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100,738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10,143</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20,573</w:t>
            </w:r>
          </w:p>
        </w:tc>
        <w:tc>
          <w:tcPr>
            <w:tcW w:w="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8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20,985</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81,052</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313,940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151,416</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51,642</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18"/>
        </w:trPr>
        <w:tc>
          <w:tcPr>
            <w:tcW w:w="27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614,240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w w:val="98"/>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9"/>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150,694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55,295</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268,648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77,550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251,852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150,928</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44,913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on our Condensed Consolidated Statements of Financial Condition totaled $1.0 million and $0.6 million at March 31, 2024 and December 31, 2023, respectively. Retail mortgage loans secured by residential real estate properties for which formal foreclosure proceedings are in process according to local requirements totaled $0.1 million and $0.6 million at March 31, 2024 and December 31, 2023, respectively.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month period ended March 31, 2024, we sold $6.8 million of portfolio residential fixed rate mortgage loans servicing retained and recognized a gain on sale of $0.11 million. During the same three month period of 2023, we sold $41.2 million of portfolio residential mortgage loans servicing retained and recognized a loss on sale of $0.16 million. These transactions were done primarily for asset/liability management purposes.</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19, 2023, our Board of Directors authorized a share repurchase plan (the “Repurchase Plan”) to buy back up to 1,100,000 shares of our outstanding common stock through December 31, 2024.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periods ended March 31, 2024 and 2023 there were no repurchases of common stock.</w:t>
      </w:r>
    </w:p>
    <w:p>
      <w:pPr>
        <w:sectPr>
          <w:pgSz w:w="11900" w:h="16838" w:orient="portrait"/>
          <w:cols w:equalWidth="0" w:num="1">
            <w:col w:w="11240"/>
          </w:cols>
          <w:pgMar w:left="320" w:top="119" w:right="339" w:bottom="144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795020</wp:posOffset>
            </wp:positionV>
            <wp:extent cx="7073265" cy="155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73265"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073265"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73265" cy="13906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 units for 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73265" cy="139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73265" cy="139065"/>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Performance share units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73265"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3265" cy="163830"/>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 average shares outstanding for calculation of diluted earnings per share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073265"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73265" cy="139065"/>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73265" cy="172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73265" cy="172085"/>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170"/>
        </w:trPr>
        <w:tc>
          <w:tcPr>
            <w:tcW w:w="340" w:type="dxa"/>
            <w:vAlign w:val="bottom"/>
          </w:tcPr>
          <w:p>
            <w:pPr>
              <w:spacing w:after="0"/>
              <w:rPr>
                <w:sz w:val="14"/>
                <w:szCs w:val="14"/>
                <w:color w:val="auto"/>
              </w:rPr>
            </w:pPr>
          </w:p>
        </w:tc>
        <w:tc>
          <w:tcPr>
            <w:tcW w:w="2720" w:type="dxa"/>
            <w:vAlign w:val="bottom"/>
            <w:gridSpan w:val="4"/>
          </w:tcPr>
          <w:p>
            <w:pPr>
              <w:jc w:val="right"/>
              <w:ind w:right="714"/>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r>
      <w:tr>
        <w:trPr>
          <w:trHeight w:val="219"/>
        </w:trPr>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60" w:type="dxa"/>
            <w:vAlign w:val="bottom"/>
          </w:tcPr>
          <w:p>
            <w:pPr>
              <w:spacing w:after="0"/>
              <w:rPr>
                <w:sz w:val="19"/>
                <w:szCs w:val="19"/>
                <w:color w:val="auto"/>
              </w:rPr>
            </w:pPr>
          </w:p>
        </w:tc>
      </w:tr>
      <w:tr>
        <w:trPr>
          <w:trHeight w:val="223"/>
        </w:trPr>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15,991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21,104</w:t>
            </w:r>
          </w:p>
        </w:tc>
      </w:tr>
      <w:tr>
        <w:trPr>
          <w:trHeight w:val="21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21,297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month periods ended March 31, 2024 and 2023, respectively.</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31,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FHLB Advance</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445,802</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25,501</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32,798</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402,119</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13,139</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402,119</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(13,139)</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862,537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15,287</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395,898</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806,547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6"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tax-exempt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entered into a pay-variable interest rate swap to protect a portion of the fair value of a certain Federal Home Loan Bank ("FHLB") advance (‘‘Fair Value Hedge – FHLB Advance’’). As a result, changes in the fair value of the pay-variable interest rate swap is expected to offset changes in the fair value of the fixed rate FHLB advance due to fluctuations in interest rates. We record the fair value of the Fair Value Hedge – FHLB Advance in accrued income and other assets and accrued expenses and other liabilities on our Condensed Consolidated Statements of Financial Condition. The hedged item (a fixed rate FHLB advance) is also recorded at fair value which offsets the adjustment to the Fair Value Hedge – FHLB Advance. On an ongoing basis, we adjust our Condensed Consolidated Statements of Financial Condition to reflect the then current fair values of both the Fair Value Hedge – FHLB Advance and the hedged item. The related gains or losses are reported in interest expense – other borrowings and subordinated debt and debentures in our Condensed Consolidated Statements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Condensed Consolidated Statements of Financial Condition. The changes in the fair value of Cash Flow Hedge - Portfolio Loans are recorded in accumulated other comprehensive loss and are reclassified into the line item in our Condensed Consolidated Statements of Operations in which the hedged items are recorded in the same period the hedged items affect earnings. It is anticipated that as of March 31, 2024, $1.1 million will be reclassified from accumulated other comprehensive loss on Cash Flow Hedge - Portfolio Loans into earnings as a reduction of interest and fees on loans over the next twelve months. The maximum term of any Cash Flow Hedge - Portfolio Loans at March 31, 2024 is 4.4 years.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 This no hedge designation pay-variable interest rate swap agreement matured during the third quarter of 2023.</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1420" w:type="dxa"/>
            <w:vAlign w:val="bottom"/>
            <w:gridSpan w:val="3"/>
          </w:tcPr>
          <w:p>
            <w:pPr>
              <w:ind w:left="70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4"/>
          </w:tcPr>
          <w:p>
            <w:pPr>
              <w:jc w:val="center"/>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1400" w:type="dxa"/>
            <w:vAlign w:val="bottom"/>
            <w:gridSpan w:val="3"/>
          </w:tcPr>
          <w:p>
            <w:pPr>
              <w:ind w:left="700"/>
              <w:spacing w:after="0" w:line="161" w:lineRule="exact"/>
              <w:rPr>
                <w:sz w:val="20"/>
                <w:szCs w:val="20"/>
                <w:color w:val="auto"/>
              </w:rPr>
            </w:pPr>
            <w:r>
              <w:rPr>
                <w:rFonts w:ascii="Times New Roman" w:cs="Times New Roman" w:eastAsia="Times New Roman" w:hAnsi="Times New Roman"/>
                <w:sz w:val="17"/>
                <w:szCs w:val="17"/>
                <w:color w:val="auto"/>
                <w:w w:val="97"/>
              </w:rPr>
              <w:t>March 31,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ind w:left="58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9"/>
              </w:rPr>
              <w:t>2024</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8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88"/>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5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16,018</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2,879</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16,018</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w:t>
            </w:r>
          </w:p>
        </w:tc>
        <w:tc>
          <w:tcPr>
            <w:tcW w:w="0" w:type="dxa"/>
            <w:vAlign w:val="bottom"/>
          </w:tcPr>
          <w:p>
            <w:pPr>
              <w:spacing w:after="0"/>
              <w:rPr>
                <w:sz w:val="1"/>
                <w:szCs w:val="1"/>
                <w:color w:val="auto"/>
              </w:rPr>
            </w:pPr>
          </w:p>
        </w:tc>
      </w:tr>
      <w:tr>
        <w:trPr>
          <w:trHeight w:val="21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The effect of derivative financial instruments on the Condensed Consolidated Statements of Operations follows:</w:t>
      </w:r>
    </w:p>
    <w:p>
      <w:pPr>
        <w:spacing w:after="0" w:line="384" w:lineRule="exact"/>
        <w:rPr>
          <w:sz w:val="20"/>
          <w:szCs w:val="20"/>
          <w:color w:val="auto"/>
        </w:rPr>
      </w:pPr>
    </w:p>
    <w:tbl>
      <w:tblPr>
        <w:tblLayout w:type="fixed"/>
        <w:tblInd w:w="2420" w:type="dxa"/>
        <w:tblCellMar>
          <w:top w:w="0" w:type="dxa"/>
          <w:left w:w="0" w:type="dxa"/>
          <w:bottom w:w="0" w:type="dxa"/>
          <w:right w:w="0" w:type="dxa"/>
        </w:tblCellMar>
      </w:tblPr>
      <w:tr>
        <w:trPr>
          <w:trHeight w:val="172"/>
        </w:trPr>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Loss Recognized in Other</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Loss Reclassified from</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(Loss) (Effective Portion)</w:t>
            </w:r>
          </w:p>
        </w:tc>
        <w:tc>
          <w:tcPr>
            <w:tcW w:w="160" w:type="dxa"/>
            <w:vAlign w:val="bottom"/>
          </w:tcPr>
          <w:p>
            <w:pPr>
              <w:spacing w:after="0"/>
              <w:rPr>
                <w:sz w:val="17"/>
                <w:szCs w:val="17"/>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Three Month</w:t>
            </w:r>
          </w:p>
        </w:tc>
        <w:tc>
          <w:tcPr>
            <w:tcW w:w="160" w:type="dxa"/>
            <w:vAlign w:val="bottom"/>
          </w:tcPr>
          <w:p>
            <w:pPr>
              <w:spacing w:after="0"/>
              <w:rPr>
                <w:sz w:val="13"/>
                <w:szCs w:val="13"/>
                <w:color w:val="auto"/>
              </w:rPr>
            </w:pPr>
          </w:p>
        </w:tc>
        <w:tc>
          <w:tcPr>
            <w:tcW w:w="16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Three Month</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2"/>
            <w:vMerge w:val="restart"/>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7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0" w:type="dxa"/>
            <w:vAlign w:val="bottom"/>
          </w:tcPr>
          <w:p>
            <w:pPr>
              <w:spacing w:after="0"/>
              <w:rPr>
                <w:sz w:val="1"/>
                <w:szCs w:val="1"/>
                <w:color w:val="auto"/>
              </w:rPr>
            </w:pPr>
          </w:p>
        </w:tc>
      </w:tr>
      <w:tr>
        <w:trPr>
          <w:trHeight w:val="103"/>
        </w:trPr>
        <w:tc>
          <w:tcPr>
            <w:tcW w:w="1720" w:type="dxa"/>
            <w:vAlign w:val="bottom"/>
            <w:gridSpan w:val="3"/>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740" w:type="dxa"/>
            <w:vAlign w:val="bottom"/>
            <w:gridSpan w:val="3"/>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7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17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03"/>
        </w:trPr>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March 31,</w:t>
            </w:r>
          </w:p>
        </w:tc>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March 31,</w:t>
            </w:r>
          </w:p>
        </w:tc>
        <w:tc>
          <w:tcPr>
            <w:tcW w:w="1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2"/>
            <w:vMerge w:val="restart"/>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(Loss) into Income</w:t>
            </w:r>
          </w:p>
        </w:tc>
        <w:tc>
          <w:tcPr>
            <w:tcW w:w="174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38"/>
        </w:trPr>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Pr>
          <w:p>
            <w:pPr>
              <w:spacing w:after="0"/>
              <w:rPr>
                <w:sz w:val="3"/>
                <w:szCs w:val="3"/>
                <w:color w:val="auto"/>
              </w:rPr>
            </w:pPr>
          </w:p>
        </w:tc>
        <w:tc>
          <w:tcPr>
            <w:tcW w:w="82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Pr>
          <w:p>
            <w:pPr>
              <w:spacing w:after="0"/>
              <w:rPr>
                <w:sz w:val="3"/>
                <w:szCs w:val="3"/>
                <w:color w:val="auto"/>
              </w:rPr>
            </w:pPr>
          </w:p>
        </w:tc>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(Effective Portion)</w:t>
            </w:r>
          </w:p>
        </w:tc>
        <w:tc>
          <w:tcPr>
            <w:tcW w:w="16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30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Fair Value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Gain (Loss)</w:t>
      </w:r>
    </w:p>
    <w:p>
      <w:pPr>
        <w:jc w:val="center"/>
        <w:ind w:right="260"/>
        <w:spacing w:after="0" w:line="215" w:lineRule="auto"/>
        <w:rPr>
          <w:sz w:val="20"/>
          <w:szCs w:val="20"/>
          <w:color w:val="auto"/>
        </w:rPr>
      </w:pPr>
      <w:r>
        <w:rPr>
          <w:rFonts w:ascii="Times New Roman" w:cs="Times New Roman" w:eastAsia="Times New Roman" w:hAnsi="Times New Roman"/>
          <w:sz w:val="15"/>
          <w:szCs w:val="15"/>
          <w:color w:val="auto"/>
        </w:rPr>
        <w:t>Recognized</w:t>
      </w:r>
    </w:p>
    <w:p>
      <w:pPr>
        <w:jc w:val="center"/>
        <w:ind w:right="260"/>
        <w:spacing w:after="0"/>
        <w:rPr>
          <w:sz w:val="20"/>
          <w:szCs w:val="20"/>
          <w:color w:val="auto"/>
        </w:rPr>
      </w:pPr>
      <w:r>
        <w:rPr>
          <w:rFonts w:ascii="Times New Roman" w:cs="Times New Roman" w:eastAsia="Times New Roman" w:hAnsi="Times New Roman"/>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10795</wp:posOffset>
            </wp:positionV>
            <wp:extent cx="11049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8" w:lineRule="exact"/>
        <w:rPr>
          <w:sz w:val="20"/>
          <w:szCs w:val="20"/>
          <w:color w:val="auto"/>
        </w:rPr>
      </w:pPr>
    </w:p>
    <w:p>
      <w:pPr>
        <w:jc w:val="center"/>
        <w:ind w:left="160" w:right="260"/>
        <w:spacing w:after="0" w:line="236" w:lineRule="auto"/>
        <w:rPr>
          <w:sz w:val="20"/>
          <w:szCs w:val="20"/>
          <w:color w:val="auto"/>
        </w:rPr>
      </w:pPr>
      <w:r>
        <w:rPr>
          <w:rFonts w:ascii="Times New Roman" w:cs="Times New Roman" w:eastAsia="Times New Roman" w:hAnsi="Times New Roman"/>
          <w:sz w:val="15"/>
          <w:szCs w:val="15"/>
          <w:color w:val="auto"/>
        </w:rPr>
        <w:t>Three Month Periods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3810</wp:posOffset>
            </wp:positionV>
            <wp:extent cx="11049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5"/>
          <w:szCs w:val="15"/>
          <w:color w:val="auto"/>
        </w:rPr>
        <w:t>2024</w:t>
      </w:r>
      <w:r>
        <w:rPr>
          <w:sz w:val="20"/>
          <w:szCs w:val="20"/>
          <w:color w:val="auto"/>
        </w:rPr>
        <w:tab/>
      </w: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20955</wp:posOffset>
            </wp:positionV>
            <wp:extent cx="11049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(In thousands)</w:t>
      </w:r>
    </w:p>
    <w:p>
      <w:pPr>
        <w:spacing w:after="0" w:line="222" w:lineRule="exact"/>
        <w:rPr>
          <w:sz w:val="20"/>
          <w:szCs w:val="20"/>
          <w:color w:val="auto"/>
        </w:rPr>
      </w:pPr>
    </w:p>
    <w:p>
      <w:pPr>
        <w:sectPr>
          <w:pgSz w:w="11900" w:h="16838" w:orient="portrait"/>
          <w:cols w:equalWidth="0" w:num="2">
            <w:col w:w="9480" w:space="280"/>
            <w:col w:w="1480"/>
          </w:cols>
          <w:pgMar w:left="320" w:top="119" w:right="339" w:bottom="1440" w:gutter="0" w:footer="0" w:header="0"/>
        </w:sectPr>
      </w:pP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 - commercial</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line="215" w:lineRule="auto"/>
        <w:rPr>
          <w:sz w:val="20"/>
          <w:szCs w:val="20"/>
          <w:color w:val="auto"/>
        </w:rPr>
      </w:pPr>
      <w:r>
        <w:rPr>
          <w:rFonts w:ascii="Times New Roman" w:cs="Times New Roman" w:eastAsia="Times New Roman" w:hAnsi="Times New Roman"/>
          <w:sz w:val="15"/>
          <w:szCs w:val="15"/>
          <w:color w:val="auto"/>
        </w:rPr>
        <w:t>agreements - securities available</w:t>
      </w:r>
    </w:p>
    <w:p>
      <w:pPr>
        <w:ind w:left="320"/>
        <w:spacing w:after="0"/>
        <w:rPr>
          <w:sz w:val="20"/>
          <w:szCs w:val="20"/>
          <w:color w:val="auto"/>
        </w:rPr>
      </w:pPr>
      <w:r>
        <w:rPr>
          <w:rFonts w:ascii="Times New Roman" w:cs="Times New Roman" w:eastAsia="Times New Roman" w:hAnsi="Times New Roman"/>
          <w:sz w:val="15"/>
          <w:szCs w:val="15"/>
          <w:color w:val="auto"/>
        </w:rPr>
        <w:t>for sale</w:t>
      </w:r>
    </w:p>
    <w:p>
      <w:pPr>
        <w:spacing w:after="0" w:line="1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5"/>
          <w:szCs w:val="15"/>
          <w:color w:val="auto"/>
        </w:rPr>
        <w:t>Pay-fixed interest rate swap</w:t>
      </w:r>
    </w:p>
    <w:p>
      <w:pPr>
        <w:jc w:val="right"/>
        <w:ind w:right="5320"/>
        <w:spacing w:after="0"/>
        <w:rPr>
          <w:sz w:val="20"/>
          <w:szCs w:val="20"/>
          <w:color w:val="auto"/>
        </w:rPr>
      </w:pPr>
      <w:r>
        <w:rPr>
          <w:rFonts w:ascii="Times New Roman" w:cs="Times New Roman" w:eastAsia="Times New Roman" w:hAnsi="Times New Roman"/>
          <w:sz w:val="15"/>
          <w:szCs w:val="15"/>
          <w:color w:val="auto"/>
        </w:rPr>
        <w:t>agreements - Installment</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Mortgage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Pay-variable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FHLB Advance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Interest and fees on</w:t>
            </w:r>
          </w:p>
        </w:tc>
        <w:tc>
          <w:tcPr>
            <w:tcW w:w="3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79</w:t>
            </w:r>
          </w:p>
        </w:tc>
        <w:tc>
          <w:tcPr>
            <w:tcW w:w="28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0" w:type="dxa"/>
            <w:vAlign w:val="bottom"/>
          </w:tcPr>
          <w:p>
            <w:pPr>
              <w:spacing w:after="0"/>
              <w:rPr>
                <w:sz w:val="1"/>
                <w:szCs w:val="1"/>
                <w:color w:val="auto"/>
              </w:rPr>
            </w:pPr>
          </w:p>
        </w:tc>
      </w:tr>
      <w:tr>
        <w:trPr>
          <w:trHeight w:val="200"/>
        </w:trPr>
        <w:tc>
          <w:tcPr>
            <w:tcW w:w="1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3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4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320" w:type="dxa"/>
            <w:vAlign w:val="bottom"/>
          </w:tcPr>
          <w:p>
            <w:pPr>
              <w:spacing w:after="0"/>
              <w:rPr>
                <w:sz w:val="13"/>
                <w:szCs w:val="13"/>
                <w:color w:val="auto"/>
              </w:rPr>
            </w:pP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1,548</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(2,744)</w:t>
            </w:r>
          </w:p>
        </w:tc>
        <w:tc>
          <w:tcPr>
            <w:tcW w:w="0" w:type="dxa"/>
            <w:vAlign w:val="bottom"/>
          </w:tcPr>
          <w:p>
            <w:pPr>
              <w:spacing w:after="0"/>
              <w:rPr>
                <w:sz w:val="1"/>
                <w:szCs w:val="1"/>
                <w:color w:val="auto"/>
              </w:rPr>
            </w:pPr>
          </w:p>
        </w:tc>
      </w:tr>
      <w:tr>
        <w:trPr>
          <w:trHeight w:val="200"/>
        </w:trPr>
        <w:tc>
          <w:tcPr>
            <w:tcW w:w="1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 - exempt</w:t>
            </w: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320" w:type="dxa"/>
            <w:vAlign w:val="bottom"/>
          </w:tcPr>
          <w:p>
            <w:pPr>
              <w:spacing w:after="0"/>
              <w:rPr>
                <w:sz w:val="14"/>
                <w:szCs w:val="14"/>
                <w:color w:val="auto"/>
              </w:rPr>
            </w:pP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1,688</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0" w:type="dxa"/>
            <w:vAlign w:val="bottom"/>
          </w:tcPr>
          <w:p>
            <w:pPr>
              <w:spacing w:after="0"/>
              <w:rPr>
                <w:sz w:val="1"/>
                <w:szCs w:val="1"/>
                <w:color w:val="auto"/>
              </w:rPr>
            </w:pPr>
          </w:p>
        </w:tc>
      </w:tr>
      <w:tr>
        <w:trPr>
          <w:trHeight w:val="200"/>
        </w:trPr>
        <w:tc>
          <w:tcPr>
            <w:tcW w:w="1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320" w:type="dxa"/>
            <w:vAlign w:val="bottom"/>
          </w:tcPr>
          <w:p>
            <w:pPr>
              <w:spacing w:after="0"/>
              <w:rPr>
                <w:sz w:val="14"/>
                <w:szCs w:val="14"/>
                <w:color w:val="auto"/>
              </w:rPr>
            </w:pP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2,002</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4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color w:val="auto"/>
              </w:rPr>
              <w:t>subordinated debt</w:t>
            </w:r>
          </w:p>
        </w:tc>
        <w:tc>
          <w:tcPr>
            <w:tcW w:w="3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and debentures</w:t>
            </w: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-1207135</wp:posOffset>
            </wp:positionV>
            <wp:extent cx="7138670" cy="327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-650875</wp:posOffset>
            </wp:positionV>
            <wp:extent cx="7138670" cy="229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80" w:space="720"/>
            <w:col w:w="33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4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securities available for sale</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c>
          <w:tcPr>
            <w:tcW w:w="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84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(84)</w:t>
            </w:r>
          </w:p>
        </w:tc>
        <w:tc>
          <w:tcPr>
            <w:tcW w:w="178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8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8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3"/>
                <w:szCs w:val="13"/>
                <w:color w:val="auto"/>
              </w:rPr>
            </w:pPr>
          </w:p>
        </w:tc>
        <w:tc>
          <w:tcPr>
            <w:tcW w:w="520" w:type="dxa"/>
            <w:vAlign w:val="bottom"/>
            <w:vMerge w:val="restart"/>
          </w:tcPr>
          <w:p>
            <w:pPr>
              <w:jc w:val="center"/>
              <w:ind w:left="143"/>
              <w:spacing w:after="0"/>
              <w:rPr>
                <w:sz w:val="20"/>
                <w:szCs w:val="20"/>
                <w:color w:val="auto"/>
              </w:rPr>
            </w:pPr>
            <w:r>
              <w:rPr>
                <w:rFonts w:ascii="Times New Roman" w:cs="Times New Roman" w:eastAsia="Times New Roman" w:hAnsi="Times New Roman"/>
                <w:sz w:val="15"/>
                <w:szCs w:val="15"/>
                <w:color w:val="auto"/>
                <w:w w:val="93"/>
              </w:rPr>
              <w:t>—</w:t>
            </w:r>
          </w:p>
        </w:tc>
        <w:tc>
          <w:tcPr>
            <w:tcW w:w="178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installment</w:t>
            </w: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(84)</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(2,267)</w:t>
            </w:r>
          </w:p>
        </w:tc>
        <w:tc>
          <w:tcPr>
            <w:tcW w:w="60" w:type="dxa"/>
            <w:vAlign w:val="bottom"/>
          </w:tcPr>
          <w:p>
            <w:pPr>
              <w:spacing w:after="0"/>
              <w:rPr>
                <w:sz w:val="13"/>
                <w:szCs w:val="13"/>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60" w:type="dxa"/>
            <w:vAlign w:val="bottom"/>
          </w:tcPr>
          <w:p>
            <w:pPr>
              <w:spacing w:after="0"/>
              <w:rPr>
                <w:sz w:val="13"/>
                <w:szCs w:val="13"/>
                <w:color w:val="auto"/>
              </w:rPr>
            </w:pPr>
          </w:p>
        </w:tc>
        <w:tc>
          <w:tcPr>
            <w:tcW w:w="32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center"/>
              <w:ind w:left="143"/>
              <w:spacing w:after="0"/>
              <w:rPr>
                <w:sz w:val="20"/>
                <w:szCs w:val="20"/>
                <w:color w:val="auto"/>
              </w:rPr>
            </w:pPr>
            <w:r>
              <w:rPr>
                <w:rFonts w:ascii="Times New Roman" w:cs="Times New Roman" w:eastAsia="Times New Roman" w:hAnsi="Times New Roman"/>
                <w:sz w:val="15"/>
                <w:szCs w:val="15"/>
                <w:color w:val="auto"/>
                <w:w w:val="93"/>
              </w:rPr>
              <w:t>—</w:t>
            </w:r>
          </w:p>
        </w:tc>
        <w:tc>
          <w:tcPr>
            <w:tcW w:w="178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13"/>
                <w:szCs w:val="13"/>
                <w:color w:val="auto"/>
              </w:rPr>
            </w:pPr>
          </w:p>
        </w:tc>
        <w:tc>
          <w:tcPr>
            <w:tcW w:w="2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Rate-lock mortgage loan</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8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(746)</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8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Non-interest expense -</w:t>
            </w:r>
          </w:p>
        </w:tc>
        <w:tc>
          <w:tcPr>
            <w:tcW w:w="2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7"/>
                <w:szCs w:val="17"/>
                <w:color w:val="auto"/>
              </w:rPr>
              <w:t>March 31, 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2023</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March 31, 2024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March 31, 2024. The non-employee director stock purchase plan permits the issuance of additional share based payments for up to 0.1 million shares of common stock as of March 31, 2024.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17"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7"/>
          <w:szCs w:val="17"/>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8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71,346</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1"/>
        </w:trPr>
        <w:tc>
          <w:tcPr>
            <w:tcW w:w="90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c>
          <w:tcPr>
            <w:tcW w:w="1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18,790</w:t>
            </w:r>
          </w:p>
        </w:tc>
      </w:tr>
      <w:tr>
        <w:trPr>
          <w:trHeight w:val="20"/>
        </w:trPr>
        <w:tc>
          <w:tcPr>
            <w:tcW w:w="8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fair value of our common stock and vest immediately. During the three month periods ended March 31, 2024 and 2023 we issued 0.002 million and 0.004 million shares, respectively and expensed their value during those same periods.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$0.5 million during both three month periods ended March 31, 2024 and 2023, respectively. The corresponding tax benefit relating to this expense was $0.1 million during both three month periods ended March 31, 2024 and 2023, respectively. Total expense recognized for non-employee director share based payments was $0.07 million and $0.09 million during three month periods</w:t>
      </w:r>
    </w:p>
    <w:p>
      <w:pPr>
        <w:jc w:val="both"/>
        <w:spacing w:after="0" w:line="287" w:lineRule="auto"/>
        <w:rPr>
          <w:sz w:val="20"/>
          <w:szCs w:val="20"/>
          <w:color w:val="auto"/>
        </w:rPr>
      </w:pPr>
      <w:r>
        <w:rPr>
          <w:rFonts w:ascii="Times New Roman" w:cs="Times New Roman" w:eastAsia="Times New Roman" w:hAnsi="Times New Roman"/>
          <w:sz w:val="17"/>
          <w:szCs w:val="17"/>
          <w:color w:val="auto"/>
        </w:rPr>
        <w:t>ended March 31, 2024 and 2023, respectively. The corresponding tax benefit relating to this expense was $0.01 million and $0.02 million for three month periods ended March 31, 2024 and 2023, respectively.</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2024, the total expected compensation cost related to non-vested restricted stock and PSUs not yet recognized was $4.3 million. The weighted-average period over which this amount will be recognized is 2.3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March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18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1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4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43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1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4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094"/>
              <w:spacing w:after="0"/>
              <w:rPr>
                <w:sz w:val="20"/>
                <w:szCs w:val="20"/>
                <w:color w:val="auto"/>
              </w:rPr>
            </w:pPr>
            <w:r>
              <w:rPr>
                <w:rFonts w:ascii="Times New Roman" w:cs="Times New Roman" w:eastAsia="Times New Roman" w:hAnsi="Times New Roman"/>
                <w:sz w:val="17"/>
                <w:szCs w:val="17"/>
                <w:color w:val="auto"/>
              </w:rPr>
              <w:t>39</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6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Income Tax</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 expense was $3.8 million and $2.9 million during the three month periods ended March 31, 2024 and 2023,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month periods ending March 31, 2024 and 2023 include reductions of $0.11 million and $0.04 million, respectively, of income tax expense related to the impact of the excess value of stock awards that vested and stock options that were exercised as compared to the initial fair values that were expensed.</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2024, March 31, 2023 and December 31, 2023 that the realization of substantially all of our deferred tax assets continues to be more likely than not.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March 31, 2024 and December 31, 2023, we had approximately $0.2 million, respectively, of gross unrecognized tax benefits. We do not expect the total amount of unrecognized tax benefits to significantly increase or decrease during the remainder of 2024.</w:t>
      </w:r>
    </w:p>
    <w:p>
      <w:pPr>
        <w:spacing w:after="0" w:line="125"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2024, the Bank had positive undivided profits of $187.3 million. It is not our intent to have dividends paid in amounts that would reduce the capital of our Bank to levels below those which we consider prudent or that would not be in accordance with guidelines of regulatory authorities.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2024 and December 31, 2023,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582,411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336,359</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529,972</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336,015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420,019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489,747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252,269</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477,361</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252,011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336,015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451,226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189,202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477,361</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189,008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273,012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489,747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210,943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477,361</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210,909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263,636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573,972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335,014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521,374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418,341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251,260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251,005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443,065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188,445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188,254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271,922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213,227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213,180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266,475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3160" w:firstLine="20"/>
        <w:spacing w:after="0" w:line="413" w:lineRule="auto"/>
        <w:tabs>
          <w:tab w:leader="none" w:pos="58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March 31, 2024 and December 31, 2023.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auto"/>
              </w:rPr>
              <w:t>Consolidated</w:t>
            </w:r>
          </w:p>
        </w:tc>
        <w:tc>
          <w:tcPr>
            <w:tcW w:w="260" w:type="dxa"/>
            <w:vAlign w:val="bottom"/>
          </w:tcPr>
          <w:p>
            <w:pPr>
              <w:spacing w:after="0"/>
              <w:rPr>
                <w:sz w:val="24"/>
                <w:szCs w:val="24"/>
                <w:color w:val="auto"/>
              </w:rPr>
            </w:pPr>
          </w:p>
        </w:tc>
        <w:tc>
          <w:tcPr>
            <w:tcW w:w="280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6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430,407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Accumulated other comprehensive (income) loss for regulatory</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purposes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CECL (1)</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443,065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477,361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489,747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481,569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477,361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2"/>
        </w:trPr>
        <w:tc>
          <w:tcPr>
            <w:tcW w:w="5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52,403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52,611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52,351</w:t>
            </w:r>
          </w:p>
        </w:tc>
      </w:tr>
      <w:tr>
        <w:trPr>
          <w:trHeight w:val="23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573,972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529,972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580" w:hanging="560"/>
        <w:spacing w:after="0"/>
        <w:tabs>
          <w:tab w:leader="none" w:pos="5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elected the three year CECL transition method for regulatory purposes.</w:t>
      </w:r>
    </w:p>
    <w:p>
      <w:pPr>
        <w:spacing w:after="0" w:line="281"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9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3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5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66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380" w:type="dxa"/>
            <w:vAlign w:val="bottom"/>
          </w:tcPr>
          <w:p>
            <w:pPr>
              <w:spacing w:after="0"/>
              <w:rPr>
                <w:sz w:val="14"/>
                <w:szCs w:val="14"/>
                <w:color w:val="auto"/>
              </w:rPr>
            </w:pPr>
          </w:p>
        </w:tc>
        <w:tc>
          <w:tcPr>
            <w:tcW w:w="1160" w:type="dxa"/>
            <w:vAlign w:val="bottom"/>
          </w:tcPr>
          <w:p>
            <w:pPr>
              <w:jc w:val="center"/>
              <w:ind w:right="23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5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66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Other</w:t>
            </w:r>
          </w:p>
        </w:tc>
        <w:tc>
          <w:tcPr>
            <w:tcW w:w="380" w:type="dxa"/>
            <w:vAlign w:val="bottom"/>
          </w:tcPr>
          <w:p>
            <w:pPr>
              <w:spacing w:after="0"/>
              <w:rPr>
                <w:sz w:val="14"/>
                <w:szCs w:val="14"/>
                <w:color w:val="auto"/>
              </w:rPr>
            </w:pPr>
          </w:p>
        </w:tc>
        <w:tc>
          <w:tcPr>
            <w:tcW w:w="1160" w:type="dxa"/>
            <w:vAlign w:val="bottom"/>
          </w:tcPr>
          <w:p>
            <w:pPr>
              <w:jc w:val="center"/>
              <w:ind w:right="2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254"/>
              <w:spacing w:after="0" w:line="181" w:lineRule="exact"/>
              <w:rPr>
                <w:sz w:val="20"/>
                <w:szCs w:val="20"/>
                <w:color w:val="auto"/>
              </w:rPr>
            </w:pPr>
            <w:r>
              <w:rPr>
                <w:rFonts w:ascii="Times New Roman" w:cs="Times New Roman" w:eastAsia="Times New Roman" w:hAnsi="Times New Roman"/>
                <w:sz w:val="17"/>
                <w:szCs w:val="17"/>
                <w:color w:val="auto"/>
                <w:w w:val="99"/>
              </w:rPr>
              <w:t>Fair Value</w:t>
            </w:r>
          </w:p>
        </w:tc>
        <w:tc>
          <w:tcPr>
            <w:tcW w:w="1140" w:type="dxa"/>
            <w:vAlign w:val="bottom"/>
          </w:tcPr>
          <w:p>
            <w:pPr>
              <w:jc w:val="center"/>
              <w:ind w:left="25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660" w:type="dxa"/>
            <w:vAlign w:val="bottom"/>
          </w:tcPr>
          <w:p>
            <w:pPr>
              <w:spacing w:after="0"/>
              <w:rPr>
                <w:sz w:val="15"/>
                <w:szCs w:val="15"/>
                <w:color w:val="auto"/>
              </w:rPr>
            </w:pPr>
          </w:p>
        </w:tc>
        <w:tc>
          <w:tcPr>
            <w:tcW w:w="128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380" w:type="dxa"/>
            <w:vAlign w:val="bottom"/>
          </w:tcPr>
          <w:p>
            <w:pPr>
              <w:spacing w:after="0"/>
              <w:rPr>
                <w:sz w:val="15"/>
                <w:szCs w:val="15"/>
                <w:color w:val="auto"/>
              </w:rPr>
            </w:pPr>
          </w:p>
        </w:tc>
        <w:tc>
          <w:tcPr>
            <w:tcW w:w="1160" w:type="dxa"/>
            <w:vAlign w:val="bottom"/>
          </w:tcPr>
          <w:p>
            <w:pPr>
              <w:jc w:val="center"/>
              <w:ind w:right="2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40" w:type="dxa"/>
            <w:vAlign w:val="bottom"/>
          </w:tcPr>
          <w:p>
            <w:pPr>
              <w:jc w:val="center"/>
              <w:ind w:left="25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6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380" w:type="dxa"/>
            <w:vAlign w:val="bottom"/>
          </w:tcPr>
          <w:p>
            <w:pPr>
              <w:spacing w:after="0"/>
              <w:rPr>
                <w:sz w:val="14"/>
                <w:szCs w:val="14"/>
                <w:color w:val="auto"/>
              </w:rPr>
            </w:pPr>
          </w:p>
        </w:tc>
        <w:tc>
          <w:tcPr>
            <w:tcW w:w="1160" w:type="dxa"/>
            <w:vAlign w:val="bottom"/>
          </w:tcPr>
          <w:p>
            <w:pPr>
              <w:jc w:val="center"/>
              <w:ind w:right="23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color w:val="auto"/>
              </w:rPr>
              <w:t>ments</w:t>
            </w:r>
          </w:p>
        </w:tc>
        <w:tc>
          <w:tcPr>
            <w:tcW w:w="114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7"/>
                <w:szCs w:val="17"/>
                <w:color w:val="auto"/>
              </w:rPr>
              <w:t>(Level 1)</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8,925</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8,925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78,495</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78,495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12,055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12,055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84,770</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84,770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64,833</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64,833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293,216</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293,216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70,383</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70,383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943</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943</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8,935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8,935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43,577</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41,290</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41,290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19,344</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19,344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5,035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441</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85</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155</w:t>
            </w:r>
          </w:p>
        </w:tc>
        <w:tc>
          <w:tcPr>
            <w:tcW w:w="1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loss allocations based on collateral value.</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9,507</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9,507</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81,217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81,217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12,297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12,297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86,469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86,469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112,931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112,931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302,737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302,737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73,250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73,250</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12,063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12,063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42,243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the lower of cost or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551</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732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impaired loans with specific loss allocations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Changes in Fair Values for the Three</w:t>
      </w:r>
    </w:p>
    <w:p>
      <w:pPr>
        <w:jc w:val="center"/>
        <w:ind w:left="6600"/>
        <w:spacing w:after="0" w:line="205" w:lineRule="auto"/>
        <w:rPr>
          <w:sz w:val="20"/>
          <w:szCs w:val="20"/>
          <w:color w:val="auto"/>
        </w:rPr>
      </w:pPr>
      <w:r>
        <w:rPr>
          <w:rFonts w:ascii="Times New Roman" w:cs="Times New Roman" w:eastAsia="Times New Roman" w:hAnsi="Times New Roman"/>
          <w:sz w:val="17"/>
          <w:szCs w:val="17"/>
          <w:color w:val="auto"/>
        </w:rPr>
        <w:t>Month Periods Ended March 31 for</w:t>
      </w:r>
    </w:p>
    <w:p>
      <w:pPr>
        <w:jc w:val="center"/>
        <w:ind w:left="6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7"/>
                <w:szCs w:val="17"/>
                <w:color w:val="auto"/>
                <w:w w:val="99"/>
              </w:rPr>
              <w:t>Net Gains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506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(1,496)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3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month periods ended March 31, 2024 and 2023 relating to assets measured at fair value on a non-recurring basis:</w:t>
      </w:r>
    </w:p>
    <w:p>
      <w:pPr>
        <w:spacing w:after="0" w:line="1" w:lineRule="exact"/>
        <w:rPr>
          <w:sz w:val="20"/>
          <w:szCs w:val="20"/>
          <w:color w:val="auto"/>
        </w:rPr>
      </w:pPr>
    </w:p>
    <w:p>
      <w:pPr>
        <w:jc w:val="both"/>
        <w:ind w:left="620" w:hanging="307"/>
        <w:spacing w:after="0" w:line="25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$6.0 million, which is net of a valuation allowance of $2.3 million at March 31, 2024, and had a carrying amount of $2.0 million, which is net of a valuation allowance of $1.3 million at December 31, 2023. The provision for credit losses included in our results of operations relating to collateral dependent loans was a net expense of $1.6 million and $0.3 million for the three month periods ending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2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7"/>
          <w:szCs w:val="17"/>
          <w:color w:val="auto"/>
        </w:rPr>
        <w:t>Capitalized Mortgage Loan Servicing</w:t>
      </w:r>
    </w:p>
    <w:p>
      <w:pPr>
        <w:jc w:val="center"/>
        <w:ind w:left="7920"/>
        <w:spacing w:after="0"/>
        <w:rPr>
          <w:sz w:val="20"/>
          <w:szCs w:val="20"/>
          <w:color w:val="auto"/>
        </w:rPr>
      </w:pPr>
      <w:r>
        <w:rPr>
          <w:rFonts w:ascii="Times New Roman" w:cs="Times New Roman" w:eastAsia="Times New Roman" w:hAnsi="Times New Roman"/>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13970</wp:posOffset>
            </wp:positionV>
            <wp:extent cx="19399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7920"/>
        <w:spacing w:after="0"/>
        <w:rPr>
          <w:sz w:val="20"/>
          <w:szCs w:val="20"/>
          <w:color w:val="auto"/>
        </w:rPr>
      </w:pPr>
      <w:r>
        <w:rPr>
          <w:rFonts w:ascii="Times New Roman" w:cs="Times New Roman" w:eastAsia="Times New Roman" w:hAnsi="Times New Roman"/>
          <w:sz w:val="17"/>
          <w:szCs w:val="17"/>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c>
          <w:tcPr>
            <w:tcW w:w="0" w:type="dxa"/>
            <w:vAlign w:val="bottom"/>
          </w:tcPr>
          <w:p>
            <w:pPr>
              <w:spacing w:after="0"/>
              <w:rPr>
                <w:sz w:val="1"/>
                <w:szCs w:val="1"/>
                <w:color w:val="auto"/>
              </w:rPr>
            </w:pPr>
          </w:p>
        </w:tc>
      </w:tr>
      <w:tr>
        <w:trPr>
          <w:trHeight w:val="219"/>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19"/>
        </w:trPr>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19"/>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 attributable to the change in unrealized gains</w:t>
            </w:r>
          </w:p>
        </w:tc>
        <w:tc>
          <w:tcPr>
            <w:tcW w:w="920" w:type="dxa"/>
            <w:vAlign w:val="bottom"/>
            <w:vMerge w:val="restart"/>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26"/>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(losses) relating to assets and liabilities still held at March 31</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sectPr>
      </w:pPr>
    </w:p>
    <w:p>
      <w:pPr>
        <w:spacing w:after="0" w:line="1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Asset</w:t>
      </w:r>
    </w:p>
    <w:p>
      <w:pPr>
        <w:ind w:left="270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34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5715</wp:posOffset>
            </wp:positionV>
            <wp:extent cx="925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jc w:val="center"/>
        <w:ind w:left="234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Unobservable</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Weighted</w:t>
            </w:r>
          </w:p>
        </w:tc>
      </w:tr>
      <w:tr>
        <w:trPr>
          <w:trHeight w:val="232"/>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c>
          <w:tcPr>
            <w:tcW w:w="100" w:type="dxa"/>
            <w:vAlign w:val="bottom"/>
          </w:tcPr>
          <w:p>
            <w:pPr>
              <w:spacing w:after="0"/>
              <w:rPr>
                <w:sz w:val="20"/>
                <w:szCs w:val="20"/>
                <w:color w:val="auto"/>
              </w:rPr>
            </w:pPr>
          </w:p>
        </w:tc>
        <w:tc>
          <w:tcPr>
            <w:tcW w:w="1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Range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Average</w:t>
            </w:r>
          </w:p>
        </w:tc>
      </w:tr>
    </w:tbl>
    <w:p>
      <w:pPr>
        <w:spacing w:after="0" w:line="219" w:lineRule="exact"/>
        <w:rPr>
          <w:sz w:val="20"/>
          <w:szCs w:val="20"/>
          <w:color w:val="auto"/>
        </w:rPr>
      </w:pPr>
    </w:p>
    <w:p>
      <w:pPr>
        <w:sectPr>
          <w:pgSz w:w="11900" w:h="16838" w:orient="portrait"/>
          <w:cols w:equalWidth="0" w:num="2">
            <w:col w:w="3320" w:space="340"/>
            <w:col w:w="758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March 31, 2024</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43,577</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 to 16.32%</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10.30 %</w:t>
            </w:r>
          </w:p>
        </w:tc>
      </w:tr>
      <w:tr>
        <w:trPr>
          <w:trHeight w:val="219"/>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to $317</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78</w:t>
            </w:r>
          </w:p>
        </w:tc>
      </w:tr>
      <w:tr>
        <w:trPr>
          <w:trHeight w:val="219"/>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4.27 %</w:t>
            </w: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 to 27.27%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8.46 %</w:t>
            </w:r>
          </w:p>
        </w:tc>
      </w:tr>
    </w:tbl>
    <w:p>
      <w:pPr>
        <w:spacing w:after="0" w:line="1"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42,243</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10.25 %</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$442</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3.82 %</w:t>
            </w: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r>
    </w:tbl>
    <w:p>
      <w:pPr>
        <w:spacing w:after="0" w:line="200"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31, 2024</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Commercial(1)</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-2201545</wp:posOffset>
            </wp:positionV>
            <wp:extent cx="7138670" cy="556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-1350645</wp:posOffset>
            </wp:positionV>
            <wp:extent cx="6254115" cy="294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54115"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-892175</wp:posOffset>
            </wp:positionV>
            <wp:extent cx="7138670" cy="155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-581025</wp:posOffset>
            </wp:positionV>
            <wp:extent cx="7138670" cy="294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120"/>
        <w:spacing w:after="0"/>
        <w:tabs>
          <w:tab w:leader="none" w:pos="16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22860</wp:posOffset>
            </wp:positionV>
            <wp:extent cx="20059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 to 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29.9 %</w:t>
            </w:r>
          </w:p>
        </w:tc>
      </w:tr>
      <w:tr>
        <w:trPr>
          <w:trHeight w:val="464"/>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(18.0)% to 43.0%</w:t>
            </w:r>
          </w:p>
        </w:tc>
        <w:tc>
          <w:tcPr>
            <w:tcW w:w="80" w:type="dxa"/>
            <w:vAlign w:val="bottom"/>
            <w:shd w:val="clear" w:color="auto" w:fill="CCEEFF"/>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477"/>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to 33.3</w:t>
            </w: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(5.0)% to 6.0%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464"/>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(4.1) to 10.5</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r>
    </w:tbl>
    <w:p>
      <w:pPr>
        <w:spacing w:after="0" w:line="200" w:lineRule="exact"/>
        <w:rPr>
          <w:sz w:val="20"/>
          <w:szCs w:val="20"/>
          <w:color w:val="auto"/>
        </w:rPr>
      </w:pPr>
    </w:p>
    <w:p>
      <w:pPr>
        <w:sectPr>
          <w:pgSz w:w="11900" w:h="16838" w:orient="portrait"/>
          <w:cols w:equalWidth="0" w:num="2">
            <w:col w:w="8000" w:space="620"/>
            <w:col w:w="26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 million of this amount primarily relates to one collateral dependent relationship credit. Collateral securing this relationship primarily included accounts receivable, inventory and machinery and equipment at March 31, 2024. Valuation techniques at March 31, 2024 included discounting financial statement values for accounts receivable and inventory and appraised values for machinery and equipment.</w:t>
      </w:r>
    </w:p>
    <w:p>
      <w:pPr>
        <w:spacing w:after="0" w:line="10" w:lineRule="exact"/>
        <w:rPr>
          <w:rFonts w:ascii="Times New Roman" w:cs="Times New Roman" w:eastAsia="Times New Roman" w:hAnsi="Times New Roman"/>
          <w:sz w:val="17"/>
          <w:szCs w:val="17"/>
          <w:color w:val="auto"/>
        </w:rPr>
      </w:pPr>
    </w:p>
    <w:p>
      <w:pPr>
        <w:jc w:val="both"/>
        <w:ind w:left="580" w:right="20" w:hanging="560"/>
        <w:spacing w:after="0" w:line="270" w:lineRule="auto"/>
        <w:tabs>
          <w:tab w:leader="none" w:pos="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March 31, 2024 and December 31, 2023 certain collateral dependent installment loans totaling approximately $0.27 million and $0.45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2024</w:t>
            </w:r>
          </w:p>
        </w:tc>
        <w:tc>
          <w:tcPr>
            <w:tcW w:w="3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8,967</w:t>
            </w:r>
          </w:p>
        </w:tc>
      </w:tr>
      <w:tr>
        <w:trPr>
          <w:trHeight w:val="232"/>
        </w:trPr>
        <w:tc>
          <w:tcPr>
            <w:tcW w:w="3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12,063</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12,124</w:t>
            </w:r>
          </w:p>
        </w:tc>
      </w:tr>
      <w:tr>
        <w:trPr>
          <w:trHeight w:val="877"/>
        </w:trPr>
        <w:tc>
          <w:tcPr>
            <w:tcW w:w="3600" w:type="dxa"/>
            <w:vAlign w:val="bottom"/>
          </w:tcPr>
          <w:p>
            <w:pPr>
              <w:spacing w:after="0"/>
              <w:rPr>
                <w:sz w:val="24"/>
                <w:szCs w:val="24"/>
                <w:color w:val="auto"/>
              </w:rPr>
            </w:pPr>
          </w:p>
        </w:tc>
        <w:tc>
          <w:tcPr>
            <w:tcW w:w="30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color w:val="auto"/>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41,646</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120,198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120,198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120,198</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613,620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613,620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613,620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349,957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311,013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311,013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16,821</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3,792,587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3,542,984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8,935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3,534,049</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18,774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18,774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191</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5,541</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13,042</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41,290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41,290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41,290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3,751,701</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3,751,701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3,751,701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830,713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826,829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826,829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49,977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49,889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49,889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39,529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38,994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38,994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39,745</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39,643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39,643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6,501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6,501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479</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6,022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19,344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19,344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19,344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68,208</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68,208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68,208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101,573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101,573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101,573</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679,350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679,350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679,350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353,988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318,606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318,606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16,821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3,748,306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3,453,790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12,063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3,441,727</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19,044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19,044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6,486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38,683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3,704,808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3,704,808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918,071</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914,404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914,404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50,026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49,831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49,831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39,510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40,352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40,352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39,728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38,103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38,103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6,534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6,534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6,052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21,835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80" w:right="20" w:hanging="560"/>
        <w:spacing w:after="0" w:line="180" w:lineRule="auto"/>
        <w:tabs>
          <w:tab w:leader="none" w:pos="580" w:val="left"/>
        </w:tabs>
        <w:numPr>
          <w:ilvl w:val="0"/>
          <w:numId w:val="2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2"/>
          <w:szCs w:val="12"/>
          <w:color w:val="auto"/>
        </w:rPr>
        <w:t>Deposits with no stated maturity include reciprocal deposits with a recorded book balance of $781.645 million and $723.014 million at March 31, 2024 and December 31, 2023, respectively. Deposits with a stated maturity include reciprocal deposits with a recorded book balance of $111.998 million and $109.006 million at March 31, 2024 and December 31, 2023,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 rates, foreign currency exchange rate fluctuations, recent adverse weather conditions, escalating tensions in the Middle East, the continuation of the Russia-Ukraine war, and potential governmental responses to these events, continue to create significant economic uncertainty.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own 12,566 shares of Visa Inc. Class B-1 common stock. At the present time, these shares can only be sold to other Class B shareholders. As a result, there has generally been limited transfer activity in private transactions between buyers and sellers. However, on April 8, 2024, Visa commenced an offer to exchange up to all of its outstanding shares of Class B-1 common stock for Class B-2 common shares and Class C common shares. If the exchange offer is completed, it is expected to result in some degree of liquidity for holders of Class B-1 common shares; however, the exchange offer will not result in complete or immediate liquidity for all of our Class B-1 shares. The Class C shares (which automatically convert to A shares upon a transfer to anyone other than a Visa member or an affiliate of a Visa member) will have temporary transfer restrictions that would be expected to expire 90 days after the exchange offer is completed while the Class B-2 shares are expected to continue to have the same transfer restrictions as the current B-1 shares. Although we have tendered all of our Class B-1 shares in the exchange offer, there is no guarantee our shares will be accepted for exchange or that Visa will not decide to terminate the exchange offer. The exchange offer is currently scheduled to expire May 3, 2024, and subject to Visa’s right to terminate or extend the offer, is expected to close shortly after expiration.</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Because of the very limited liquidity for our Class B-1 common shares (prior to completion of the exchange offer) and uncertainty regarding the likelihood, ultimate timing and eventual exchange rate for Class B-1 shares into Class A shares, we continued to carry these shares at zero, representing cost basis less impairment. However, given the current conversion ratio of 1.5875 Class A shares for every 1 Class B-1 share and the closing price of Visa Class A shares on April 25, 2024 of $275.16 per share, our 12,566 Class B-1 shares could have a current “value” of approximately $5.5 million. Given the expected liquidity of the Class C shares, if the exchange offer is completed, up to 50% of this value could be recognized in our Condensed Consolidated Financial Statements during 2024. As the Class B-2 shares would continue to have the same restrictions as the Class B-1 shares, the uncertainty regarding the likelihood, ultimate timing and eventual exchange rate for Class B-2 shares into Class A shares, we would expect to continue to carry these shares at zero, representing cost basis less impairment.</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right="6500" w:firstLine="3"/>
        <w:spacing w:after="0" w:line="498" w:lineRule="auto"/>
        <w:tabs>
          <w:tab w:leader="none" w:pos="3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Income (Loss) (“AOCIL”) </w:t>
      </w:r>
      <w:r>
        <w:rPr>
          <w:rFonts w:ascii="Times New Roman" w:cs="Times New Roman" w:eastAsia="Times New Roman" w:hAnsi="Times New Roman"/>
          <w:sz w:val="17"/>
          <w:szCs w:val="17"/>
          <w:color w:val="auto"/>
        </w:rPr>
        <w:t>A summary of changes in AOCIL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three months ended March 31,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(72,142)</w:t>
            </w:r>
          </w:p>
        </w:tc>
      </w:tr>
      <w:tr>
        <w:trPr>
          <w:trHeight w:val="203"/>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51"/>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AOCIL</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183"/>
        </w:trPr>
        <w:tc>
          <w:tcPr>
            <w:tcW w:w="4040" w:type="dxa"/>
            <w:vAlign w:val="bottom"/>
          </w:tcPr>
          <w:p>
            <w:pPr>
              <w:ind w:left="48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(71,629)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(92,763)</w:t>
            </w:r>
          </w:p>
        </w:tc>
      </w:tr>
      <w:tr>
        <w:trPr>
          <w:trHeight w:val="20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11,711</w:t>
            </w:r>
          </w:p>
        </w:tc>
      </w:tr>
      <w:tr>
        <w:trPr>
          <w:trHeight w:val="239"/>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AOCIL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189"/>
        </w:trPr>
        <w:tc>
          <w:tcPr>
            <w:tcW w:w="4040" w:type="dxa"/>
            <w:vAlign w:val="bottom"/>
            <w:tcBorders>
              <w:top w:val="single" w:sz="8" w:color="CCEEFF"/>
            </w:tcBorders>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11,952</w:t>
            </w: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(57,197)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(80,811)</w:t>
            </w: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AOCIL for the three months ended March 31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Condensed</w:t>
            </w:r>
          </w:p>
        </w:tc>
      </w:tr>
      <w:tr>
        <w:trPr>
          <w:trHeight w:val="242"/>
        </w:trPr>
        <w:tc>
          <w:tcPr>
            <w:tcW w:w="4860" w:type="dxa"/>
            <w:vAlign w:val="bottom"/>
            <w:gridSpan w:val="2"/>
          </w:tcPr>
          <w:p>
            <w:pPr>
              <w:ind w:left="1640"/>
              <w:spacing w:after="0"/>
              <w:rPr>
                <w:sz w:val="20"/>
                <w:szCs w:val="20"/>
                <w:color w:val="auto"/>
              </w:rPr>
            </w:pPr>
            <w:r>
              <w:rPr>
                <w:rFonts w:ascii="Times New Roman" w:cs="Times New Roman" w:eastAsia="Times New Roman" w:hAnsi="Times New Roman"/>
                <w:sz w:val="17"/>
                <w:szCs w:val="17"/>
                <w:color w:val="auto"/>
              </w:rPr>
              <w:t>AOCIL Component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AOCIL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(269)  Net gains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266  Interest income</w:t>
      </w:r>
    </w:p>
    <w:p>
      <w:pPr>
        <w:spacing w:after="0" w:line="4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56</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(423)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(222)  Net gains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100" w:hanging="1219"/>
        <w:spacing w:after="0"/>
        <w:tabs>
          <w:tab w:leader="none" w:pos="61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  Interest income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(241)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7"/>
        <w:spacing w:after="0"/>
        <w:tabs>
          <w:tab w:leader="none" w:pos="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89.0% and 86.5% of total revenues for the three month periods ending March 31, 2024 and 2023, respectively.</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monthly period and do not result in any contract asset or liability balance at any given period end. As a result, there were no contract assets or liabilities recorded as of March 31, 2024 and December 31, 2023.</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2024 and 2023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Disaggregation of our revenue sources by attribute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2024</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45"/>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2,872</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2023</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2,261</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51"/>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2,857</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March 31,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p>
      <w:pPr>
        <w:spacing w:after="0" w:line="230"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7"/>
          <w:szCs w:val="17"/>
          <w:color w:val="auto"/>
        </w:rPr>
        <w:t>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8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r>
      <w:tr>
        <w:trPr>
          <w:trHeight w:val="25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4"/>
        </w:trPr>
        <w:tc>
          <w:tcPr>
            <w:tcW w:w="8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9"/>
        </w:trPr>
        <w:tc>
          <w:tcPr>
            <w:tcW w:w="7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6,744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4,911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6,953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5,114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March 31, 2024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2024</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 and thereafter</w:t>
            </w:r>
          </w:p>
        </w:tc>
        <w:tc>
          <w:tcPr>
            <w:tcW w:w="5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9A9A9A"/>
            </w:tcBorders>
          </w:tcPr>
          <w:p>
            <w:pPr>
              <w:spacing w:after="0"/>
              <w:rPr>
                <w:sz w:val="9"/>
                <w:szCs w:val="9"/>
                <w:color w:val="auto"/>
              </w:rPr>
            </w:pPr>
          </w:p>
        </w:tc>
        <w:tc>
          <w:tcPr>
            <w:tcW w:w="5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Condensed Consolidated Financial Statements. We also encourage you to read our 2023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rates, foreign currency exchange rate fluctuations, recent adverse weather conditions, escalating tensions in the Middle East, the continuation of the Russia-Ukraine war, and potential governmental responses to these events,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first quarter of 2024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$16.0 million and $13.0 million during the three months ended March 31, 2024 and 2023, respectively.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first quarter results as compared to 2023 is due to increases in net interest income and non-interest income that were partially offset by increases in non-interest expense and income tax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5"/>
        </w:trPr>
        <w:tc>
          <w:tcPr>
            <w:tcW w:w="7820" w:type="dxa"/>
            <w:vAlign w:val="bottom"/>
          </w:tcPr>
          <w:p>
            <w:pPr>
              <w:spacing w:after="0"/>
              <w:rPr>
                <w:sz w:val="21"/>
                <w:szCs w:val="21"/>
                <w:color w:val="auto"/>
              </w:rPr>
            </w:pPr>
          </w:p>
        </w:tc>
        <w:tc>
          <w:tcPr>
            <w:tcW w:w="3300" w:type="dxa"/>
            <w:vAlign w:val="bottom"/>
            <w:gridSpan w:val="5"/>
          </w:tcPr>
          <w:p>
            <w:pPr>
              <w:jc w:val="right"/>
              <w:ind w:right="4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37"/>
        </w:trPr>
        <w:tc>
          <w:tcPr>
            <w:tcW w:w="78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r>
      <w:tr>
        <w:trPr>
          <w:trHeight w:val="239"/>
        </w:trPr>
        <w:tc>
          <w:tcPr>
            <w:tcW w:w="7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14.77 %</w:t>
            </w:r>
          </w:p>
        </w:tc>
      </w:tr>
      <w:tr>
        <w:trPr>
          <w:trHeight w:val="264"/>
        </w:trPr>
        <w:tc>
          <w:tcPr>
            <w:tcW w:w="78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0.62</w:t>
            </w:r>
          </w:p>
        </w:tc>
      </w:tr>
      <w:tr>
        <w:trPr>
          <w:trHeight w:val="232"/>
        </w:trPr>
        <w:tc>
          <w:tcPr>
            <w:tcW w:w="7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tcPr>
          <w:p>
            <w:pPr>
              <w:spacing w:after="0"/>
              <w:rPr>
                <w:sz w:val="20"/>
                <w:szCs w:val="20"/>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$40.2 million during the first quarter of 2024, an increase of $1.8 million, or 4.6% from the year-ago period. This increase primarily reflects a $213.9 million increase in average interest-earning assets that was partially offset by a two basis point decrease in our tax equivalent net interest income as a percent of average interest-earning assets (the “net interest margin”).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2024 as compared to 2023 primarily reflects growth in commercial and mortgage loans funded from an increase in deposits.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two basis point decrease in our net interest margin during the first quarter of 2024 is attributed to a 70 basis point increase in interest expense as a percent of average interest-earning assets which was partially offset by a 68 basis point increase in interest income as a percent of average interest-earning assets. These increases are primarily attributed to the 100 basis point increase in the federal funds rate since January of 2023. Our net interest margin has been negatively impacted by changes in funding mix (such as shifting from non-interest bearing deposits to interest-bearing deposits and an increase in time deposits) as well as higher deposit pricing sensitivity to the increases in interest rates discussed above. This change in funding mix and pricing is expected to continue to have an impact on our net interest margin during 2024. See Asset/liability management.</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first quarter of 2024, non-accrual loans averaged $3.9 million. In the first quarter of 2023, non-accrual loans averaged $4.0 million. In addition, in the first quarter of 2024 we had net recoveries of $0.3 million of unpaid interest on loans placed on or taken off non-accrual or on loans previously charged-off compared to net recoveries of $0.1 million during the same period in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3,801,985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54,955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5.80 %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3,487,539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5.12 %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680,133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822,572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17,653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65,306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5,201,452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2,633,519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2.04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2,535,045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8,857</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864,672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9,443</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6.59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112,137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3,627,446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24,929</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3,304,868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1,063,454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1,224,375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4,988,440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38,729</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3.32 %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60"/>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50"/>
        </w:trPr>
        <w:tc>
          <w:tcPr>
            <w:tcW w:w="38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r>
      <w:tr>
        <w:trPr>
          <w:trHeight w:val="232"/>
        </w:trPr>
        <w:tc>
          <w:tcPr>
            <w:tcW w:w="3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45"/>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8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5"/>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40,197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38,441</w:t>
            </w:r>
          </w:p>
        </w:tc>
      </w:tr>
      <w:tr>
        <w:trPr>
          <w:trHeight w:val="251"/>
        </w:trPr>
        <w:tc>
          <w:tcPr>
            <w:tcW w:w="7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288</w:t>
            </w:r>
          </w:p>
        </w:tc>
      </w:tr>
      <w:tr>
        <w:trPr>
          <w:trHeight w:val="27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40,377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38,729</w:t>
            </w:r>
          </w:p>
        </w:tc>
      </w:tr>
      <w:tr>
        <w:trPr>
          <w:trHeight w:val="20"/>
        </w:trPr>
        <w:tc>
          <w:tcPr>
            <w:tcW w:w="78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2"/>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(FTE) (1)</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$0.7 million and an expense of $2.2 million for the three months ended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 2023, respectively. The expense provision on loans of $1.87 million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on loans and their impact on the provision for credit losses on loans in 2024. The increase in the provision for credit losses on loans from the prior year quarter to date period is primarily due to an increase in specific reserves on one commercial credit and changes in retail loan prepayment speeds. The credit provision on securities HTM of $1.13 million reflects the recovery of a previously charged off corporate security during the first quarter. (See "Securities.")</w:t>
      </w:r>
    </w:p>
    <w:p>
      <w:pPr>
        <w:spacing w:after="0" w:line="13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$12.6 million during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2024 compared to $10.6 million in the first quarter of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4"/>
        </w:trPr>
        <w:tc>
          <w:tcPr>
            <w:tcW w:w="8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3"/>
        </w:trPr>
        <w:tc>
          <w:tcPr>
            <w:tcW w:w="8040" w:type="dxa"/>
            <w:vAlign w:val="bottom"/>
          </w:tcPr>
          <w:p>
            <w:pPr>
              <w:spacing w:after="0"/>
              <w:rPr>
                <w:sz w:val="24"/>
                <w:szCs w:val="24"/>
                <w:color w:val="auto"/>
              </w:rPr>
            </w:pPr>
          </w:p>
        </w:tc>
        <w:tc>
          <w:tcPr>
            <w:tcW w:w="3060" w:type="dxa"/>
            <w:vAlign w:val="bottom"/>
            <w:gridSpan w:val="5"/>
          </w:tcPr>
          <w:p>
            <w:pPr>
              <w:jc w:val="right"/>
              <w:ind w:right="3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38"/>
        </w:trPr>
        <w:tc>
          <w:tcPr>
            <w:tcW w:w="80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8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r>
      <w:tr>
        <w:trPr>
          <w:trHeight w:val="23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2,857</w:t>
            </w: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assets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51"/>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3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3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r>
      <w:tr>
        <w:trPr>
          <w:trHeight w:val="232"/>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12,561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10,551</w:t>
            </w:r>
          </w:p>
        </w:tc>
      </w:tr>
      <w:tr>
        <w:trPr>
          <w:trHeight w:val="25"/>
        </w:trPr>
        <w:tc>
          <w:tcPr>
            <w:tcW w:w="8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960"/>
        </w:trPr>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7"/>
        </w:trPr>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3"/>
          </w:tcPr>
          <w:p>
            <w:pPr>
              <w:jc w:val="right"/>
              <w:ind w:right="4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64"/>
        </w:trPr>
        <w:tc>
          <w:tcPr>
            <w:tcW w:w="38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3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3"/>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51"/>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93,994</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113,021</w:t>
            </w:r>
          </w:p>
        </w:tc>
      </w:tr>
      <w:tr>
        <w:trPr>
          <w:trHeight w:val="23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320" w:type="dxa"/>
            <w:vAlign w:val="bottom"/>
          </w:tcPr>
          <w:p>
            <w:pPr>
              <w:spacing w:after="0"/>
              <w:rPr>
                <w:sz w:val="20"/>
                <w:szCs w:val="20"/>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80,818</w:t>
            </w:r>
          </w:p>
        </w:tc>
        <w:tc>
          <w:tcPr>
            <w:tcW w:w="42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106,846</w:t>
            </w:r>
          </w:p>
        </w:tc>
      </w:tr>
      <w:tr>
        <w:trPr>
          <w:trHeight w:val="251"/>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1,364</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1,256</w:t>
            </w:r>
          </w:p>
        </w:tc>
      </w:tr>
      <w:tr>
        <w:trPr>
          <w:trHeight w:val="25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 Margin")</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1.18 %</w:t>
            </w:r>
          </w:p>
        </w:tc>
      </w:tr>
      <w:tr>
        <w:trPr>
          <w:trHeight w:val="26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0.44</w:t>
            </w: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Mortgage loan sales in 2024 and 2023 include $6.76 million and $41.24 million, respectively of portfolio loan transactions done for interest rate risk purposes.</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Mortgage loans originated decreased in 2024 as compared to 2023 due primarily to higher mortgage loan interest rates in 2024 reduceing this activity. Mortgage loans sold decreased in 2024 as compared to 2023 due to lower portfolio loan sales.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$1.4 million and $1.3 million during the first quarters of 2024 and 2023, respectively. The increase from the prior year quarter was primarily due to a increase in the loan sale margin that was partially offset by lower volume of mortgage loans sold.</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$0.3 million and a net loss $0.2 million on securities AFS for the first three months of 2024 and 2023, respectively. We recorded no credit related charges in either 2024 or 2023 on securities AFS. See “Securities” below and note #3 to the Condensed Consolidated Financial Statements.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Mortgage loan servicing, net, generated income of $2.7 million and $0.7 million in the first quarters of 2024 and 2023, respectively. The significant variance in mortgage loan servicing, net is primarily due to changes in the fair value of capitalized mortgage loan servicing rights associated with changes in interest rates and the associated expected future prepayment levels and expected float rates.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74"/>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8"/>
        </w:trPr>
        <w:tc>
          <w:tcPr>
            <w:tcW w:w="7860" w:type="dxa"/>
            <w:vAlign w:val="bottom"/>
          </w:tcPr>
          <w:p>
            <w:pPr>
              <w:spacing w:after="0"/>
              <w:rPr>
                <w:sz w:val="24"/>
                <w:szCs w:val="24"/>
                <w:color w:val="auto"/>
              </w:rPr>
            </w:pPr>
          </w:p>
        </w:tc>
        <w:tc>
          <w:tcPr>
            <w:tcW w:w="3040" w:type="dxa"/>
            <w:vAlign w:val="bottom"/>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63"/>
        </w:trPr>
        <w:tc>
          <w:tcPr>
            <w:tcW w:w="78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0"/>
                <w:szCs w:val="20"/>
                <w:color w:val="auto"/>
              </w:rPr>
            </w:pPr>
          </w:p>
        </w:tc>
      </w:tr>
      <w:tr>
        <w:trPr>
          <w:trHeight w:val="251"/>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w:t>
            </w:r>
          </w:p>
        </w:tc>
      </w:tr>
      <w:tr>
        <w:trPr>
          <w:trHeight w:val="239"/>
        </w:trPr>
        <w:tc>
          <w:tcPr>
            <w:tcW w:w="7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4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44"/>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0"/>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7"/>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20" w:type="dxa"/>
            <w:vAlign w:val="bottom"/>
            <w:gridSpan w:val="5"/>
          </w:tcPr>
          <w:p>
            <w:pPr>
              <w:jc w:val="right"/>
              <w:ind w:right="4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64"/>
        </w:trPr>
        <w:tc>
          <w:tcPr>
            <w:tcW w:w="38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38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40" w:type="dxa"/>
            <w:vAlign w:val="bottom"/>
          </w:tcPr>
          <w:p>
            <w:pPr>
              <w:spacing w:after="0"/>
              <w:rPr>
                <w:sz w:val="20"/>
                <w:szCs w:val="20"/>
                <w:color w:val="auto"/>
              </w:rPr>
            </w:pPr>
          </w:p>
        </w:tc>
      </w:tr>
      <w:tr>
        <w:trPr>
          <w:trHeight w:val="251"/>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r>
      <w:tr>
        <w:trPr>
          <w:trHeight w:val="239"/>
        </w:trPr>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51"/>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r>
      <w:tr>
        <w:trPr>
          <w:trHeight w:val="23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41,923</w:t>
            </w:r>
          </w:p>
        </w:tc>
      </w:tr>
      <w:tr>
        <w:trPr>
          <w:trHeight w:val="25"/>
        </w:trPr>
        <w:tc>
          <w:tcPr>
            <w:tcW w:w="3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March 31, 2024 we were servicing approximately $3.55 billion in mortgage loans for others on which servicing rights have been capitalized. This servicing portfolio had a weighted average coupon rate of 3.94% and a weighted average service fee of approximately 25.6 basis points. Capitalized mortgage loan servicing rights at March 31, 2024 totaled $43.6 million, representing approximately 122.8 basis points on the related amount of mortgage loans serviced for others.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Non-interest expense increased by $1.2 million to $32.2 million during the three-period ended March 31, 2024 compared to the same period in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3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60" w:type="dxa"/>
            <w:vAlign w:val="bottom"/>
            <w:gridSpan w:val="6"/>
          </w:tcPr>
          <w:p>
            <w:pPr>
              <w:ind w:left="4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434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13,277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34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20,770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Correspondent bank service fees</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loss reimbursement on sold loans</w:t>
            </w:r>
          </w:p>
        </w:tc>
        <w:tc>
          <w:tcPr>
            <w:tcW w:w="3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on other real estate and repossessed assets</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related to unfunded lending commitments</w:t>
            </w:r>
          </w:p>
        </w:tc>
        <w:tc>
          <w:tcPr>
            <w:tcW w:w="3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434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32,193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64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6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68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and employee benefits expenses, in total, increased $1.4 million on a quarterly comparative basis compared to the same period in 2023.</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expense was relatively unchanged in the first quarter of 2024 compared to the same period in 2023. Salary increases that were predominantly effective on January 1, 2024, were offset by a decrease in mortgage lending and other retail personnel.</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increased by $1.2 million in the first quarter of 2024, compared to the same period in 2023. The increase is primarily due to higher expected incentive compensation payout for salaried and hourly employees.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$0.3 million in the first quarter of 2024 compared to the same prior year period due in part to core data processor annual asset growth and CPI related cost increases as well as well as new solutions implemented during this time frame.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and professional decreased by $0.1 million in the first quarter of 2024 compared to the same prior year period due primarily to lower litigation related costs.</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Costs (recoveries) related to unfunded lending commitments decreased by $0.2 million in the first quarter of 2024 compared to the same prior year period due primarily to a decrease in lending commitment balances.</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$3.8 million in the first quarter of 2024. This compares to an income tax expense of $2.9 million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quarter of 2023. The changes in expense for the first three months of 2024 compared to the same period in 2023 is primarily due to changes in pretax income.</w:t>
      </w:r>
    </w:p>
    <w:p>
      <w:pPr>
        <w:spacing w:after="0" w:line="3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2024 and 2023 and at December 31, 2023,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decreased by $32.5 million during the first three months of 2024. Loans, excluding loans held for sale, were $3.84 billion at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compared to $3.79 billion at December 31, 2023. Commercial loans and mortgage loans each increased while installment loans decreased during the first three months of 2024. (See “Portfolio Loans and asset quality.”)</w:t>
      </w:r>
    </w:p>
    <w:p>
      <w:pPr>
        <w:spacing w:after="0" w:line="1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Deposits totaled $4.58 billion at March 31, 2024, a decrease of $40.5 million from December 31, 2023. The decrease in deposits from December 31, 2023, is due to scheduled maturities of brokered time deposits.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below under "Liquidity and capital resources"), we believe that we have the ability and intent to hold these securities until they mature, at which time we would receive full value for these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676,527</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515</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613,620</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464</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461"/>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94"/>
              <w:spacing w:after="0" w:line="177"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5"/>
                <w:szCs w:val="15"/>
                <w:color w:val="auto"/>
              </w:rPr>
            </w:pPr>
          </w:p>
        </w:tc>
        <w:tc>
          <w:tcPr>
            <w:tcW w:w="1100" w:type="dxa"/>
            <w:vAlign w:val="bottom"/>
          </w:tcPr>
          <w:p>
            <w:pPr>
              <w:jc w:val="center"/>
              <w:ind w:right="114"/>
              <w:spacing w:after="0" w:line="177"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18,683</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155</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368,795</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57,785</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311,013</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19,503</w:t>
            </w:r>
          </w:p>
        </w:tc>
        <w:tc>
          <w:tcPr>
            <w:tcW w:w="3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157</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373,648</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AFS was needed at March 31, 2024. The decrease in unrealized losses during the first three months of 2024 is primarily attributed to pay downs of security balances and par reversion. See note #3 to the Condensed Consolidated Financial Statements included within this report for further discussion.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See note #3 to the Condensed Consolidated Financial Statements included within this report for further discussion.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960"/>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of securities were as follows (See “Non-interest income.”):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87"/>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Sales of Securities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20" w:type="dxa"/>
            <w:vAlign w:val="bottom"/>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Borders>
              <w:bottom w:val="single" w:sz="8" w:color="auto"/>
            </w:tcBorders>
          </w:tcPr>
          <w:p>
            <w:pPr>
              <w:spacing w:after="0"/>
              <w:rPr>
                <w:sz w:val="21"/>
                <w:szCs w:val="21"/>
                <w:color w:val="auto"/>
              </w:rPr>
            </w:pP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(in thousands)</w:t>
            </w:r>
          </w:p>
        </w:tc>
        <w:tc>
          <w:tcPr>
            <w:tcW w:w="420" w:type="dxa"/>
            <w:vAlign w:val="bottom"/>
          </w:tcPr>
          <w:p>
            <w:pPr>
              <w:spacing w:after="0"/>
              <w:rPr>
                <w:sz w:val="18"/>
                <w:szCs w:val="18"/>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37,273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(losses)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0"/>
        </w:trPr>
        <w:tc>
          <w:tcPr>
            <w:tcW w:w="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and fixed rate jumbo mortgage loans as Portfolio Loans, while 15- and 30-year fixed-rate non-jumbo mortgage loans are generally sold to mitigate exposure to changes in interest rates. (See “Non-interest income.”) The retention of newly originated fixed rate jumbo mortgage loans has declined relative to the prior year as the growth in mortgage loans during the first three months of 2023 has primarily been attributed to the origination of adjustable-rate mortgage loans and advances on adjustable rate construction mortgage loans and home equity lines of credit. (See “Asset/liability management.”).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1,258,761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1,248,911</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241,715</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1,036,590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619,374</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496,722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0" w:type="dxa"/>
            <w:vAlign w:val="bottom"/>
          </w:tcPr>
          <w:p>
            <w:pPr>
              <w:spacing w:after="0"/>
              <w:rPr>
                <w:sz w:val="1"/>
                <w:szCs w:val="1"/>
                <w:color w:val="auto"/>
              </w:rPr>
            </w:pP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3,839,965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ind w:left="300" w:hanging="297"/>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60"/>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31,</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7"/>
        </w:trPr>
        <w:tc>
          <w:tcPr>
            <w:tcW w:w="3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6,991</w:t>
            </w:r>
          </w:p>
        </w:tc>
      </w:tr>
      <w:tr>
        <w:trPr>
          <w:trHeight w:val="21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432</w:t>
            </w:r>
          </w:p>
        </w:tc>
      </w:tr>
      <w:tr>
        <w:trPr>
          <w:trHeight w:val="212"/>
        </w:trPr>
        <w:tc>
          <w:tcPr>
            <w:tcW w:w="38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5,355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7,423</w:t>
            </w:r>
          </w:p>
        </w:tc>
      </w:tr>
      <w:tr>
        <w:trPr>
          <w:trHeight w:val="21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2,191</w:t>
            </w:r>
          </w:p>
        </w:tc>
      </w:tr>
      <w:tr>
        <w:trPr>
          <w:trHeight w:val="212"/>
        </w:trPr>
        <w:tc>
          <w:tcPr>
            <w:tcW w:w="380" w:type="dxa"/>
            <w:vAlign w:val="bottom"/>
            <w:shd w:val="clear" w:color="auto" w:fill="CCEEFF"/>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5,232</w:t>
            </w:r>
          </w:p>
        </w:tc>
      </w:tr>
      <w:tr>
        <w:trPr>
          <w:trHeight w:val="21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569</w:t>
            </w: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5,801</w:t>
            </w: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r>
      <w:tr>
        <w:trPr>
          <w:trHeight w:val="219"/>
        </w:trPr>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0.11</w:t>
            </w: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1526.10 %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1044.69 %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remained relatively stable as a percent of Portfolio Loans since year-end 2023, reflecting generally improving economic conditions and our ongoing collection efforts. Our collection and resolution efforts have generally resulted in a positive trend in non-performing loans.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$1.06 million and $0.57 million at March 31, 2024, and December 31, 2023,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25" w:lineRule="exact"/>
        <w:rPr>
          <w:sz w:val="20"/>
          <w:szCs w:val="20"/>
          <w:color w:val="auto"/>
        </w:rPr>
      </w:pPr>
    </w:p>
    <w:p>
      <w:pPr>
        <w:ind w:right="880"/>
        <w:spacing w:after="0" w:line="482" w:lineRule="auto"/>
        <w:rPr>
          <w:sz w:val="20"/>
          <w:szCs w:val="20"/>
          <w:color w:val="auto"/>
        </w:rPr>
      </w:pPr>
      <w:r>
        <w:rPr>
          <w:rFonts w:ascii="Times New Roman" w:cs="Times New Roman" w:eastAsia="Times New Roman" w:hAnsi="Times New Roman"/>
          <w:sz w:val="17"/>
          <w:szCs w:val="17"/>
          <w:color w:val="auto"/>
        </w:rPr>
        <w:t xml:space="preserve">The following tables reflect activity in our ACL on loans, securities and unfunded lending commitments as well as the allocation of our ACL on loans. </w:t>
      </w:r>
      <w:r>
        <w:rPr>
          <w:rFonts w:ascii="Times New Roman" w:cs="Times New Roman" w:eastAsia="Times New Roman" w:hAnsi="Times New Roman"/>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40" w:type="dxa"/>
            <w:vAlign w:val="bottom"/>
          </w:tcPr>
          <w:p>
            <w:pPr>
              <w:spacing w:after="0"/>
              <w:rPr>
                <w:sz w:val="19"/>
                <w:szCs w:val="19"/>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Commitments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loans charged (recovered) against the</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allowance to average Portfolio Loans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7"/>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40,944</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54,658</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$1.7 million to $56.3 million at March 31, 2024 from $54.7 million at December 31, 2023, and was equal to 1.47% and 1.44% of total Portfolio Loans at March 31, 2024, and December 31, 2023,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December 31, 2023, the ACL related to specific loans increased $1.0 million due primarily to one commercial loan addition in the first quarter of 2024. The ACL related to pooled analysis of loans and subjective factors increased $0.5 million and $0.2 million, respectively due primarily to loan growth.</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$4.58 billion and $4.62 billion at March 31, 2024, and December 31, 2023, respectively. The decrease in deposits is primarily due to decreases in non-interest bearing and brokered time deposits that were partially offset by growth in savings and interest-bearing checking deposits, reciprocal deposits and time deposits. Reciprocal deposits totaled $893.6 million and $832.0 million at March 31, 2024 and December 31, 2023,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977,374</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961,974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20.91</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20.38</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973,791</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890,289</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20.5 %</w:t>
            </w:r>
          </w:p>
        </w:tc>
      </w:tr>
    </w:tbl>
    <w:p>
      <w:pPr>
        <w:spacing w:after="0" w:line="241" w:lineRule="exact"/>
        <w:rPr>
          <w:sz w:val="20"/>
          <w:szCs w:val="20"/>
          <w:color w:val="auto"/>
        </w:rPr>
      </w:pPr>
    </w:p>
    <w:p>
      <w:pPr>
        <w:ind w:firstLine="3"/>
        <w:spacing w:after="0" w:line="287" w:lineRule="auto"/>
        <w:tabs>
          <w:tab w:leader="none" w:pos="26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$51.3 million and $51.2 million respectively. Uninsured deposits reported in our Call Report at March 31, 2024 and December 31, 2023 totaled $1,028.7 million and $1,013.2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borrowings, comprised primarily of FRB and FHLB borrowings, totaled $50.0 million and $50.0 million at March 31, 2024, and December 31, 2023, respectively.</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March 31, 2024, our use of such wholesale funding sources (including reciprocal deposits) amounted to approximately $1.09 billion, or 23.6%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three months of 2024 and 2023, we entered into $29.5 million and $19.5 million (aggregate notional amounts), respectively, of interest rate swaps with commercial loan customers, which were offset with interest rate swaps that the Bank entered into with a broker-dealer. We recorded $0.3 million and $0.4 million of fee income related to these transactions during the first three months of 2024 and 2023, respectively. See note #6 to the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March 31, 2024, in addition to liquidity available from our normal operating, funding and investing activities we had unused credit lines with the FHLB and FRB of approximately $1.072 billion and $496.0 million, respectively. We also had approximately $811.3 million in fair value of unpledged securities AFS and HTM at March 31, 2024, which could be pledged for an estimated additional borrowing capacity at the FHLB and FRB of approximately $754.9 million.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March 31, 2024, we had $762.2 million of time deposits that mature in the next 12 months. Historically, a majority of these maturing time deposits are renewed by our customers. Additionally, $3.75 billion of our deposits at March 31, 2024, were in account types from which the customer could withdraw the funds on demand. Changes in the balances of deposits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$46.6 million as of March 31, 2024,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39,510</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12"/>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78,504</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317,483</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159,108</w:t>
            </w:r>
          </w:p>
        </w:tc>
      </w:tr>
      <w:tr>
        <w:trPr>
          <w:trHeight w:val="21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(72,142)</w:t>
            </w:r>
          </w:p>
        </w:tc>
      </w:tr>
      <w:tr>
        <w:trPr>
          <w:trHeight w:val="212"/>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415,570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r>
      <w:tr>
        <w:trPr>
          <w:trHeight w:val="212"/>
        </w:trPr>
        <w:tc>
          <w:tcPr>
            <w:tcW w:w="8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494,091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482,953</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March 31, 2024, balance of $39.5 million is net of remaining unamortized deferred issuance costs of approximately $0.5 million that are being amortized through the maturity date into interest expense on other borrowings and subordinated debt and debentures in our Condensed Consolidated Statements of Operations.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$39.7 million of outstanding cumulative trust preferred securities as of March 31, 2024.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2024, and December 31,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$415.6 million at March 31, 2024, from $404.4 million at December 31, 2023. The increase is primarily due to earnings retention. Our tangible common equity (“TCE”) totaled $385.4 million and $374.1 million, respectively, at those same dates. Our ratio of TCE to tangible assets was 7.41% and 7.15% at March 31, 2024, and December 31, 2023, respectively. TCE and the ratio of TCE to tangible assets are non-GAAP measures. TCE represents total common equity less goodwill and other intangible assets.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2023, our Board of Directors authorized a 2024 share repurchase plan. Under the terms of the 2024 share repurchase plan, we are authorized to buy back up to 1,100,000, or approximately 5% of our outstanding common stock. There were no shares repurchased during the first three months of 2024 and 2023, respectively.</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pay a quarterly cash dividend on our common stock. These dividends totaled $0.24 per share and $0.23 per share in the first three months of 2024 and 2023,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and December 31, 2023, our Bank (and holding company) continued to meet the requirements to be considered “well-capitalized” under federal regulatory standards (also see note #10 to the Condensed Consolidated Financial Statements included within this report).</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March 31, 2024, both our interest rate risk profile as measured by our short term earnings simulation and our longer term interest rate risk measure based on changes in economic value indicates exposure to rising rates. These measures have decreased modestly from December 31, 2023 due to a shift in the asset mix to shorter duration loans while the sensitivity measures relating to funding mix were relatively stable. In addition, at March 31, 2024 our simulation base-rate scenario for market value of portfolio equity increased from December 31, 2023 due primarily to to an increase in the bank’s tangible equity, an increase in the value of non-maturity deposits caused by an increase in long term market rates and spread tightening in certain sectors of the fixed income bond market.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to manage interest rate risk and may continue to sell some fixed rate jumbo and other portfolio mortgage loans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VALUE OF PORTFOLIO EQUITY,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Portfolio</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Equity(1)</w:t>
            </w: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6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480,600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171,500</w:t>
            </w:r>
          </w:p>
        </w:tc>
        <w:tc>
          <w:tcPr>
            <w:tcW w:w="128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3.42 %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520,900</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(6.70)</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173,300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(0.40)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3.46</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558,300</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174,000</w:t>
            </w:r>
          </w:p>
        </w:tc>
        <w:tc>
          <w:tcPr>
            <w:tcW w:w="136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585,700</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4.91</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172,700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(0.75)</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598,000</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172,500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(0.86)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447,600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166,000</w:t>
            </w:r>
          </w:p>
        </w:tc>
        <w:tc>
          <w:tcPr>
            <w:tcW w:w="12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3.30 %</w:t>
            </w:r>
          </w:p>
        </w:tc>
        <w:tc>
          <w:tcPr>
            <w:tcW w:w="80" w:type="dxa"/>
            <w:vAlign w:val="bottom"/>
          </w:tcPr>
          <w:p>
            <w:pPr>
              <w:spacing w:after="0"/>
              <w:rPr>
                <w:sz w:val="19"/>
                <w:szCs w:val="19"/>
                <w:color w:val="auto"/>
              </w:rPr>
            </w:pPr>
          </w:p>
        </w:tc>
        <w:tc>
          <w:tcPr>
            <w:tcW w:w="142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494,500</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168,300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(0.89)</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541,200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169,500</w:t>
            </w:r>
          </w:p>
        </w:tc>
        <w:tc>
          <w:tcPr>
            <w:tcW w:w="136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19"/>
                <w:szCs w:val="19"/>
                <w:color w:val="auto"/>
              </w:rPr>
            </w:pPr>
          </w:p>
        </w:tc>
        <w:tc>
          <w:tcPr>
            <w:tcW w:w="142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582,800</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7.69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169,000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(0.29)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(0.59)</w:t>
            </w:r>
          </w:p>
        </w:tc>
        <w:tc>
          <w:tcPr>
            <w:tcW w:w="0" w:type="dxa"/>
            <w:vAlign w:val="bottom"/>
          </w:tcPr>
          <w:p>
            <w:pPr>
              <w:spacing w:after="0"/>
              <w:rPr>
                <w:sz w:val="1"/>
                <w:szCs w:val="1"/>
                <w:color w:val="auto"/>
              </w:rPr>
            </w:pPr>
          </w:p>
        </w:tc>
      </w:tr>
      <w:tr>
        <w:trPr>
          <w:trHeight w:val="22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603,200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11.46</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167,800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Condensed Consolidated Financial Statements included elsewhere in this report for details on recently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pronouncements and their impact on our interim condensed consolidated financial statements.</w:t>
      </w:r>
    </w:p>
    <w:p>
      <w:pPr>
        <w:spacing w:after="0" w:line="10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2024,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March 31,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2024, the Company issued 341 shares of common stock to non-employee directors on a current basis and 2,151 shares of common stock to the trust for distribution to directors on a deferred basis. These shares were issued on April 1, 2024 representing aggregate fees of $0.06 million. The shares on a current basis were issued at a price of $26.02 per share and the shares on a deferred basis were issued at a price of $23.42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March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w:t>
            </w:r>
          </w:p>
        </w:tc>
        <w:tc>
          <w:tcPr>
            <w:tcW w:w="80" w:type="dxa"/>
            <w:vAlign w:val="bottom"/>
          </w:tcPr>
          <w:p>
            <w:pPr>
              <w:spacing w:after="0"/>
              <w:rPr>
                <w:sz w:val="19"/>
                <w:szCs w:val="19"/>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46"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February and March include 37,858 shares, 73 shares and 1,932 shares, respectively, withheld from the shares that would otherwise have been issued to certain officers in order to satisfy the tax withholding obligations resulting from the vesting of restricted stock and performance share units as well as satisfy the tax withholding obligations and stock option exercise price resulting from the exercise of stock options. February also includes 43,373 shares of our common stock purchased in the open market by the Independent Bank Corporation Employee Stock Ownership Trust as part of our employee stock ownership plan..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4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3,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4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3,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40"/>
          </w:cols>
          <w:pgMar w:left="320" w:top="11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1."/>
      <w:numFmt w:val="decimal"/>
      <w:start w:val="3"/>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5"/>
    </w:lvl>
  </w:abstractNum>
  <w:abstractNum w:abstractNumId="8">
    <w:nsid w:val="7C3DBD3D"/>
    <w:multiLevelType w:val="hybridMultilevel"/>
    <w:lvl w:ilvl="0">
      <w:lvlJc w:val="left"/>
      <w:lvlText w:val="%1."/>
      <w:numFmt w:val="decimal"/>
      <w:start w:val="6"/>
    </w:lvl>
  </w:abstractNum>
  <w:abstractNum w:abstractNumId="9">
    <w:nsid w:val="737B8DDC"/>
    <w:multiLevelType w:val="hybridMultilevel"/>
    <w:lvl w:ilvl="0">
      <w:lvlJc w:val="left"/>
      <w:lvlText w:val="\endash "/>
      <w:numFmt w:val="bullet"/>
      <w:start w:val="1"/>
    </w:lvl>
  </w:abstractNum>
  <w:abstractNum w:abstractNumId="10">
    <w:nsid w:val="6CEAF087"/>
    <w:multiLevelType w:val="hybridMultilevel"/>
    <w:lvl w:ilvl="0">
      <w:lvlJc w:val="left"/>
      <w:lvlText w:val="%1."/>
      <w:numFmt w:val="decimal"/>
      <w:start w:val="8"/>
    </w:lvl>
  </w:abstractNum>
  <w:abstractNum w:abstractNumId="11">
    <w:nsid w:val="22221A70"/>
    <w:multiLevelType w:val="hybridMultilevel"/>
    <w:lvl w:ilvl="0">
      <w:lvlJc w:val="left"/>
      <w:lvlText w:val="%1."/>
      <w:numFmt w:val="decimal"/>
      <w:start w:val="9"/>
    </w:lvl>
  </w:abstractNum>
  <w:abstractNum w:abstractNumId="12">
    <w:nsid w:val="4516DDE9"/>
    <w:multiLevelType w:val="hybridMultilevel"/>
    <w:lvl w:ilvl="0">
      <w:lvlJc w:val="left"/>
      <w:lvlText w:val="%1."/>
      <w:numFmt w:val="decimal"/>
      <w:start w:val="10"/>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lvl w:ilvl="1">
      <w:lvlJc w:val="left"/>
      <w:lvlText w:val="(%2)"/>
      <w:numFmt w:val="decimal"/>
      <w:start w:val="1"/>
    </w:lvl>
  </w:abstractNum>
  <w:abstractNum w:abstractNumId="15">
    <w:nsid w:val="419AC241"/>
    <w:multiLevelType w:val="hybridMultilevel"/>
    <w:lvl w:ilvl="0">
      <w:lvlJc w:val="left"/>
      <w:lvlText w:val="%1."/>
      <w:numFmt w:val="decimal"/>
      <w:start w:val="11"/>
    </w:lvl>
    <w:lvl w:ilvl="1">
      <w:lvlJc w:val="left"/>
      <w:lvlText w:val="%2"/>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2"/>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3"/>
    </w:lvl>
  </w:abstractNum>
  <w:abstractNum w:abstractNumId="23">
    <w:nsid w:val="2463B9EA"/>
    <w:multiLevelType w:val="hybridMultilevel"/>
    <w:lvl w:ilvl="0">
      <w:lvlJc w:val="left"/>
      <w:lvlText w:val="%1."/>
      <w:numFmt w:val="decimal"/>
      <w:start w:val="14"/>
    </w:lvl>
  </w:abstractNum>
  <w:abstractNum w:abstractNumId="24">
    <w:nsid w:val="5E884ADC"/>
    <w:multiLevelType w:val="hybridMultilevel"/>
    <w:lvl w:ilvl="0">
      <w:lvlJc w:val="left"/>
      <w:lvlText w:val="$"/>
      <w:numFmt w:val="bullet"/>
      <w:start w:val="1"/>
    </w:lvl>
    <w:lvl w:ilvl="1">
      <w:lvlJc w:val="left"/>
      <w:lvlText w:val="(%2)"/>
      <w:numFmt w:val="decimal"/>
      <w:start w:val="56"/>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lvl w:ilvl="1">
      <w:lvlJc w:val="left"/>
      <w:lvlText w:val="(%2)"/>
      <w:numFmt w:val="decimal"/>
      <w:start w:val="47"/>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5"/>
    </w:lvl>
  </w:abstractNum>
  <w:abstractNum w:abstractNumId="33">
    <w:nsid w:val="1D4ED43B"/>
    <w:multiLevelType w:val="hybridMultilevel"/>
    <w:lvl w:ilvl="0">
      <w:lvlJc w:val="left"/>
      <w:lvlText w:val="%1."/>
      <w:numFmt w:val="decimal"/>
      <w:start w:val="16"/>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01"/>
    </w:lvl>
  </w:abstractNum>
  <w:abstractNum w:abstractNumId="43">
    <w:nsid w:val="32FFF902"/>
    <w:multiLevelType w:val="hybridMultilevel"/>
    <w:lvl w:ilvl="0">
      <w:lvlJc w:val="left"/>
      <w:lvlText w:val="%1."/>
      <w:numFmt w:val="decimal"/>
      <w:start w:val="101"/>
    </w:lvl>
  </w:abstractNum>
  <w:abstractNum w:abstractNumId="44">
    <w:nsid w:val="684A481A"/>
    <w:multiLevelType w:val="hybridMultilevel"/>
    <w:lvl w:ilvl="0">
      <w:lvlJc w:val="left"/>
      <w:lvlText w:val="%1."/>
      <w:numFmt w:val="decimal"/>
      <w:start w:val="101"/>
    </w:lvl>
  </w:abstractNum>
  <w:abstractNum w:abstractNumId="45">
    <w:nsid w:val="579478FE"/>
    <w:multiLevelType w:val="hybridMultilevel"/>
    <w:lvl w:ilvl="0">
      <w:lvlJc w:val="left"/>
      <w:lvlText w:val="%1."/>
      <w:numFmt w:val="decimal"/>
      <w:start w:val="101"/>
    </w:lvl>
  </w:abstractNum>
  <w:abstractNum w:abstractNumId="46">
    <w:nsid w:val="749ABB43"/>
    <w:multiLevelType w:val="hybridMultilevel"/>
    <w:lvl w:ilvl="0">
      <w:lvlJc w:val="left"/>
      <w:lvlText w:val="%1."/>
      <w:numFmt w:val="decimal"/>
      <w:start w:val="101"/>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2024-05-03T09:14:36Z</dcterms:created>
  <dcterms:modified xsi:type="dcterms:W3CDTF">2024-05-03T09:14:36Z</dcterms:modified>
</cp:coreProperties>
</file>