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850265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10-Q</w:t>
      </w:r>
    </w:p>
    <w:p>
      <w:pPr>
        <w:spacing w:after="0" w:line="195"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u w:val="single" w:color="auto"/>
          <w:color w:val="auto"/>
        </w:rPr>
        <w:t>March 31, 2026</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-6350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color w:val="auto"/>
              </w:rPr>
              <w:t>38-2032782</w:t>
            </w:r>
          </w:p>
        </w:tc>
      </w:tr>
      <w:tr>
        <w:trPr>
          <w:trHeight w:val="232"/>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Number)</w:t>
            </w:r>
          </w:p>
        </w:tc>
      </w:tr>
    </w:tbl>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(616) 527-5820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7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which registered</w:t>
            </w:r>
          </w:p>
        </w:tc>
      </w:tr>
      <w:tr>
        <w:trPr>
          <w:trHeight w:val="232"/>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no par value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5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2" w:lineRule="exact"/>
        <w:rPr>
          <w:sz w:val="24"/>
          <w:szCs w:val="24"/>
          <w:color w:val="auto"/>
        </w:rPr>
      </w:pPr>
    </w:p>
    <w:p>
      <w:pPr>
        <w:ind w:right="800"/>
        <w:spacing w:after="0" w:line="26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common stock, no par value, 20,606,157 as of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800735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INDEX</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Number(s)</w:t>
            </w:r>
          </w:p>
        </w:tc>
      </w:tr>
      <w:tr>
        <w:trPr>
          <w:trHeight w:val="22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w:t>
            </w:r>
          </w:p>
        </w:tc>
        <w:tc>
          <w:tcPr>
            <w:tcW w:w="92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10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Item 1.</w:t>
            </w:r>
          </w:p>
        </w:tc>
        <w:tc>
          <w:tcPr>
            <w:tcW w:w="926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Financial Condition March 31, 2026 and December 31, 2025</w:t>
            </w:r>
          </w:p>
        </w:tc>
        <w:tc>
          <w:tcPr>
            <w:tcW w:w="960" w:type="dxa"/>
            <w:vAlign w:val="bottom"/>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78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Operations Three-month periods ended March 31, 2026 and 2025</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4</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Three-month periods ended March 31, 2026 and 2025</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5</w:t>
            </w:r>
          </w:p>
        </w:tc>
      </w:tr>
      <w:tr>
        <w:trPr>
          <w:trHeight w:val="193"/>
        </w:trPr>
        <w:tc>
          <w:tcPr>
            <w:tcW w:w="1020" w:type="dxa"/>
            <w:vAlign w:val="bottom"/>
            <w:tcBorders>
              <w:top w:val="single" w:sz="8" w:color="CCEEFF"/>
            </w:tcBorders>
          </w:tcPr>
          <w:p>
            <w:pPr>
              <w:spacing w:after="0"/>
              <w:rPr>
                <w:sz w:val="16"/>
                <w:szCs w:val="16"/>
                <w:color w:val="auto"/>
              </w:rPr>
            </w:pPr>
          </w:p>
        </w:tc>
        <w:tc>
          <w:tcPr>
            <w:tcW w:w="8120" w:type="dxa"/>
            <w:vAlign w:val="bottom"/>
            <w:tcBorders>
              <w:top w:val="single" w:sz="8" w:color="0000FF"/>
            </w:tcBorders>
            <w:gridSpan w:val="14"/>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Cash Flows Three-month periods ended March 31, 2026 and 2025</w:t>
            </w:r>
          </w:p>
        </w:tc>
        <w:tc>
          <w:tcPr>
            <w:tcW w:w="11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6</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0000FF"/>
            </w:tcBorders>
            <w:gridSpan w:val="1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Three-month periods ended March 31, 2026 and 2025</w:t>
            </w:r>
          </w:p>
        </w:tc>
        <w:tc>
          <w:tcPr>
            <w:tcW w:w="1340" w:type="dxa"/>
            <w:vAlign w:val="bottom"/>
            <w:tcBorders>
              <w:bottom w:val="single" w:sz="8" w:color="CCEEFF"/>
            </w:tcBorders>
            <w:gridSpan w:val="2"/>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w:t>
            </w: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94" w:lineRule="exact"/>
              <w:rPr>
                <w:sz w:val="20"/>
                <w:szCs w:val="20"/>
                <w:color w:val="auto"/>
              </w:rPr>
            </w:pPr>
            <w:r>
              <w:rPr>
                <w:rFonts w:ascii="Times New Roman" w:cs="Times New Roman" w:eastAsia="Times New Roman" w:hAnsi="Times New Roman"/>
                <w:sz w:val="17"/>
                <w:szCs w:val="17"/>
                <w:color w:val="0000FF"/>
              </w:rPr>
              <w:t>Notes to Interim Condensed Consolidated Financial Statements</w:t>
            </w:r>
          </w:p>
        </w:tc>
        <w:tc>
          <w:tcPr>
            <w:tcW w:w="9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8-62</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63-79</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614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80</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80</w:t>
            </w:r>
          </w:p>
        </w:tc>
      </w:tr>
      <w:tr>
        <w:trPr>
          <w:trHeight w:val="258"/>
        </w:trPr>
        <w:tc>
          <w:tcPr>
            <w:tcW w:w="1020" w:type="dxa"/>
            <w:vAlign w:val="bottom"/>
            <w:tcBorders>
              <w:top w:val="single" w:sz="8" w:color="CCEE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PART II -</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Information</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20" w:type="dxa"/>
            <w:vAlign w:val="bottom"/>
            <w:tcBorders>
              <w:top w:val="single" w:sz="8" w:color="CCEEFF"/>
            </w:tcBorders>
            <w:gridSpan w:val="1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81</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82</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4140" w:type="dxa"/>
            <w:vAlign w:val="bottom"/>
            <w:tcBorders>
              <w:top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5120" w:type="dxa"/>
            <w:vAlign w:val="bottom"/>
            <w:tcBorders>
              <w:top w:val="single" w:sz="8" w:color="CCEEFF"/>
            </w:tcBorders>
            <w:gridSpan w:val="8"/>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83</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83</w:t>
            </w:r>
          </w:p>
        </w:tc>
      </w:tr>
      <w:tr>
        <w:trPr>
          <w:trHeight w:val="851"/>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580" w:type="dxa"/>
            <w:vAlign w:val="bottom"/>
            <w:tcBorders>
              <w:top w:val="single" w:sz="8" w:color="CCEEFF"/>
            </w:tcBorders>
            <w:gridSpan w:val="8"/>
          </w:tcPr>
          <w:p>
            <w:pPr>
              <w:jc w:val="right"/>
              <w:ind w:right="1340"/>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7"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assumptions underlying the establishment of, and provisions made to, our allowance for credit losses;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and timing of our pending acquisition of HCB Financial Corp.;</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our acquisition of HCB Financial Corp. occurs, the risk that the anticipated benefits and cost savings may not be fully realized or may take longer to realize than expected and the risk that the acquisition may have adverse impacts we do not currently foresee;</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pending litigation;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services industry, either nationally or regionally;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loan and deposit growth;</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direction of market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services of our management team;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new legislation, which may have significant effects on us and the financial services industry.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2025,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7"/>
          <w:szCs w:val="17"/>
          <w:color w:val="auto"/>
        </w:rPr>
        <w:t>Part I - Item 1.</w:t>
      </w:r>
      <w:r>
        <w:rPr>
          <w:sz w:val="20"/>
          <w:szCs w:val="20"/>
          <w:color w:val="auto"/>
        </w:rPr>
        <w:tab/>
      </w:r>
      <w:r>
        <w:rPr>
          <w:rFonts w:ascii="Times New Roman" w:cs="Times New Roman" w:eastAsia="Times New Roman" w:hAnsi="Times New Roman"/>
          <w:sz w:val="17"/>
          <w:szCs w:val="17"/>
          <w:color w:val="auto"/>
        </w:rPr>
        <w:t>INDEPENDENT BANK CORPORATION AND SUBSIDIARIES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Financial Condition</w:t>
      </w:r>
    </w:p>
    <w:p>
      <w:pPr>
        <w:spacing w:after="0" w:line="27" w:lineRule="exact"/>
        <w:rPr>
          <w:sz w:val="20"/>
          <w:szCs w:val="20"/>
          <w:color w:val="auto"/>
        </w:rPr>
      </w:pPr>
    </w:p>
    <w:p>
      <w:pPr>
        <w:jc w:val="right"/>
        <w:ind w:right="360"/>
        <w:spacing w:after="0"/>
        <w:tabs>
          <w:tab w:leader="none" w:pos="740" w:val="left"/>
        </w:tabs>
        <w:rPr>
          <w:sz w:val="20"/>
          <w:szCs w:val="20"/>
          <w:color w:val="auto"/>
        </w:rPr>
      </w:pPr>
      <w:r>
        <w:rPr>
          <w:rFonts w:ascii="Times New Roman" w:cs="Times New Roman" w:eastAsia="Times New Roman" w:hAnsi="Times New Roman"/>
          <w:sz w:val="14"/>
          <w:szCs w:val="14"/>
          <w:color w:val="auto"/>
        </w:rPr>
        <w:t>March 31,</w:t>
      </w:r>
      <w:r>
        <w:rPr>
          <w:sz w:val="20"/>
          <w:szCs w:val="20"/>
          <w:color w:val="auto"/>
        </w:rPr>
        <w:tab/>
      </w:r>
      <w:r>
        <w:rPr>
          <w:rFonts w:ascii="Times New Roman" w:cs="Times New Roman" w:eastAsia="Times New Roman" w:hAnsi="Times New Roman"/>
          <w:sz w:val="13"/>
          <w:szCs w:val="13"/>
          <w:color w:val="auto"/>
        </w:rPr>
        <w:t>December 31,</w:t>
      </w:r>
    </w:p>
    <w:p>
      <w:pPr>
        <w:ind w:left="8800"/>
        <w:spacing w:after="0"/>
        <w:tabs>
          <w:tab w:leader="none" w:pos="10340" w:val="left"/>
        </w:tabs>
        <w:rPr>
          <w:sz w:val="20"/>
          <w:szCs w:val="20"/>
          <w:color w:val="auto"/>
        </w:rPr>
      </w:pPr>
      <w:r>
        <w:rPr>
          <w:rFonts w:ascii="Times New Roman" w:cs="Times New Roman" w:eastAsia="Times New Roman" w:hAnsi="Times New Roman"/>
          <w:sz w:val="14"/>
          <w:szCs w:val="14"/>
          <w:color w:val="auto"/>
        </w:rPr>
        <w:t>2026</w:t>
      </w:r>
      <w:r>
        <w:rPr>
          <w:sz w:val="20"/>
          <w:szCs w:val="20"/>
          <w:color w:val="auto"/>
        </w:rPr>
        <w:tab/>
      </w: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16510</wp:posOffset>
            </wp:positionV>
            <wp:extent cx="1939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due from banks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p>
      <w:pPr>
        <w:spacing w:after="0" w:line="45" w:lineRule="exact"/>
        <w:rPr>
          <w:sz w:val="20"/>
          <w:szCs w:val="20"/>
          <w:color w:val="auto"/>
        </w:rPr>
      </w:pPr>
    </w:p>
    <w:p>
      <w:pPr>
        <w:ind w:left="20"/>
        <w:spacing w:after="0" w:line="317" w:lineRule="auto"/>
        <w:rPr>
          <w:sz w:val="20"/>
          <w:szCs w:val="20"/>
          <w:color w:val="auto"/>
        </w:rPr>
      </w:pPr>
      <w:r>
        <w:rPr>
          <w:rFonts w:ascii="Times New Roman" w:cs="Times New Roman" w:eastAsia="Times New Roman" w:hAnsi="Times New Roman"/>
          <w:sz w:val="14"/>
          <w:szCs w:val="14"/>
          <w:color w:val="auto"/>
        </w:rPr>
        <w:t>Securities held to maturity (fair value of $271,452 at March 31, 2026 and $282,830 at December 31, 2025 ) Federal Home Loan Bank and Federal Reserve Bank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138670"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71386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Commercial</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Installment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138670"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Bank-owned life insurance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intangibles,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138670"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Deposits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Non-interest bearing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Savings and interest-bearing checking</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Reciprocal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Time</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Brokered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Subordinated debentures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4"/>
          <w:szCs w:val="14"/>
          <w:color w:val="auto"/>
        </w:rPr>
        <w:t>Total Loans</w:t>
      </w:r>
    </w:p>
    <w:p>
      <w:pPr>
        <w:spacing w:after="0" w:line="27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4"/>
          <w:szCs w:val="14"/>
          <w:color w:val="auto"/>
        </w:rPr>
        <w:t>Net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4"/>
          <w:szCs w:val="14"/>
          <w:color w:val="auto"/>
        </w:rPr>
        <w:t>Total Assets</w:t>
        <w:tab/>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Total Deposits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25400</wp:posOffset>
            </wp:positionV>
            <wp:extent cx="19399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thousands, except share</w:t>
      </w:r>
    </w:p>
    <w:p>
      <w:pPr>
        <w:jc w:val="center"/>
        <w:ind w:right="780"/>
        <w:spacing w:after="0"/>
        <w:rPr>
          <w:sz w:val="20"/>
          <w:szCs w:val="20"/>
          <w:color w:val="auto"/>
        </w:rPr>
      </w:pPr>
      <w:r>
        <w:rPr>
          <w:rFonts w:ascii="Times New Roman" w:cs="Times New Roman" w:eastAsia="Times New Roman" w:hAnsi="Times New Roman"/>
          <w:sz w:val="14"/>
          <w:szCs w:val="14"/>
          <w:color w:val="auto"/>
        </w:rPr>
        <w:t>amounts)</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48,475</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52,235</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126,440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86,152</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174,915</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138,387</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482,295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495,909</w:t>
            </w:r>
          </w:p>
        </w:tc>
        <w:tc>
          <w:tcPr>
            <w:tcW w:w="0" w:type="dxa"/>
            <w:vAlign w:val="bottom"/>
          </w:tcPr>
          <w:p>
            <w:pPr>
              <w:spacing w:after="0"/>
              <w:rPr>
                <w:sz w:val="1"/>
                <w:szCs w:val="1"/>
                <w:color w:val="auto"/>
              </w:rPr>
            </w:pPr>
          </w:p>
        </w:tc>
      </w:tr>
      <w:tr>
        <w:trPr>
          <w:trHeight w:val="193"/>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301,007</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309,523</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18,102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18,102</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19,714</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9,031</w:t>
            </w:r>
          </w:p>
        </w:tc>
        <w:tc>
          <w:tcPr>
            <w:tcW w:w="0" w:type="dxa"/>
            <w:vAlign w:val="bottom"/>
          </w:tcPr>
          <w:p>
            <w:pPr>
              <w:spacing w:after="0"/>
              <w:rPr>
                <w:sz w:val="1"/>
                <w:szCs w:val="1"/>
                <w:color w:val="auto"/>
              </w:rPr>
            </w:pPr>
          </w:p>
        </w:tc>
      </w:tr>
      <w:tr>
        <w:trPr>
          <w:trHeight w:val="43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2,267,369</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2,213,557</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1,520,358</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1,524,821</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520,372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537,907</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4,308,099</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4,276,285</w:t>
            </w:r>
          </w:p>
        </w:tc>
        <w:tc>
          <w:tcPr>
            <w:tcW w:w="0" w:type="dxa"/>
            <w:vAlign w:val="bottom"/>
          </w:tcPr>
          <w:p>
            <w:pPr>
              <w:spacing w:after="0"/>
              <w:rPr>
                <w:sz w:val="1"/>
                <w:szCs w:val="1"/>
                <w:color w:val="auto"/>
              </w:rPr>
            </w:pPr>
          </w:p>
        </w:tc>
      </w:tr>
      <w:tr>
        <w:trPr>
          <w:trHeight w:val="219"/>
        </w:trPr>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(63,719)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(63,445)</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4,244,380</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4,212,840</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767</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42,319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38,972</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54,072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53,750</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32,233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31,493</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886</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28,300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158,519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167,516</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5,557,509</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00" w:type="dxa"/>
            <w:vAlign w:val="bottom"/>
            <w:vMerge w:val="continue"/>
          </w:tcPr>
          <w:p>
            <w:pPr>
              <w:spacing w:after="0"/>
              <w:rPr>
                <w:sz w:val="15"/>
                <w:szCs w:val="15"/>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5,505,720</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-32385</wp:posOffset>
            </wp:positionV>
            <wp:extent cx="941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-163195</wp:posOffset>
            </wp:positionV>
            <wp:extent cx="941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-1276350</wp:posOffset>
            </wp:positionV>
            <wp:extent cx="941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-488950</wp:posOffset>
            </wp:positionH>
            <wp:positionV relativeFrom="paragraph">
              <wp:posOffset>-1554480</wp:posOffset>
            </wp:positionV>
            <wp:extent cx="941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991,140</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991,984</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2,146,403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2,113,260</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96"/>
              </w:rPr>
              <w:t>1,028,874</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974,921</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657,043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662,858</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57,220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18,659</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4,880,680</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4,761,682</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27,010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77,003</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39,881</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39,864</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99,385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124,220</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5,046,956</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5,002,769</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3">
            <w:col w:w="5920" w:space="660"/>
            <w:col w:w="1700" w:space="680"/>
            <w:col w:w="2280"/>
          </w:cols>
          <w:pgMar w:left="320" w:top="1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39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Shareholders’ Equity</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245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38" w:lineRule="exact"/>
        <w:rPr>
          <w:sz w:val="20"/>
          <w:szCs w:val="20"/>
          <w:color w:val="auto"/>
        </w:rPr>
      </w:pPr>
    </w:p>
    <w:p>
      <w:pPr>
        <w:ind w:left="320" w:right="520" w:hanging="154"/>
        <w:spacing w:after="0" w:line="256" w:lineRule="auto"/>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20,585,805 shares at March 31, 2026 and 20,548,893 shares at December 31, 2025</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5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47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51" w:lineRule="exact"/>
        <w:rPr>
          <w:sz w:val="20"/>
          <w:szCs w:val="20"/>
          <w:color w:val="auto"/>
        </w:rPr>
      </w:pPr>
    </w:p>
    <w:p>
      <w:pPr>
        <w:ind w:left="5780"/>
        <w:spacing w:after="0"/>
        <w:tabs>
          <w:tab w:leader="none" w:pos="8180" w:val="left"/>
        </w:tabs>
        <w:rPr>
          <w:sz w:val="20"/>
          <w:szCs w:val="20"/>
          <w:color w:val="auto"/>
        </w:rPr>
      </w:pPr>
      <w:r>
        <w:rPr>
          <w:rFonts w:ascii="Times New Roman" w:cs="Times New Roman" w:eastAsia="Times New Roman" w:hAnsi="Times New Roman"/>
          <w:sz w:val="14"/>
          <w:szCs w:val="14"/>
          <w:color w:val="auto"/>
        </w:rPr>
        <w:t>Total Liabilities and Shareholders’ Equity</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7"/>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307,679</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307,845</w:t>
            </w:r>
          </w:p>
        </w:tc>
        <w:tc>
          <w:tcPr>
            <w:tcW w:w="0" w:type="dxa"/>
            <w:vAlign w:val="bottom"/>
          </w:tcPr>
          <w:p>
            <w:pPr>
              <w:spacing w:after="0"/>
              <w:rPr>
                <w:sz w:val="1"/>
                <w:szCs w:val="1"/>
                <w:color w:val="auto"/>
              </w:rPr>
            </w:pPr>
          </w:p>
        </w:tc>
      </w:tr>
      <w:tr>
        <w:trPr>
          <w:trHeight w:val="219"/>
        </w:trPr>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263,898</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252,794</w:t>
            </w:r>
          </w:p>
        </w:tc>
        <w:tc>
          <w:tcPr>
            <w:tcW w:w="0" w:type="dxa"/>
            <w:vAlign w:val="bottom"/>
          </w:tcPr>
          <w:p>
            <w:pPr>
              <w:spacing w:after="0"/>
              <w:rPr>
                <w:sz w:val="1"/>
                <w:szCs w:val="1"/>
                <w:color w:val="auto"/>
              </w:rPr>
            </w:pPr>
          </w:p>
        </w:tc>
      </w:tr>
      <w:tr>
        <w:trPr>
          <w:trHeight w:val="219"/>
        </w:trPr>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(61,024)</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(57,688)</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510,553</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502,951</w:t>
            </w:r>
          </w:p>
        </w:tc>
        <w:tc>
          <w:tcPr>
            <w:tcW w:w="0" w:type="dxa"/>
            <w:vAlign w:val="bottom"/>
          </w:tcPr>
          <w:p>
            <w:pPr>
              <w:spacing w:after="0"/>
              <w:rPr>
                <w:sz w:val="1"/>
                <w:szCs w:val="1"/>
                <w:color w:val="auto"/>
              </w:rPr>
            </w:pPr>
          </w:p>
        </w:tc>
      </w:tr>
      <w:tr>
        <w:trPr>
          <w:trHeight w:val="22"/>
        </w:trPr>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w w:val="96"/>
              </w:rPr>
              <w:t>5,557,509</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00" w:type="dxa"/>
            <w:vAlign w:val="bottom"/>
            <w:vMerge w:val="continue"/>
          </w:tcPr>
          <w:p>
            <w:pPr>
              <w:spacing w:after="0"/>
              <w:rPr>
                <w:sz w:val="15"/>
                <w:szCs w:val="15"/>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5,505,720</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-7620</wp:posOffset>
            </wp:positionV>
            <wp:extent cx="941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-302260</wp:posOffset>
            </wp:positionV>
            <wp:extent cx="941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-1227455</wp:posOffset>
            </wp:positionV>
            <wp:extent cx="1939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7180" w:type="dxa"/>
            <w:vAlign w:val="bottom"/>
            <w:gridSpan w:val="8"/>
          </w:tcPr>
          <w:p>
            <w:pPr>
              <w:jc w:val="right"/>
              <w:ind w:right="223"/>
              <w:spacing w:after="0"/>
              <w:rPr>
                <w:sz w:val="20"/>
                <w:szCs w:val="20"/>
                <w:color w:val="auto"/>
              </w:rPr>
            </w:pPr>
            <w:r>
              <w:rPr>
                <w:rFonts w:ascii="Times New Roman" w:cs="Times New Roman" w:eastAsia="Times New Roman" w:hAnsi="Times New Roman"/>
                <w:sz w:val="17"/>
                <w:szCs w:val="17"/>
                <w:color w:val="auto"/>
              </w:rPr>
              <w:t>INDEPENDENT BANK CORPORATION AND SUBSIDIARIES</w:t>
            </w:r>
          </w:p>
        </w:tc>
      </w:tr>
      <w:tr>
        <w:trPr>
          <w:trHeight w:val="184"/>
        </w:trPr>
        <w:tc>
          <w:tcPr>
            <w:tcW w:w="2840" w:type="dxa"/>
            <w:vAlign w:val="bottom"/>
          </w:tcPr>
          <w:p>
            <w:pPr>
              <w:spacing w:after="0"/>
              <w:rPr>
                <w:sz w:val="16"/>
                <w:szCs w:val="16"/>
                <w:color w:val="auto"/>
              </w:rPr>
            </w:pPr>
          </w:p>
        </w:tc>
        <w:tc>
          <w:tcPr>
            <w:tcW w:w="3500" w:type="dxa"/>
            <w:vAlign w:val="bottom"/>
            <w:tcBorders>
              <w:bottom w:val="single" w:sz="8" w:color="auto"/>
            </w:tcBorders>
            <w:gridSpan w:val="5"/>
          </w:tcPr>
          <w:p>
            <w:pPr>
              <w:jc w:val="right"/>
              <w:spacing w:after="0" w:line="184" w:lineRule="exact"/>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426"/>
        </w:trPr>
        <w:tc>
          <w:tcPr>
            <w:tcW w:w="2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gridSpan w:val="6"/>
          </w:tcPr>
          <w:p>
            <w:pPr>
              <w:jc w:val="center"/>
              <w:spacing w:after="0"/>
              <w:rPr>
                <w:sz w:val="20"/>
                <w:szCs w:val="20"/>
                <w:color w:val="auto"/>
              </w:rPr>
            </w:pPr>
            <w:r>
              <w:rPr>
                <w:rFonts w:ascii="Times New Roman" w:cs="Times New Roman" w:eastAsia="Times New Roman" w:hAnsi="Times New Roman"/>
                <w:sz w:val="15"/>
                <w:szCs w:val="15"/>
                <w:color w:val="auto"/>
              </w:rPr>
              <w:t>Three months ended March 31,</w:t>
            </w:r>
          </w:p>
        </w:tc>
      </w:tr>
      <w:tr>
        <w:trPr>
          <w:trHeight w:val="209"/>
        </w:trPr>
        <w:tc>
          <w:tcPr>
            <w:tcW w:w="2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2026</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w w:val="99"/>
              </w:rPr>
              <w:t>2025</w:t>
            </w:r>
          </w:p>
        </w:tc>
      </w:tr>
      <w:tr>
        <w:trPr>
          <w:trHeight w:val="199"/>
        </w:trPr>
        <w:tc>
          <w:tcPr>
            <w:tcW w:w="2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center"/>
              <w:ind w:left="383"/>
              <w:spacing w:after="0"/>
              <w:rPr>
                <w:sz w:val="20"/>
                <w:szCs w:val="20"/>
                <w:color w:val="auto"/>
              </w:rPr>
            </w:pPr>
            <w:r>
              <w:rPr>
                <w:rFonts w:ascii="Times New Roman" w:cs="Times New Roman" w:eastAsia="Times New Roman" w:hAnsi="Times New Roman"/>
                <w:sz w:val="15"/>
                <w:szCs w:val="15"/>
                <w:color w:val="auto"/>
              </w:rPr>
              <w:t>(Unaudited)</w:t>
            </w:r>
          </w:p>
        </w:tc>
        <w:tc>
          <w:tcPr>
            <w:tcW w:w="680" w:type="dxa"/>
            <w:vAlign w:val="bottom"/>
            <w:tcBorders>
              <w:bottom w:val="single" w:sz="8" w:color="auto"/>
            </w:tcBorders>
          </w:tcPr>
          <w:p>
            <w:pPr>
              <w:spacing w:after="0"/>
              <w:rPr>
                <w:sz w:val="17"/>
                <w:szCs w:val="17"/>
                <w:color w:val="auto"/>
              </w:rPr>
            </w:pPr>
          </w:p>
        </w:tc>
      </w:tr>
      <w:tr>
        <w:trPr>
          <w:trHeight w:val="138"/>
        </w:trPr>
        <w:tc>
          <w:tcPr>
            <w:tcW w:w="2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gridSpan w:val="6"/>
          </w:tcPr>
          <w:p>
            <w:pPr>
              <w:jc w:val="center"/>
              <w:ind w:right="23"/>
              <w:spacing w:after="0" w:line="138" w:lineRule="exact"/>
              <w:rPr>
                <w:sz w:val="20"/>
                <w:szCs w:val="20"/>
                <w:color w:val="auto"/>
              </w:rPr>
            </w:pPr>
            <w:r>
              <w:rPr>
                <w:rFonts w:ascii="Times New Roman" w:cs="Times New Roman" w:eastAsia="Times New Roman" w:hAnsi="Times New Roman"/>
                <w:sz w:val="15"/>
                <w:szCs w:val="15"/>
                <w:color w:val="auto"/>
              </w:rPr>
              <w:t>(In thousands, except per share</w:t>
            </w:r>
          </w:p>
        </w:tc>
      </w:tr>
      <w:tr>
        <w:trPr>
          <w:trHeight w:val="200"/>
        </w:trPr>
        <w:tc>
          <w:tcPr>
            <w:tcW w:w="2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4"/>
          </w:tcPr>
          <w:p>
            <w:pPr>
              <w:jc w:val="center"/>
              <w:ind w:left="303"/>
              <w:spacing w:after="0"/>
              <w:rPr>
                <w:sz w:val="20"/>
                <w:szCs w:val="20"/>
                <w:color w:val="auto"/>
              </w:rPr>
            </w:pPr>
            <w:r>
              <w:rPr>
                <w:rFonts w:ascii="Times New Roman" w:cs="Times New Roman" w:eastAsia="Times New Roman" w:hAnsi="Times New Roman"/>
                <w:sz w:val="15"/>
                <w:szCs w:val="15"/>
                <w:color w:val="auto"/>
              </w:rPr>
              <w:t>amounts)</w:t>
            </w:r>
          </w:p>
        </w:tc>
        <w:tc>
          <w:tcPr>
            <w:tcW w:w="680" w:type="dxa"/>
            <w:vAlign w:val="bottom"/>
          </w:tcPr>
          <w:p>
            <w:pPr>
              <w:spacing w:after="0"/>
              <w:rPr>
                <w:sz w:val="17"/>
                <w:szCs w:val="17"/>
                <w:color w:val="auto"/>
              </w:rPr>
            </w:pPr>
          </w:p>
        </w:tc>
      </w:tr>
      <w:tr>
        <w:trPr>
          <w:trHeight w:val="209"/>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Interest and fees on loans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59,249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57,768</w:t>
            </w: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Interest on securities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Taxable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4,036</w:t>
            </w:r>
          </w:p>
        </w:tc>
      </w:tr>
      <w:tr>
        <w:trPr>
          <w:trHeight w:val="203"/>
        </w:trPr>
        <w:tc>
          <w:tcPr>
            <w:tcW w:w="508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Tax-exempt</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2,770</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 investments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1,044</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1,570</w:t>
            </w:r>
          </w:p>
        </w:tc>
      </w:tr>
      <w:tr>
        <w:trPr>
          <w:trHeight w:val="196"/>
        </w:trPr>
        <w:tc>
          <w:tcPr>
            <w:tcW w:w="284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15"/>
                <w:szCs w:val="15"/>
                <w:color w:val="auto"/>
              </w:rPr>
              <w:t>Total Interest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66,169</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66,144</w:t>
            </w:r>
          </w:p>
        </w:tc>
      </w:tr>
      <w:tr>
        <w:trPr>
          <w:trHeight w:val="189"/>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Deposits</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18,397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20,955</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 borrowings and subordinated debt and debentures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917</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1,504</w:t>
            </w:r>
          </w:p>
        </w:tc>
      </w:tr>
      <w:tr>
        <w:trPr>
          <w:trHeight w:val="196"/>
        </w:trPr>
        <w:tc>
          <w:tcPr>
            <w:tcW w:w="284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15"/>
                <w:szCs w:val="15"/>
                <w:color w:val="auto"/>
              </w:rPr>
              <w:t>Total Interest Expense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19,314</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22,459</w:t>
            </w:r>
          </w:p>
        </w:tc>
      </w:tr>
      <w:tr>
        <w:trPr>
          <w:trHeight w:val="202"/>
        </w:trPr>
        <w:tc>
          <w:tcPr>
            <w:tcW w:w="284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Net Interest Income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46,855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43,685</w:t>
            </w:r>
          </w:p>
        </w:tc>
      </w:tr>
      <w:tr>
        <w:trPr>
          <w:trHeight w:val="203"/>
        </w:trPr>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362</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721</w:t>
            </w:r>
          </w:p>
        </w:tc>
      </w:tr>
      <w:tr>
        <w:trPr>
          <w:trHeight w:val="202"/>
        </w:trPr>
        <w:tc>
          <w:tcPr>
            <w:tcW w:w="50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Net Interest Income After Provision for Credit Losses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46,493</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42,964</w:t>
            </w:r>
          </w:p>
        </w:tc>
      </w:tr>
      <w:tr>
        <w:trPr>
          <w:trHeight w:val="183"/>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Non-interest Income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Interchange income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3,234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3,127</w:t>
            </w: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Service charges on deposit accounts</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2,935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2,814</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gains (losses) on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508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Mortgage loans</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1,308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2,303</w:t>
            </w:r>
          </w:p>
        </w:tc>
      </w:tr>
      <w:tr>
        <w:trPr>
          <w:trHeight w:val="209"/>
        </w:trPr>
        <w:tc>
          <w:tcPr>
            <w:tcW w:w="5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w:t>
            </w: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Mortgage loan servicing, net</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1,646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2,951</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3,146</w:t>
            </w:r>
          </w:p>
        </w:tc>
      </w:tr>
      <w:tr>
        <w:trPr>
          <w:trHeight w:val="196"/>
        </w:trPr>
        <w:tc>
          <w:tcPr>
            <w:tcW w:w="284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15"/>
                <w:szCs w:val="15"/>
                <w:color w:val="auto"/>
              </w:rPr>
              <w:t>Total Non-interest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12,048</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10,424</w:t>
            </w:r>
          </w:p>
        </w:tc>
      </w:tr>
      <w:tr>
        <w:trPr>
          <w:trHeight w:val="189"/>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Non-interest Expense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Compensation and employee benefits</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21,829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20,383</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Data processing</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3,729</w:t>
            </w: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Occupancy, net</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2,413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2,223</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Litigation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Advertising</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1,210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861</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Interchange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1,191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1,119</w:t>
            </w: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894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885</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FDIC deposit insurance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711</w:t>
            </w: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Loan and collection</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786</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Communications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591</w:t>
            </w:r>
          </w:p>
        </w:tc>
      </w:tr>
      <w:tr>
        <w:trPr>
          <w:trHeight w:val="20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Legal and professional</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479</w:t>
            </w:r>
          </w:p>
        </w:tc>
      </w:tr>
      <w:tr>
        <w:trPr>
          <w:trHeight w:val="20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Merger related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50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2,287</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2,495</w:t>
            </w:r>
          </w:p>
        </w:tc>
      </w:tr>
      <w:tr>
        <w:trPr>
          <w:trHeight w:val="202"/>
        </w:trPr>
        <w:tc>
          <w:tcPr>
            <w:tcW w:w="284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Total Non-interest Expense</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38,311</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34,262</w:t>
            </w:r>
          </w:p>
        </w:tc>
      </w:tr>
      <w:tr>
        <w:trPr>
          <w:trHeight w:val="196"/>
        </w:trPr>
        <w:tc>
          <w:tcPr>
            <w:tcW w:w="2840" w:type="dxa"/>
            <w:vAlign w:val="bottom"/>
          </w:tcPr>
          <w:p>
            <w:pPr>
              <w:spacing w:after="0"/>
              <w:rPr>
                <w:sz w:val="17"/>
                <w:szCs w:val="17"/>
                <w:color w:val="auto"/>
              </w:rPr>
            </w:pPr>
          </w:p>
        </w:tc>
        <w:tc>
          <w:tcPr>
            <w:tcW w:w="224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Income Before Income Tax</w:t>
            </w: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20,230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19,126</w:t>
            </w:r>
          </w:p>
        </w:tc>
      </w:tr>
      <w:tr>
        <w:trPr>
          <w:trHeight w:val="206"/>
        </w:trPr>
        <w:tc>
          <w:tcPr>
            <w:tcW w:w="5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Income tax expense</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3,355</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3,536</w:t>
            </w:r>
          </w:p>
        </w:tc>
      </w:tr>
      <w:tr>
        <w:trPr>
          <w:trHeight w:val="202"/>
        </w:trPr>
        <w:tc>
          <w:tcPr>
            <w:tcW w:w="2840" w:type="dxa"/>
            <w:vAlign w:val="bottom"/>
          </w:tcPr>
          <w:p>
            <w:pPr>
              <w:spacing w:after="0"/>
              <w:rPr>
                <w:sz w:val="17"/>
                <w:szCs w:val="17"/>
                <w:color w:val="auto"/>
              </w:rPr>
            </w:pPr>
          </w:p>
        </w:tc>
        <w:tc>
          <w:tcPr>
            <w:tcW w:w="224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16,875</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15,590</w:t>
            </w: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2"/>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Per Common Share</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06"/>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Basic</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0.82</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0.74</w:t>
            </w: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Diluted</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0.81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0.74</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Comprehensive Income</w:t>
      </w:r>
    </w:p>
    <w:p>
      <w:pPr>
        <w:spacing w:after="0" w:line="22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8"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7"/>
          <w:szCs w:val="17"/>
          <w:color w:val="auto"/>
        </w:rPr>
        <w:t>March 31,</w:t>
      </w:r>
    </w:p>
    <w:p>
      <w:pPr>
        <w:spacing w:after="0" w:line="33" w:lineRule="exact"/>
        <w:rPr>
          <w:sz w:val="20"/>
          <w:szCs w:val="20"/>
          <w:color w:val="auto"/>
        </w:rPr>
      </w:pPr>
    </w:p>
    <w:tbl>
      <w:tblPr>
        <w:tblLayout w:type="fixed"/>
        <w:tblInd w:w="780" w:type="dxa"/>
        <w:tblCellMar>
          <w:top w:w="0" w:type="dxa"/>
          <w:left w:w="0" w:type="dxa"/>
          <w:bottom w:w="0" w:type="dxa"/>
          <w:right w:w="0" w:type="dxa"/>
        </w:tblCellMar>
      </w:tblPr>
      <w:tr>
        <w:trPr>
          <w:trHeight w:val="223"/>
        </w:trPr>
        <w:tc>
          <w:tcPr>
            <w:tcW w:w="6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2025</w:t>
            </w:r>
          </w:p>
        </w:tc>
      </w:tr>
      <w:tr>
        <w:trPr>
          <w:trHeight w:val="216"/>
        </w:trPr>
        <w:tc>
          <w:tcPr>
            <w:tcW w:w="6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color w:val="auto"/>
              </w:rPr>
              <w:t>(Unaudited - In thousands)</w:t>
            </w:r>
          </w:p>
        </w:tc>
      </w:tr>
      <w:tr>
        <w:trPr>
          <w:trHeight w:val="241"/>
        </w:trPr>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15,590</w:t>
            </w:r>
          </w:p>
        </w:tc>
      </w:tr>
      <w:tr>
        <w:trPr>
          <w:trHeight w:val="219"/>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6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w:t>
            </w:r>
          </w:p>
        </w:tc>
      </w:tr>
      <w:tr>
        <w:trPr>
          <w:trHeight w:val="25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of net unrealized losses on securities transferred to held to maturity</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r>
      <w:tr>
        <w:trPr>
          <w:trHeight w:val="258"/>
        </w:trPr>
        <w:tc>
          <w:tcPr>
            <w:tcW w:w="6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adjustments for losses included in earnings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19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 securities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available for sale</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2,732</w:t>
            </w:r>
          </w:p>
        </w:tc>
      </w:tr>
      <w:tr>
        <w:trPr>
          <w:trHeight w:val="219"/>
        </w:trPr>
        <w:tc>
          <w:tcPr>
            <w:tcW w:w="6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19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 securities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available for sale, net of tax</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r>
      <w:tr>
        <w:trPr>
          <w:trHeight w:val="199"/>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instruments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8"/>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58"/>
        </w:trPr>
        <w:tc>
          <w:tcPr>
            <w:tcW w:w="6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 for expense recognized in earnings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w:t>
            </w:r>
          </w:p>
        </w:tc>
      </w:tr>
      <w:tr>
        <w:trPr>
          <w:trHeight w:val="19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 derivative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instruments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r>
      <w:tr>
        <w:trPr>
          <w:trHeight w:val="258"/>
        </w:trPr>
        <w:tc>
          <w:tcPr>
            <w:tcW w:w="6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19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 derivative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8"/>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instruments, net of tax</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r>
      <w:tr>
        <w:trPr>
          <w:trHeight w:val="212"/>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2,861</w:t>
            </w: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80"/>
          </w:cols>
          <w:pgMar w:left="320" w:top="119"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Cash Flows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8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color w:val="auto"/>
              </w:rPr>
              <w:t>(Unaudited - In thousands)</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0" w:type="dxa"/>
            <w:vAlign w:val="bottom"/>
          </w:tcPr>
          <w:p>
            <w:pPr>
              <w:spacing w:after="0"/>
              <w:rPr>
                <w:sz w:val="1"/>
                <w:szCs w:val="1"/>
                <w:color w:val="auto"/>
              </w:rPr>
            </w:pPr>
          </w:p>
        </w:tc>
      </w:tr>
      <w:tr>
        <w:trPr>
          <w:trHeight w:val="16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(Used in) Operating Activities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75,999</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(75,684)</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loan fees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 and loans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on sales of securities available for sale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on sale of capitalized mortgage loan servicing rights</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accrued income and other 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0" w:type="dxa"/>
            <w:vAlign w:val="bottom"/>
          </w:tcPr>
          <w:p>
            <w:pPr>
              <w:spacing w:after="0"/>
              <w:rPr>
                <w:sz w:val="1"/>
                <w:szCs w:val="1"/>
                <w:color w:val="auto"/>
              </w:rPr>
            </w:pPr>
          </w:p>
        </w:tc>
      </w:tr>
      <w:tr>
        <w:trPr>
          <w:trHeight w:val="186"/>
        </w:trPr>
        <w:tc>
          <w:tcPr>
            <w:tcW w:w="8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Decrease in accrued expenses and other liabilities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(24,736)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0" w:type="dxa"/>
            <w:vAlign w:val="bottom"/>
          </w:tcPr>
          <w:p>
            <w:pPr>
              <w:spacing w:after="0"/>
              <w:rPr>
                <w:sz w:val="1"/>
                <w:szCs w:val="1"/>
                <w:color w:val="auto"/>
              </w:rPr>
            </w:pPr>
          </w:p>
        </w:tc>
      </w:tr>
      <w:tr>
        <w:trPr>
          <w:trHeight w:val="193"/>
        </w:trPr>
        <w:tc>
          <w:tcPr>
            <w:tcW w:w="8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Total Adjustments</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0" w:type="dxa"/>
            <w:vAlign w:val="bottom"/>
          </w:tcPr>
          <w:p>
            <w:pPr>
              <w:spacing w:after="0"/>
              <w:rPr>
                <w:sz w:val="1"/>
                <w:szCs w:val="1"/>
                <w:color w:val="auto"/>
              </w:rPr>
            </w:pPr>
          </w:p>
        </w:tc>
      </w:tr>
      <w:tr>
        <w:trPr>
          <w:trHeight w:val="179"/>
        </w:trPr>
        <w:tc>
          <w:tcPr>
            <w:tcW w:w="860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Operating Activities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19,252</w:t>
            </w:r>
          </w:p>
        </w:tc>
        <w:tc>
          <w:tcPr>
            <w:tcW w:w="0" w:type="dxa"/>
            <w:vAlign w:val="bottom"/>
          </w:tcPr>
          <w:p>
            <w:pPr>
              <w:spacing w:after="0"/>
              <w:rPr>
                <w:sz w:val="1"/>
                <w:szCs w:val="1"/>
                <w:color w:val="auto"/>
              </w:rPr>
            </w:pPr>
          </w:p>
        </w:tc>
      </w:tr>
      <w:tr>
        <w:trPr>
          <w:trHeight w:val="17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(Used in) Investing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22,503</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11,105</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Federal Home Loan Bank stock</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(41,952)</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8,912</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capitalized mortgage loan servicing rights</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12,447</w:t>
            </w:r>
          </w:p>
        </w:tc>
        <w:tc>
          <w:tcPr>
            <w:tcW w:w="0" w:type="dxa"/>
            <w:vAlign w:val="bottom"/>
          </w:tcPr>
          <w:p>
            <w:pPr>
              <w:spacing w:after="0"/>
              <w:rPr>
                <w:sz w:val="1"/>
                <w:szCs w:val="1"/>
                <w:color w:val="auto"/>
              </w:rPr>
            </w:pPr>
          </w:p>
        </w:tc>
      </w:tr>
      <w:tr>
        <w:trPr>
          <w:trHeight w:val="193"/>
        </w:trPr>
        <w:tc>
          <w:tcPr>
            <w:tcW w:w="8600" w:type="dxa"/>
            <w:vAlign w:val="bottom"/>
            <w:tcBorders>
              <w:top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Investing Activities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15,781</w:t>
            </w:r>
          </w:p>
        </w:tc>
        <w:tc>
          <w:tcPr>
            <w:tcW w:w="0" w:type="dxa"/>
            <w:vAlign w:val="bottom"/>
          </w:tcPr>
          <w:p>
            <w:pPr>
              <w:spacing w:after="0"/>
              <w:rPr>
                <w:sz w:val="1"/>
                <w:szCs w:val="1"/>
                <w:color w:val="auto"/>
              </w:rPr>
            </w:pPr>
          </w:p>
        </w:tc>
      </w:tr>
      <w:tr>
        <w:trPr>
          <w:trHeight w:val="164"/>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(Used in) Financing Activities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total deposits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(20,157)</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other borrowings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79"/>
        </w:trPr>
        <w:tc>
          <w:tcPr>
            <w:tcW w:w="860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Financing Activities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62,380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(26,770)</w:t>
            </w:r>
          </w:p>
        </w:tc>
        <w:tc>
          <w:tcPr>
            <w:tcW w:w="0" w:type="dxa"/>
            <w:vAlign w:val="bottom"/>
          </w:tcPr>
          <w:p>
            <w:pPr>
              <w:spacing w:after="0"/>
              <w:rPr>
                <w:sz w:val="1"/>
                <w:szCs w:val="1"/>
                <w:color w:val="auto"/>
              </w:rPr>
            </w:pPr>
          </w:p>
        </w:tc>
      </w:tr>
      <w:tr>
        <w:trPr>
          <w:trHeight w:val="193"/>
        </w:trPr>
        <w:tc>
          <w:tcPr>
            <w:tcW w:w="8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8,263</w:t>
            </w:r>
          </w:p>
        </w:tc>
        <w:tc>
          <w:tcPr>
            <w:tcW w:w="0" w:type="dxa"/>
            <w:vAlign w:val="bottom"/>
          </w:tcPr>
          <w:p>
            <w:pPr>
              <w:spacing w:after="0"/>
              <w:rPr>
                <w:sz w:val="1"/>
                <w:szCs w:val="1"/>
                <w:color w:val="auto"/>
              </w:rPr>
            </w:pPr>
          </w:p>
        </w:tc>
      </w:tr>
      <w:tr>
        <w:trPr>
          <w:trHeight w:val="186"/>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138,387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0" w:type="dxa"/>
            <w:vAlign w:val="bottom"/>
          </w:tcPr>
          <w:p>
            <w:pPr>
              <w:spacing w:after="0"/>
              <w:rPr>
                <w:sz w:val="1"/>
                <w:szCs w:val="1"/>
                <w:color w:val="auto"/>
              </w:rPr>
            </w:pPr>
          </w:p>
        </w:tc>
      </w:tr>
      <w:tr>
        <w:trPr>
          <w:trHeight w:val="218"/>
        </w:trPr>
        <w:tc>
          <w:tcPr>
            <w:tcW w:w="8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174,915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128,145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21,576</w:t>
            </w:r>
          </w:p>
        </w:tc>
        <w:tc>
          <w:tcPr>
            <w:tcW w:w="0" w:type="dxa"/>
            <w:vAlign w:val="bottom"/>
          </w:tcPr>
          <w:p>
            <w:pPr>
              <w:spacing w:after="0"/>
              <w:rPr>
                <w:sz w:val="1"/>
                <w:szCs w:val="1"/>
                <w:color w:val="auto"/>
              </w:rPr>
            </w:pPr>
          </w:p>
        </w:tc>
      </w:tr>
      <w:tr>
        <w:trPr>
          <w:trHeight w:val="186"/>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86"/>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securities held to maturity not yet settled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Accumulated</w:t>
            </w: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15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Comprehensive 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35"/>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2026</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502,951</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March 31, 2026</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16,875</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$0.28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58,847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24,725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2026</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510,553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454,686</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March 31, 2025</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$0.26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1,093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106,099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29"/>
        </w:trPr>
        <w:tc>
          <w:tcPr>
            <w:tcW w:w="4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33,398 shares of</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2025</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318,365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215,995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(67,083)</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467,277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7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Financial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interim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interim condensed consolidated financial statements should be read in conjunction with the audited consolidated financial statements and notes for the year ended December 31, 2025 included in our Annual Report on Form 10-K.</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opinion, the accompanying unaudited interim condensed consolidated financial statements contain all the adjustments necessary to present fairly our consolidated financial condition as of March 31, 2026 and December 31, 2025, and the results of operations for the three-month periods ended March 31, 2026 and 2025. The results of operations for the three-month periods ended March 31, 2026, are not necessarily indicative of the results to be expected for the full year. Certain reclassifications have been made in the prior period interim condensed consolidated financial statements to conform to the current period presentation. Our critical accounting policies include the determination of the allowance for credit losses (“ACL”) and the valuation of capitalized mortgage loan servicing rights. Refer to our 2025 Annual Report on Form 10-K for a disclosure of our accounting policies.</w:t>
      </w:r>
    </w:p>
    <w:p>
      <w:pPr>
        <w:spacing w:after="0" w:line="147"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Accounting Standards</w:t>
      </w:r>
    </w:p>
    <w:p>
      <w:pPr>
        <w:spacing w:after="0" w:line="17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December, 2024, the FASB issued ASU 2024-03, "Income Statement - Reporting Comprehensive Income - Expense Disaggregation Disclosures (Subtopic 220-40): Disaggregation of Income Statement Expenses". This ASU requires public business entities to disaggregate certain expense captions into specific categories in disclosures within the footnotes to the consolidated financial statements. This ASU takes effect in annual reporting periods beginning after December 15, 2026, and interim reporting periods within annual reporting periods beginning after December 15, 2027, with early adoption permitted. We do not expect the adoption of this ASU to have a material impact on our interim Condensed Consolidated Financial Statements.</w:t>
      </w:r>
    </w:p>
    <w:p>
      <w:pPr>
        <w:spacing w:after="0" w:line="136"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In November 2025, the FASB issued ASU 2025-08, "Financial Instruments—Credit Losses (Topic 326): Purchased Financial Assets". This ASU amends the accounting for purchased credit deteriorated (“PCD”) financial assets and non-purchased credit deteriorated ("non-PCD") financial assets under Topic 326. The amendments broaden the population of financial assets that are within the scope of the gross-up approach under Topic 326 to include purchased seasoned loans ("PSL"), which are defined as non-PCD loans that are obtained in a business combination, or non-PCD loans that (1) are obtained in an asset acquisition or upon consolidation of a variable interest entity that is not a business and (2) are acquired more than 90 days after their origination date by a transferee that was not involved in their origination. This eliminates the day-one earnings impact that previously occurred for non-PCD loans. The ASU also requires separate presentation of the initial ACL for PSLs within the ACL rollforward. This ASU is effective for fiscal years beginning after December 15, 2026, with early adoption permitted. The adoption of this ASU effective October 1, 2025 did not have a material impact on our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  Securities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available for sale (“AFS”) consist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Amortized</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Unrealized</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Gains</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Losses</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5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85,488</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37,107</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28,939</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273,560</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41,999</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0" w:type="dxa"/>
            <w:vAlign w:val="bottom"/>
          </w:tcPr>
          <w:p>
            <w:pPr>
              <w:spacing w:after="0"/>
              <w:rPr>
                <w:sz w:val="1"/>
                <w:szCs w:val="1"/>
                <w:color w:val="auto"/>
              </w:rPr>
            </w:pPr>
          </w:p>
        </w:tc>
      </w:tr>
      <w:tr>
        <w:trPr>
          <w:trHeight w:val="237"/>
        </w:trPr>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482,295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8,320</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7,917</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81,065</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7,186</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40,506</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30,185</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319,402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280,402</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47,661</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546,863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51,384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495,909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held to maturity (“HTM”)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auto"/>
              </w:rPr>
              <w:t>Unrecognized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00"/>
              <w:spacing w:after="0" w:line="184" w:lineRule="exact"/>
              <w:rPr>
                <w:sz w:val="20"/>
                <w:szCs w:val="20"/>
                <w:color w:val="auto"/>
              </w:rPr>
            </w:pPr>
            <w:r>
              <w:rPr>
                <w:rFonts w:ascii="Times New Roman" w:cs="Times New Roman" w:eastAsia="Times New Roman" w:hAnsi="Times New Roman"/>
                <w:sz w:val="17"/>
                <w:szCs w:val="17"/>
                <w:color w:val="auto"/>
              </w:rPr>
              <w:t>Amortized</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(1)</w:t>
            </w: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Gains</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1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6"/>
              </w:rPr>
              <w:t>(In thousands)</w:t>
            </w:r>
          </w:p>
        </w:tc>
        <w:tc>
          <w:tcPr>
            <w:tcW w:w="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19,669</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78,861</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7,100</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134,561</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26,889</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301,007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313,364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271,452</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19,833</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81,251</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3,547</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7,104</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139,409</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30,686</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309,523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322,597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39,803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282,830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64" w:lineRule="exact"/>
        <w:rPr>
          <w:sz w:val="20"/>
          <w:szCs w:val="20"/>
          <w:color w:val="auto"/>
        </w:rPr>
      </w:pPr>
    </w:p>
    <w:tbl>
      <w:tblPr>
        <w:tblLayout w:type="fixed"/>
        <w:tblInd w:w="2680" w:type="dxa"/>
        <w:tblCellMar>
          <w:top w:w="0" w:type="dxa"/>
          <w:left w:w="0" w:type="dxa"/>
          <w:bottom w:w="0" w:type="dxa"/>
          <w:right w:w="0" w:type="dxa"/>
        </w:tblCellMar>
      </w:tblPr>
      <w:tr>
        <w:trPr>
          <w:trHeight w:val="223"/>
        </w:trPr>
        <w:tc>
          <w:tcPr>
            <w:tcW w:w="28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Less Than Twelve Months</w:t>
            </w:r>
          </w:p>
        </w:tc>
        <w:tc>
          <w:tcPr>
            <w:tcW w:w="288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Twelve Months or More</w:t>
            </w:r>
          </w:p>
        </w:tc>
        <w:tc>
          <w:tcPr>
            <w:tcW w:w="1140" w:type="dxa"/>
            <w:vAlign w:val="bottom"/>
          </w:tcPr>
          <w:p>
            <w:pPr>
              <w:spacing w:after="0"/>
              <w:rPr>
                <w:sz w:val="19"/>
                <w:szCs w:val="19"/>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r>
      <w:tr>
        <w:trPr>
          <w:trHeight w:val="160"/>
        </w:trPr>
        <w:tc>
          <w:tcPr>
            <w:tcW w:w="13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left="234"/>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r>
      <w:tr>
        <w:trPr>
          <w:trHeight w:val="232"/>
        </w:trPr>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9"/>
              </w:rPr>
              <w:t>Losses</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Losses</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6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0</wp:posOffset>
            </wp:positionV>
            <wp:extent cx="5443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7"/>
          <w:szCs w:val="17"/>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33"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62" w:lineRule="exact"/>
        <w:rPr>
          <w:sz w:val="20"/>
          <w:szCs w:val="20"/>
          <w:color w:val="auto"/>
        </w:rPr>
      </w:pPr>
    </w:p>
    <w:p>
      <w:pPr>
        <w:ind w:left="320" w:right="260" w:hanging="154"/>
        <w:spacing w:after="0" w:line="284"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1" w:lineRule="exact"/>
        <w:rPr>
          <w:sz w:val="20"/>
          <w:szCs w:val="20"/>
          <w:color w:val="auto"/>
        </w:rPr>
      </w:pPr>
    </w:p>
    <w:p>
      <w:pPr>
        <w:ind w:left="320" w:right="160" w:hanging="154"/>
        <w:spacing w:after="0" w:line="284"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500"/>
        <w:spacing w:after="0" w:line="316"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00" w:hanging="154"/>
        <w:spacing w:after="0" w:line="284"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62" w:lineRule="exact"/>
        <w:rPr>
          <w:sz w:val="20"/>
          <w:szCs w:val="20"/>
          <w:color w:val="auto"/>
        </w:rPr>
      </w:pPr>
    </w:p>
    <w:p>
      <w:pPr>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220"/>
        <w:spacing w:after="0"/>
        <w:tabs>
          <w:tab w:leader="none" w:pos="640" w:val="left"/>
          <w:tab w:leader="none" w:pos="1820" w:val="left"/>
          <w:tab w:leader="none" w:pos="2080" w:val="left"/>
        </w:tabs>
        <w:rPr>
          <w:sz w:val="20"/>
          <w:szCs w:val="20"/>
          <w:color w:val="auto"/>
        </w:rPr>
      </w:pPr>
      <w:r>
        <w:rPr>
          <w:rFonts w:ascii="Times New Roman" w:cs="Times New Roman" w:eastAsia="Times New Roman" w:hAnsi="Times New Roman"/>
          <w:sz w:val="17"/>
          <w:szCs w:val="17"/>
          <w:color w:val="auto"/>
        </w:rPr>
        <w:t>953</w:t>
        <w:tab/>
        <w:t>$</w:t>
      </w:r>
      <w:r>
        <w:rPr>
          <w:sz w:val="20"/>
          <w:szCs w:val="20"/>
          <w:color w:val="auto"/>
        </w:rPr>
        <w:tab/>
      </w: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6"/>
          <w:szCs w:val="16"/>
          <w:color w:val="auto"/>
        </w:rPr>
        <w:t>$</w:t>
      </w:r>
    </w:p>
    <w:p>
      <w:pPr>
        <w:spacing w:after="0" w:line="26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7"/>
          <w:szCs w:val="17"/>
          <w:color w:val="auto"/>
        </w:rPr>
        <w:t>17,066</w:t>
      </w:r>
      <w:r>
        <w:rPr>
          <w:sz w:val="20"/>
          <w:szCs w:val="20"/>
          <w:color w:val="auto"/>
        </w:rPr>
        <w:tab/>
      </w: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17145</wp:posOffset>
            </wp:positionV>
            <wp:extent cx="7138670" cy="294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49" w:lineRule="exact"/>
        <w:rPr>
          <w:sz w:val="20"/>
          <w:szCs w:val="20"/>
          <w:color w:val="auto"/>
        </w:rPr>
      </w:pPr>
    </w:p>
    <w:p>
      <w:pPr>
        <w:ind w:left="300"/>
        <w:spacing w:after="0"/>
        <w:tabs>
          <w:tab w:leader="none" w:pos="17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62" w:lineRule="exact"/>
        <w:rPr>
          <w:sz w:val="20"/>
          <w:szCs w:val="20"/>
          <w:color w:val="auto"/>
        </w:rPr>
      </w:pPr>
    </w:p>
    <w:p>
      <w:pPr>
        <w:ind w:left="220"/>
        <w:spacing w:after="0"/>
        <w:tabs>
          <w:tab w:leader="none" w:pos="1720"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17145</wp:posOffset>
            </wp:positionV>
            <wp:extent cx="7138670" cy="163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20"/>
        <w:spacing w:after="0"/>
        <w:tabs>
          <w:tab w:leader="none" w:pos="1720" w:val="left"/>
        </w:tabs>
        <w:rPr>
          <w:sz w:val="20"/>
          <w:szCs w:val="20"/>
          <w:color w:val="auto"/>
        </w:rPr>
      </w:pPr>
      <w:r>
        <w:rPr>
          <w:rFonts w:ascii="Times New Roman" w:cs="Times New Roman" w:eastAsia="Times New Roman" w:hAnsi="Times New Roman"/>
          <w:sz w:val="17"/>
          <w:szCs w:val="17"/>
          <w:color w:val="auto"/>
        </w:rPr>
        <w:t>147</w:t>
      </w:r>
      <w:r>
        <w:rPr>
          <w:sz w:val="20"/>
          <w:szCs w:val="20"/>
          <w:color w:val="auto"/>
        </w:rPr>
        <w:tab/>
      </w:r>
      <w:r>
        <w:rPr>
          <w:rFonts w:ascii="Times New Roman" w:cs="Times New Roman" w:eastAsia="Times New Roman" w:hAnsi="Times New Roman"/>
          <w:sz w:val="17"/>
          <w:szCs w:val="17"/>
          <w:color w:val="auto"/>
        </w:rPr>
        <w:t>—</w:t>
      </w:r>
    </w:p>
    <w:p>
      <w:pPr>
        <w:spacing w:after="0" w:line="269" w:lineRule="exact"/>
        <w:rPr>
          <w:sz w:val="20"/>
          <w:szCs w:val="20"/>
          <w:color w:val="auto"/>
        </w:rPr>
      </w:pPr>
    </w:p>
    <w:p>
      <w:pPr>
        <w:ind w:left="300"/>
        <w:spacing w:after="0"/>
        <w:tabs>
          <w:tab w:leader="none" w:pos="17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17145</wp:posOffset>
            </wp:positionV>
            <wp:extent cx="7138670" cy="163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100"/>
        <w:spacing w:after="0"/>
        <w:tabs>
          <w:tab w:leader="none" w:pos="1820" w:val="left"/>
        </w:tabs>
        <w:rPr>
          <w:sz w:val="20"/>
          <w:szCs w:val="20"/>
          <w:color w:val="auto"/>
        </w:rPr>
      </w:pPr>
      <w:r>
        <w:rPr>
          <w:rFonts w:ascii="Times New Roman" w:cs="Times New Roman" w:eastAsia="Times New Roman" w:hAnsi="Times New Roman"/>
          <w:sz w:val="17"/>
          <w:szCs w:val="17"/>
          <w:color w:val="auto"/>
        </w:rPr>
        <w:t>4,365</w:t>
      </w:r>
      <w:r>
        <w:rPr>
          <w:sz w:val="20"/>
          <w:szCs w:val="20"/>
          <w:color w:val="auto"/>
        </w:rPr>
        <w:tab/>
      </w:r>
      <w:r>
        <w:rPr>
          <w:rFonts w:ascii="Times New Roman" w:cs="Times New Roman" w:eastAsia="Times New Roman" w:hAnsi="Times New Roman"/>
          <w:sz w:val="17"/>
          <w:szCs w:val="17"/>
          <w:color w:val="auto"/>
        </w:rPr>
        <w:t>5</w:t>
      </w:r>
    </w:p>
    <w:p>
      <w:pPr>
        <w:spacing w:after="0" w:line="62" w:lineRule="exact"/>
        <w:rPr>
          <w:sz w:val="20"/>
          <w:szCs w:val="20"/>
          <w:color w:val="auto"/>
        </w:rPr>
      </w:pPr>
    </w:p>
    <w:p>
      <w:pPr>
        <w:ind w:left="300"/>
        <w:spacing w:after="0"/>
        <w:tabs>
          <w:tab w:leader="none" w:pos="17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17145</wp:posOffset>
            </wp:positionV>
            <wp:extent cx="7138670" cy="163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7" w:lineRule="exact"/>
        <w:rPr>
          <w:sz w:val="20"/>
          <w:szCs w:val="20"/>
          <w:color w:val="auto"/>
        </w:rPr>
      </w:pPr>
    </w:p>
    <w:p>
      <w:pPr>
        <w:spacing w:after="0"/>
        <w:tabs>
          <w:tab w:leader="none" w:pos="640" w:val="left"/>
          <w:tab w:leader="none" w:pos="1640" w:val="left"/>
          <w:tab w:leader="none" w:pos="2080" w:val="left"/>
        </w:tabs>
        <w:rPr>
          <w:sz w:val="20"/>
          <w:szCs w:val="20"/>
          <w:color w:val="auto"/>
        </w:rPr>
      </w:pPr>
      <w:r>
        <w:rPr>
          <w:rFonts w:ascii="Times New Roman" w:cs="Times New Roman" w:eastAsia="Times New Roman" w:hAnsi="Times New Roman"/>
          <w:sz w:val="17"/>
          <w:szCs w:val="17"/>
          <w:color w:val="auto"/>
        </w:rPr>
        <w:t>22,634</w:t>
        <w:tab/>
        <w:t>$</w:t>
      </w:r>
      <w:r>
        <w:rPr>
          <w:sz w:val="20"/>
          <w:szCs w:val="20"/>
          <w:color w:val="auto"/>
        </w:rPr>
        <w:tab/>
      </w:r>
      <w:r>
        <w:rPr>
          <w:rFonts w:ascii="Times New Roman" w:cs="Times New Roman" w:eastAsia="Times New Roman" w:hAnsi="Times New Roman"/>
          <w:sz w:val="17"/>
          <w:szCs w:val="17"/>
          <w:color w:val="auto"/>
        </w:rPr>
        <w:t>158</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41910</wp:posOffset>
            </wp:positionV>
            <wp:extent cx="1776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6,238</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7,191</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47,360</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6,906</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6,967</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36,327</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24,473</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273,059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273,059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42,979</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37,469</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1,777</w:t>
            </w:r>
          </w:p>
        </w:tc>
      </w:tr>
      <w:tr>
        <w:trPr>
          <w:trHeight w:val="257"/>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984</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432,877</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55,645</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455,511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55,803</w:t>
            </w:r>
          </w:p>
        </w:tc>
      </w:tr>
      <w:tr>
        <w:trPr>
          <w:trHeight w:val="20"/>
        </w:trPr>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-7620</wp:posOffset>
            </wp:positionV>
            <wp:extent cx="859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780" w:space="700"/>
            <w:col w:w="2180" w:space="620"/>
            <w:col w:w="4960"/>
          </w:cols>
          <w:pgMar w:left="320" w:top="119" w:right="339" w:bottom="1440" w:gutter="0" w:footer="0" w:header="0"/>
          <w:type w:val="continuous"/>
        </w:sectPr>
      </w:pP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w:t>
            </w:r>
          </w:p>
        </w:tc>
        <w:tc>
          <w:tcPr>
            <w:tcW w:w="100" w:type="dxa"/>
            <w:vAlign w:val="bottom"/>
          </w:tcPr>
          <w:p>
            <w:pPr>
              <w:spacing w:after="0"/>
              <w:rPr>
                <w:sz w:val="22"/>
                <w:szCs w:val="22"/>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 residential mortgage-</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backed</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21"/>
                <w:szCs w:val="21"/>
                <w:color w:val="auto"/>
              </w:rPr>
            </w:pP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 commercial mortgage-</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backed</w:t>
            </w:r>
          </w:p>
        </w:tc>
        <w:tc>
          <w:tcPr>
            <w:tcW w:w="5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5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asset backed</w:t>
            </w: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22"/>
                <w:szCs w:val="22"/>
                <w:color w:val="auto"/>
              </w:rPr>
            </w:pPr>
          </w:p>
        </w:tc>
      </w:tr>
      <w:tr>
        <w:trPr>
          <w:trHeight w:val="21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Obligations of states and political</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9"/>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subdivisions</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spacing w:after="0"/>
              <w:rPr>
                <w:sz w:val="21"/>
                <w:szCs w:val="21"/>
                <w:color w:val="auto"/>
              </w:rPr>
            </w:pPr>
          </w:p>
        </w:tc>
      </w:tr>
      <w:tr>
        <w:trPr>
          <w:trHeight w:val="25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w:t>
            </w:r>
          </w:p>
        </w:tc>
        <w:tc>
          <w:tcPr>
            <w:tcW w:w="5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r>
      <w:tr>
        <w:trPr>
          <w:trHeight w:val="257"/>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Trust preferred</w:t>
            </w:r>
          </w:p>
        </w:tc>
        <w:tc>
          <w:tcPr>
            <w:tcW w:w="5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r>
      <w:tr>
        <w:trPr>
          <w:trHeight w:val="212"/>
        </w:trPr>
        <w:tc>
          <w:tcPr>
            <w:tcW w:w="2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9,451</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-2021205</wp:posOffset>
            </wp:positionV>
            <wp:extent cx="7138670" cy="139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-1718310</wp:posOffset>
            </wp:positionV>
            <wp:extent cx="7138670" cy="294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-1129030</wp:posOffset>
            </wp:positionV>
            <wp:extent cx="7138670" cy="163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-801370</wp:posOffset>
            </wp:positionV>
            <wp:extent cx="7138670" cy="294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-342900</wp:posOffset>
            </wp:positionV>
            <wp:extent cx="7138670" cy="163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6,884</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56,034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6,506</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7,186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39,234</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24,417</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25,809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464"/>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280,246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38,991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280,402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39,000</w:t>
            </w:r>
          </w:p>
        </w:tc>
      </w:tr>
      <w:tr>
        <w:trPr>
          <w:trHeight w:val="258"/>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45,986</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r>
      <w:tr>
        <w:trPr>
          <w:trHeight w:val="257"/>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987</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454,043</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51,366</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463,494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51,384</w:t>
            </w:r>
          </w:p>
        </w:tc>
      </w:tr>
      <w:tr>
        <w:trPr>
          <w:trHeight w:val="20"/>
        </w:trPr>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-32385</wp:posOffset>
            </wp:positionV>
            <wp:extent cx="859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97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-7620</wp:posOffset>
            </wp:positionV>
            <wp:extent cx="859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97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-179705</wp:posOffset>
            </wp:positionV>
            <wp:extent cx="859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620"/>
            <w:col w:w="4960"/>
          </w:cols>
          <w:pgMar w:left="320" w:top="119" w:right="339" w:bottom="1440" w:gutter="0" w:footer="0" w:header="0"/>
          <w:type w:val="continuous"/>
        </w:sectPr>
      </w:pP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earnings. No securities AFS met these two criteria during the periods presented.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March 31, 2026 and December 31, 2025. Accrued interest receivable on securities AFS totaled $3.0 million and $3.5</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million at March 31, 2026 and December 31, 2025, respectively, and is excluded from the estimate of credit losses and is included in accrued income and other assets in the interim Condensed Consolidated Statements of Financial Condition.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securities AFS with an unrealized loss by grouping as of March 31, 2026.</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agency, U.S. agency residential mortgage-backed and U.S. agency commercial mortgage-backed securities — at March 31, 2026, we had 29 U.S. agency, 95 U.S. agency residential mortgage-backed and 8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label mortgage-backed, other asset backed and corporate securities — at March 31, 2026, we had 46 private label mortgage-backed, 39 other asset backed, and 49 corporate securities whose fair value is less than amortized cost. The unrealized losses are primarily due to credit spread widening and/or an increase in interest rates since acquisition.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 — at March 31, 2026, we had 283 municipal securities whose fair value is less than amortized cost. The unrealized losses are primarily due to an increase in interest rates since acquisition.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Trust preferred securities — at March 31, 2026,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2026 management does not intend to liquidate any of the securities discussed above and it is more likely than not that we will not be required to sell these securities prior to recovery of these unrealized losses.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no credit related charges in our interim Condensed Consolidated Statements of Operations related to securities AFS during the three month periods ended March 31, 2026 and 2025, respectively.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totaled $1.6 million and $1.5 million March 31, 2026 and December 31, 2025, respectively, and is excluded from the estimate of credit losses and is included in accrued income and other assets in the interim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The long-term historical loss rates associated with securities having similar grades as those in our portfolio have been insignificant. Furthermore, as of March 31, 2026 and December 31, 2025, there were no past due principal and interest payments associated with these securities. At both those same dates an allowance for credit losses of $92,000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a quarterly basis, we monitor the credit quality of securities HTM through the use of credit ratings. The carrying value of securities HTM aggregated by credit quality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48"/>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500" w:type="dxa"/>
            <w:vAlign w:val="bottom"/>
            <w:shd w:val="clear" w:color="auto" w:fill="CCEEFF"/>
          </w:tcPr>
          <w:p>
            <w:pPr>
              <w:jc w:val="center"/>
              <w:ind w:right="2274"/>
              <w:spacing w:after="0"/>
              <w:rPr>
                <w:sz w:val="20"/>
                <w:szCs w:val="20"/>
                <w:color w:val="auto"/>
              </w:rPr>
            </w:pPr>
            <w:r>
              <w:rPr>
                <w:rFonts w:ascii="Times New Roman" w:cs="Times New Roman" w:eastAsia="Times New Roman" w:hAnsi="Times New Roman"/>
                <w:sz w:val="17"/>
                <w:szCs w:val="17"/>
                <w:color w:val="auto"/>
              </w:rPr>
              <w:t>March 31, 2026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24,397</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113,899</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6,239</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20,330</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17,063</w:t>
            </w:r>
          </w:p>
        </w:tc>
      </w:tr>
      <w:tr>
        <w:trPr>
          <w:trHeight w:val="237"/>
        </w:trPr>
        <w:tc>
          <w:tcPr>
            <w:tcW w:w="35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183,916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24,651</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116,264</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6,240</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24,255</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17,050</w:t>
            </w:r>
          </w:p>
        </w:tc>
      </w:tr>
      <w:tr>
        <w:trPr>
          <w:trHeight w:val="237"/>
        </w:trPr>
        <w:tc>
          <w:tcPr>
            <w:tcW w:w="3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190,443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three months ended March 31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securities HTM on nonaccrual or past due at March 31, 2026 and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amortized cost and fair value of securities AFS and securities HTM at March 31, 2026, by contractual maturity,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Securities AFS</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Securities HTM</w:t>
            </w:r>
          </w:p>
        </w:tc>
        <w:tc>
          <w:tcPr>
            <w:tcW w:w="960" w:type="dxa"/>
            <w:vAlign w:val="bottom"/>
            <w:tcBorders>
              <w:bottom w:val="single" w:sz="8" w:color="auto"/>
            </w:tcBorders>
          </w:tcPr>
          <w:p>
            <w:pPr>
              <w:spacing w:after="0"/>
              <w:rPr>
                <w:sz w:val="19"/>
                <w:szCs w:val="19"/>
                <w:color w:val="auto"/>
              </w:rPr>
            </w:pPr>
          </w:p>
        </w:tc>
      </w:tr>
      <w:tr>
        <w:trPr>
          <w:trHeight w:val="170"/>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7"/>
                <w:szCs w:val="17"/>
                <w:color w:val="auto"/>
              </w:rPr>
              <w:t>Amortized</w:t>
            </w:r>
          </w:p>
        </w:tc>
        <w:tc>
          <w:tcPr>
            <w:tcW w:w="500" w:type="dxa"/>
            <w:vAlign w:val="bottom"/>
          </w:tcPr>
          <w:p>
            <w:pPr>
              <w:spacing w:after="0"/>
              <w:rPr>
                <w:sz w:val="14"/>
                <w:szCs w:val="14"/>
                <w:color w:val="auto"/>
              </w:rPr>
            </w:pPr>
          </w:p>
        </w:tc>
        <w:tc>
          <w:tcPr>
            <w:tcW w:w="980" w:type="dxa"/>
            <w:vAlign w:val="bottom"/>
          </w:tcPr>
          <w:p>
            <w:pPr>
              <w:jc w:val="center"/>
              <w:ind w:right="414"/>
              <w:spacing w:after="0" w:line="170" w:lineRule="exact"/>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7"/>
                <w:szCs w:val="17"/>
                <w:color w:val="auto"/>
              </w:rPr>
              <w:t>Amortized</w:t>
            </w:r>
          </w:p>
        </w:tc>
        <w:tc>
          <w:tcPr>
            <w:tcW w:w="520" w:type="dxa"/>
            <w:vAlign w:val="bottom"/>
          </w:tcPr>
          <w:p>
            <w:pPr>
              <w:spacing w:after="0"/>
              <w:rPr>
                <w:sz w:val="14"/>
                <w:szCs w:val="14"/>
                <w:color w:val="auto"/>
              </w:rPr>
            </w:pPr>
          </w:p>
        </w:tc>
        <w:tc>
          <w:tcPr>
            <w:tcW w:w="960" w:type="dxa"/>
            <w:vAlign w:val="bottom"/>
          </w:tcPr>
          <w:p>
            <w:pPr>
              <w:jc w:val="right"/>
              <w:ind w:right="514"/>
              <w:spacing w:after="0" w:line="170" w:lineRule="exact"/>
              <w:rPr>
                <w:sz w:val="20"/>
                <w:szCs w:val="20"/>
                <w:color w:val="auto"/>
              </w:rPr>
            </w:pPr>
            <w:r>
              <w:rPr>
                <w:rFonts w:ascii="Times New Roman" w:cs="Times New Roman" w:eastAsia="Times New Roman" w:hAnsi="Times New Roman"/>
                <w:sz w:val="17"/>
                <w:szCs w:val="17"/>
                <w:color w:val="auto"/>
              </w:rPr>
              <w:t>Fair</w:t>
            </w:r>
          </w:p>
        </w:tc>
      </w:tr>
      <w:tr>
        <w:trPr>
          <w:trHeight w:val="223"/>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7"/>
                <w:szCs w:val="17"/>
                <w:color w:val="auto"/>
                <w:w w:val="98"/>
              </w:rPr>
              <w:t>Value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6"/>
              </w:rPr>
              <w:t>Cost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12"/>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7"/>
                <w:szCs w:val="17"/>
                <w:color w:val="auto"/>
              </w:rPr>
              <w:t>(In thousands)</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within one year</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15,489</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Maturing after one year but within five years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42,376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40,399</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after five years but within ten years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82,603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73,956</w:t>
            </w:r>
          </w:p>
        </w:tc>
      </w:tr>
      <w:tr>
        <w:trPr>
          <w:trHeight w:val="21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Maturing after ten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186,047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151,962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63,039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52,275</w:t>
            </w:r>
          </w:p>
        </w:tc>
      </w:tr>
      <w:tr>
        <w:trPr>
          <w:trHeight w:val="212"/>
        </w:trPr>
        <w:tc>
          <w:tcPr>
            <w:tcW w:w="5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368,982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203,669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182,119</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98,746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78,861</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7,100</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537,672</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482,295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313,364</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271,452</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5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14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actual maturity may differ from the contractual maturity because issuers may have the right to call or prepay obligations with or without call or prepayment penalties.</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three month periods ending March 31,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Realized</w:t>
            </w:r>
          </w:p>
        </w:tc>
        <w:tc>
          <w:tcPr>
            <w:tcW w:w="1100" w:type="dxa"/>
            <w:vAlign w:val="bottom"/>
            <w:tcBorders>
              <w:bottom w:val="single" w:sz="8" w:color="auto"/>
            </w:tcBorders>
          </w:tcPr>
          <w:p>
            <w:pPr>
              <w:spacing w:after="0"/>
              <w:rPr>
                <w:sz w:val="19"/>
                <w:szCs w:val="19"/>
                <w:color w:val="auto"/>
              </w:rPr>
            </w:pPr>
          </w:p>
        </w:tc>
      </w:tr>
      <w:tr>
        <w:trPr>
          <w:trHeight w:val="212"/>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534"/>
              <w:spacing w:after="0"/>
              <w:rPr>
                <w:sz w:val="20"/>
                <w:szCs w:val="20"/>
                <w:color w:val="auto"/>
              </w:rPr>
            </w:pPr>
            <w:r>
              <w:rPr>
                <w:rFonts w:ascii="Times New Roman" w:cs="Times New Roman" w:eastAsia="Times New Roman" w:hAnsi="Times New Roman"/>
                <w:sz w:val="17"/>
                <w:szCs w:val="17"/>
                <w:color w:val="auto"/>
              </w:rPr>
              <w:t>Gains</w:t>
            </w: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Losses</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554"/>
              <w:spacing w:after="0"/>
              <w:rPr>
                <w:sz w:val="20"/>
                <w:szCs w:val="20"/>
                <w:color w:val="auto"/>
              </w:rPr>
            </w:pPr>
            <w:r>
              <w:rPr>
                <w:rFonts w:ascii="Times New Roman" w:cs="Times New Roman" w:eastAsia="Times New Roman" w:hAnsi="Times New Roman"/>
                <w:sz w:val="17"/>
                <w:szCs w:val="17"/>
                <w:color w:val="auto"/>
              </w:rPr>
              <w:t>(In thousands)</w:t>
            </w:r>
          </w:p>
        </w:tc>
        <w:tc>
          <w:tcPr>
            <w:tcW w:w="1100" w:type="dxa"/>
            <w:vAlign w:val="bottom"/>
          </w:tcPr>
          <w:p>
            <w:pPr>
              <w:spacing w:after="0"/>
              <w:rPr>
                <w:sz w:val="18"/>
                <w:szCs w:val="18"/>
                <w:color w:val="auto"/>
              </w:rPr>
            </w:pPr>
          </w:p>
        </w:tc>
      </w:tr>
      <w:tr>
        <w:trPr>
          <w:trHeight w:val="219"/>
        </w:trPr>
        <w:tc>
          <w:tcPr>
            <w:tcW w:w="6620" w:type="dxa"/>
            <w:vAlign w:val="bottom"/>
            <w:shd w:val="clear" w:color="auto" w:fill="CCEEFF"/>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2026</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3,256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3"/>
        </w:trPr>
        <w:tc>
          <w:tcPr>
            <w:tcW w:w="6620" w:type="dxa"/>
            <w:vAlign w:val="bottom"/>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2025</w:t>
            </w:r>
          </w:p>
        </w:tc>
        <w:tc>
          <w:tcPr>
            <w:tcW w:w="2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22,503</w:t>
            </w:r>
          </w:p>
        </w:tc>
        <w:tc>
          <w:tcPr>
            <w:tcW w:w="180" w:type="dxa"/>
            <w:vAlign w:val="bottom"/>
          </w:tcPr>
          <w:p>
            <w:pPr>
              <w:spacing w:after="0"/>
              <w:rPr>
                <w:sz w:val="19"/>
                <w:szCs w:val="19"/>
                <w:color w:val="auto"/>
              </w:rPr>
            </w:pPr>
          </w:p>
        </w:tc>
        <w:tc>
          <w:tcPr>
            <w:tcW w:w="17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tax benefit related to these net realized losses was $0.01 million and $0.07 million for the three month periods ending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ACL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ACL by portfolio segment for the three months ended March 31,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63,445</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29,177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21,034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10,975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59,379</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24,297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60,035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Total Non-</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Performing</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Loss</w:t>
            </w: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Accrual</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Accruing</w:t>
            </w:r>
          </w:p>
        </w:tc>
        <w:tc>
          <w:tcPr>
            <w:tcW w:w="22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45"/>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Commercial real estate (1)</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Commercial real estate (1)</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20" w:hanging="317"/>
        <w:spacing w:after="0" w:line="263"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commercial real estate loans exclude $7.090 million and $7.018 million of government guaranteed loans at March 31, 2026 and December 31, 2025, respectively.</w:t>
      </w:r>
    </w:p>
    <w:p>
      <w:pPr>
        <w:ind w:left="320" w:hanging="317"/>
        <w:spacing w:after="0" w:line="266"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1-4 family owner occupied – non jumbo loans exclude $3.112 million and $2.929 million of government guaranteed loans at March 31, 2026 and December 31, 2025, respectively.</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provides collateral information by class of loan for collateral-dependent loans with specific allocations of the ACL. A loan is considered to be collateral dependent when the borrower is experiencing financial difficulty and the repayment is expected to be provided substantially through the operation or sale of collateral.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The amortized cost of collateral-dependent loans by class follows: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914"/>
              <w:spacing w:after="0"/>
              <w:rPr>
                <w:sz w:val="20"/>
                <w:szCs w:val="20"/>
                <w:color w:val="auto"/>
              </w:rPr>
            </w:pPr>
            <w:r>
              <w:rPr>
                <w:rFonts w:ascii="Times New Roman" w:cs="Times New Roman" w:eastAsia="Times New Roman" w:hAnsi="Times New Roman"/>
                <w:sz w:val="17"/>
                <w:szCs w:val="17"/>
                <w:color w:val="auto"/>
              </w:rPr>
              <w:t>Collateral Type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42"/>
        </w:trPr>
        <w:tc>
          <w:tcPr>
            <w:tcW w:w="6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00"/>
              <w:spacing w:after="0" w:line="161" w:lineRule="exact"/>
              <w:rPr>
                <w:sz w:val="20"/>
                <w:szCs w:val="20"/>
                <w:color w:val="auto"/>
              </w:rPr>
            </w:pPr>
            <w:r>
              <w:rPr>
                <w:rFonts w:ascii="Times New Roman" w:cs="Times New Roman" w:eastAsia="Times New Roman" w:hAnsi="Times New Roman"/>
                <w:sz w:val="17"/>
                <w:szCs w:val="17"/>
                <w:color w:val="auto"/>
              </w:rPr>
              <w:t>Real</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Estate</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Other (1)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Credit Losses</w:t>
            </w:r>
          </w:p>
        </w:tc>
        <w:tc>
          <w:tcPr>
            <w:tcW w:w="0" w:type="dxa"/>
            <w:vAlign w:val="bottom"/>
          </w:tcPr>
          <w:p>
            <w:pPr>
              <w:spacing w:after="0"/>
              <w:rPr>
                <w:sz w:val="1"/>
                <w:szCs w:val="1"/>
                <w:color w:val="auto"/>
              </w:rPr>
            </w:pPr>
          </w:p>
        </w:tc>
      </w:tr>
      <w:tr>
        <w:trPr>
          <w:trHeight w:val="21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28,024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700" w:right="2520" w:hanging="5697"/>
        <w:spacing w:after="0" w:line="698" w:lineRule="auto"/>
        <w:tabs>
          <w:tab w:leader="none" w:pos="2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and industrial loan collateral generally includes machinery and equipment, accounts receivable, and inventory.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-183515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An aging analysis of loans by class follows: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16"/>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1,205,123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1,205,190</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1,031,166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1,062,179</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879,601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883,289</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275,975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278,558</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174,109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174,508</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156,600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158,237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25,766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267,286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267,783</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182,112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183,495</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68,680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69,094</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4,266,361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4,308,099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1,158,841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1,158,841</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1,027,828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1,054,716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875,221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878,761</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286,123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289,562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172,293</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156,632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157,597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271,783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272,512</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190,872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191,857</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72,931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73,538</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4,238,905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4,276,285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13,837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13,952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2026 there were no loans modified to a borrower experiencing financial difficulty.</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2025 there were two mortgage - 1-4 family owner occupied - non-jumbo loans modified to borrowers experiencing financial difficulty totaling $0.11 million (0.1% of the total loan class). Both of the loan modifications to borrowers experiencing financial difficulty during the three months ended March 31, 2025 related to term extensions and added a weighted average of 12.0 years to the life of the loans. One of the loans modified during the three months ended March 31, 2025 also received a 4.75% interest rate reduction. Both of the loans modified during the three months ended March 31, 2025 were on non-accrual status.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none of the loans that were modified to borrowers experiencing financial difficulty within the past 12 months have subsequently defaulted.</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Credit Quality Indicators </w:t>
      </w:r>
      <w:r>
        <w:rPr>
          <w:rFonts w:ascii="Times New Roman" w:cs="Times New Roman" w:eastAsia="Times New Roman" w:hAnsi="Times New Roman"/>
          <w:sz w:val="17"/>
          <w:szCs w:val="17"/>
          <w:color w:val="auto"/>
        </w:rPr>
        <w:t>– As part of our on-going monitoring of the credit quality of our loan portfolios, we track certain credit quality indicators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 grade of commercial loans, (b) the level of classified commercial loans, (c) credit scores of mortgage and installment loan borrowers, and (d) delinquency history and non-performing loans.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commercial loans, we use a loan rating system that is similar to those employed by state and federal banking regulators. Loans are graded on a scale of 1 to 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the general characteristics of the ratings follows:</w:t>
      </w:r>
    </w:p>
    <w:p>
      <w:pPr>
        <w:spacing w:after="0" w:line="1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 through 6</w:t>
      </w:r>
      <w:r>
        <w:rPr>
          <w:rFonts w:ascii="Times New Roman" w:cs="Times New Roman" w:eastAsia="Times New Roman" w:hAnsi="Times New Roman"/>
          <w:sz w:val="17"/>
          <w:szCs w:val="17"/>
          <w:color w:val="auto"/>
        </w:rPr>
        <w:t>: These loans are generally referred to as our “non-watch” commercial credits that include very high or exceptional credit fundamentals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credit fundamentals.</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7 and 8</w:t>
      </w:r>
      <w:r>
        <w:rPr>
          <w:rFonts w:ascii="Times New Roman" w:cs="Times New Roman" w:eastAsia="Times New Roman" w:hAnsi="Times New Roman"/>
          <w:sz w:val="17"/>
          <w:szCs w:val="17"/>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9</w:t>
      </w:r>
      <w:r>
        <w:rPr>
          <w:rFonts w:ascii="Times New Roman" w:cs="Times New Roman" w:eastAsia="Times New Roman" w:hAnsi="Times New Roman"/>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10 and 11</w:t>
      </w:r>
      <w:r>
        <w:rPr>
          <w:rFonts w:ascii="Times New Roman" w:cs="Times New Roman" w:eastAsia="Times New Roman" w:hAnsi="Times New Roman"/>
          <w:sz w:val="17"/>
          <w:szCs w:val="17"/>
          <w:color w:val="auto"/>
        </w:rPr>
        <w:t>: These loans are generally referred to as our ‘‘substandard - non-accrual’’ and ‘‘doubtful’’ commercial credits. These ratings include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with weaknesses that make collection of the loan in full, on the basis of current facts, conditions and values at best questionable and at worst improbable. All of these loans are placed in non-accrual.</w:t>
      </w:r>
    </w:p>
    <w:p>
      <w:pPr>
        <w:spacing w:after="0" w:line="13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12</w:t>
      </w:r>
      <w:r>
        <w:rPr>
          <w:rFonts w:ascii="Times New Roman" w:cs="Times New Roman" w:eastAsia="Times New Roman" w:hAnsi="Times New Roman"/>
          <w:sz w:val="17"/>
          <w:szCs w:val="17"/>
          <w:color w:val="auto"/>
        </w:rPr>
        <w:t>: These loans are generally referred to as our “loss” commercial credits. This rating includes loans to borrowers that are deemed incapable of repayment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are charged-off.</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loan ratings by loan class for our commercial portfolio loan segment at March 31, 2026 and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8"/>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Revolving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186,995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333,019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1,151,940</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42,836</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1,205,190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41,588</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225,842</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161,892</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171,294</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149,050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202,822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59,336</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1,011,824</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27,010</w:t>
            </w:r>
          </w:p>
        </w:tc>
        <w:tc>
          <w:tcPr>
            <w:tcW w:w="0" w:type="dxa"/>
            <w:vAlign w:val="bottom"/>
          </w:tcPr>
          <w:p>
            <w:pPr>
              <w:spacing w:after="0"/>
              <w:rPr>
                <w:sz w:val="1"/>
                <w:szCs w:val="1"/>
                <w:color w:val="auto"/>
              </w:rPr>
            </w:pPr>
          </w:p>
        </w:tc>
      </w:tr>
      <w:tr>
        <w:trPr>
          <w:trHeight w:val="193"/>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41,588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235,358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163,696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194,092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162,891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204,593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59,961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1,062,179</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392,355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2,163,764</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65,789</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10,739</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27,077</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2,267,369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Amortized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Prior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Cost Basis</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7"/>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199,338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188,309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140,699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300,540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1,120,610</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28,707</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9,524</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200,779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191,930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118,223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149,334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315,167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1,158,841</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204,584</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162,957</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167,203</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159,948</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66,116</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184,907</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56,611</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1,002,326</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24,337</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23,531</w:t>
            </w:r>
          </w:p>
        </w:tc>
      </w:tr>
      <w:tr>
        <w:trPr>
          <w:trHeight w:val="186"/>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212,810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189,924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173,835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66,242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190,399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1,054,716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2,122,936</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53,044</w:t>
            </w: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14,046</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23,531</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2,213,557</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6,901</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credit scores by loan class for our mortgage and installment loan portfolio segments at March 31, 2026 and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4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4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163,472</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445,377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174,595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70,040</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12,216</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94,195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56,423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187,717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469,430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883,289</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110,061</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56,857</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28,600</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13,966</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6,242</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278,558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97,829</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15,349</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89,383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174,508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71"/>
              <w:spacing w:after="0"/>
              <w:rPr>
                <w:sz w:val="20"/>
                <w:szCs w:val="20"/>
                <w:color w:val="auto"/>
              </w:rPr>
            </w:pPr>
            <w:r>
              <w:rPr>
                <w:rFonts w:ascii="Times New Roman" w:cs="Times New Roman" w:eastAsia="Times New Roman" w:hAnsi="Times New Roman"/>
                <w:sz w:val="14"/>
                <w:szCs w:val="14"/>
                <w:color w:val="auto"/>
                <w:w w:val="99"/>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w w:val="95"/>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71"/>
              <w:spacing w:after="0"/>
              <w:rPr>
                <w:sz w:val="20"/>
                <w:szCs w:val="20"/>
                <w:color w:val="auto"/>
              </w:rPr>
            </w:pPr>
            <w:r>
              <w:rPr>
                <w:rFonts w:ascii="Times New Roman" w:cs="Times New Roman" w:eastAsia="Times New Roman" w:hAnsi="Times New Roman"/>
                <w:sz w:val="14"/>
                <w:szCs w:val="14"/>
                <w:color w:val="auto"/>
                <w:w w:val="99"/>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2026 - continued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16,602</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21,165</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72,788</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40,564</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15,378</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11,022</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17,632</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56,970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139,505</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272,816</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737,077</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300,880</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134,433</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32,725</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22,949</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16,370</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1,520,358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160,982</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445,743</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172,909</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69,175</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61,030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190,714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166,277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878,761</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53,501</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116,977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57,844</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28,824</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14,030</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9,261</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58,982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103,729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25,678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289,562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94,193</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24,014</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15,499</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46,744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172,293</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16,797</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21,475</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157,597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11,369</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8,735</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21,018</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58,066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76,861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66,192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24,021</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275,512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740,093</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299,235</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134,327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16,628</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352,682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1,524,821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5,503</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2026</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145,425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57,659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52,480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39,520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42,242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88,404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267,783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92,376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54,712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89,462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183,495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69,094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268,242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74,614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62,401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67,965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193,441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520,372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6"/>
          </w:tcPr>
          <w:p>
            <w:pPr>
              <w:jc w:val="center"/>
              <w:ind w:right="91"/>
              <w:spacing w:after="0"/>
              <w:rPr>
                <w:sz w:val="20"/>
                <w:szCs w:val="20"/>
                <w:color w:val="auto"/>
              </w:rPr>
            </w:pPr>
            <w:r>
              <w:rPr>
                <w:rFonts w:ascii="Times New Roman" w:cs="Times New Roman" w:eastAsia="Times New Roman" w:hAnsi="Times New Roman"/>
                <w:sz w:val="14"/>
                <w:szCs w:val="14"/>
                <w:color w:val="auto"/>
                <w:w w:val="98"/>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9"/>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148,308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54,420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39,011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41,552</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43,954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39,001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272,512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96,726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19,740</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56,943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57,377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191,857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73,538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277,165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82,458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67,106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72,349</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110,990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102,628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102,376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537,907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Foreclosed residential real estate properties included in other real estate and repossessed assets, net on our interim Condensed Consolidated Statements of Financial Condition totaled $0.6 million and $0.8 million at March 31, 2026 and December 31, 2025, respectively. Retail mortgage loans secured by residential real estate properties for which formal foreclosure proceedings are in process according to local requirements totaled $2.5 million and $1.9 million at March 31, 2026 and December 31, 2025, respectively.</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three month periods ended March 31, 2026 and 2025, we sold $1.4 million and $8.8 million, respectively, of portfolio residential fixed rate mortgage loans servicing retained and recognized a gain on sale of $0.03 million and $0.22 million, respectively. These transactions were done primarily for asset/liability management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16, 2025, our Board of Directors authorized a share repurchase plan (the “Repurchase Plan”) to buy back up to 1,100,000 shares of our outstanding common stock through December 31, 2026.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three month period ended March 31, 2026 no shares of common stock were repurchased. During the three month period ended March 31, 2025 there were 1,093 shares of common stock repurchased through open market transactions for an aggregate purchase price of $0.03 million.</w:t>
      </w:r>
    </w:p>
    <w:p>
      <w:pPr>
        <w:sectPr>
          <w:pgSz w:w="11900" w:h="16838" w:orient="portrait"/>
          <w:cols w:equalWidth="0" w:num="1">
            <w:col w:w="11240"/>
          </w:cols>
          <w:pgMar w:left="320" w:top="119"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basic and diluted net income per common share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795020</wp:posOffset>
            </wp:positionV>
            <wp:extent cx="7138670" cy="155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Stock units for deferred compensation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Performance share units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Effect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Weighted average shares outstanding for calculation of diluted earnings per share</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720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170"/>
        </w:trPr>
        <w:tc>
          <w:tcPr>
            <w:tcW w:w="340" w:type="dxa"/>
            <w:vAlign w:val="bottom"/>
          </w:tcPr>
          <w:p>
            <w:pPr>
              <w:spacing w:after="0"/>
              <w:rPr>
                <w:sz w:val="14"/>
                <w:szCs w:val="14"/>
                <w:color w:val="auto"/>
              </w:rPr>
            </w:pPr>
          </w:p>
        </w:tc>
        <w:tc>
          <w:tcPr>
            <w:tcW w:w="2720" w:type="dxa"/>
            <w:vAlign w:val="bottom"/>
            <w:gridSpan w:val="4"/>
          </w:tcPr>
          <w:p>
            <w:pPr>
              <w:jc w:val="right"/>
              <w:ind w:right="714"/>
              <w:spacing w:after="0" w:line="170" w:lineRule="exact"/>
              <w:rPr>
                <w:sz w:val="20"/>
                <w:szCs w:val="20"/>
                <w:color w:val="auto"/>
              </w:rPr>
            </w:pPr>
            <w:r>
              <w:rPr>
                <w:rFonts w:ascii="Times New Roman" w:cs="Times New Roman" w:eastAsia="Times New Roman" w:hAnsi="Times New Roman"/>
                <w:sz w:val="17"/>
                <w:szCs w:val="17"/>
                <w:color w:val="auto"/>
              </w:rPr>
              <w:t>(In thousands, except</w:t>
            </w:r>
          </w:p>
        </w:tc>
      </w:tr>
      <w:tr>
        <w:trPr>
          <w:trHeight w:val="219"/>
        </w:trPr>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data)</w:t>
            </w:r>
          </w:p>
        </w:tc>
        <w:tc>
          <w:tcPr>
            <w:tcW w:w="960" w:type="dxa"/>
            <w:vAlign w:val="bottom"/>
          </w:tcPr>
          <w:p>
            <w:pPr>
              <w:spacing w:after="0"/>
              <w:rPr>
                <w:sz w:val="19"/>
                <w:szCs w:val="19"/>
                <w:color w:val="auto"/>
              </w:rPr>
            </w:pPr>
          </w:p>
        </w:tc>
      </w:tr>
      <w:tr>
        <w:trPr>
          <w:trHeight w:val="223"/>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16,875</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15,590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20,943</w:t>
            </w:r>
          </w:p>
        </w:tc>
      </w:tr>
      <w:tr>
        <w:trPr>
          <w:trHeight w:val="219"/>
        </w:trPr>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19"/>
        </w:trPr>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3"/>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20,780</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Basic net income per common share includes weighted average common shares outstanding during the period.</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Weighted average stock options outstanding that were not considered in computing diluted net income per common share because they were anti-dilutive were zero for the three month periods ended March 31, 2026 and 2025, respectively.</w:t>
      </w: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Financial Instruments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We are required to record derivatives on our interim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derivative financial instruments according to the type of hedge in which they are designated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6,752</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325,002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4,586</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550,000</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15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46,740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713,806</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713,806</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1,503,884</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4.2</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32</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412,107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2"/>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24,909</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683,715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683,715</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1,409,519</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swaps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interim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interim Condensed Consolidated Statements of Financial Condition to reflect the then current fair values of both the Fair Value Hedge – Portfolio Loans and the hedged items. The related gains or losses are reported in interest income – interest and fees on loans in our interim Condensed Consolidated Statements of Operations. During the first quarter of 2026 we terminated $87.0 million of Fair Value Hedges - Portfolio Loans. The remaining unrealized losses on these terminated fair value hedges of $0.33 million as of March 31, 2026 are being amortized into earnings over their original life ranging from November, 2026 to June, 2027. During the second quarter of 2023 we terminated an interest rate cap accounted for as a fair value hedge that was previously hedging certain installment loans. The remaining unrealized gain on this terminated interest cap of $0.11 million as of March 31, 2026 is being amortized into earnings over the original life of the interest rate cap which was February, 2030.</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AFS Securities in accrued income and other assets and accrued expenses and other liabilities on our interim Condensed Consolidated Statements of Financial Condition. The hedged items (fixed rate securities available for sale) are also recorded at fair value which offsets the adjustment to the Fair Value Hedge – AFS Securities. On an ongoing basis, we adjust our interim Condensed Consolidated Statements of Financial Condition to reflect the then current fair value of both the Fair Value Hedge – AFS Securities and the hedged item. The related gains or losses are reported in interest income – interest on securities – tax-exempt in our interim Condensed Consolidated Statements of Operations.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interim Condensed Consolidated Statements of Financial Condition. The changes in the fair value of Cash Flow Hedge - Portfolio Loans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entered into an interest rate cap agreement to manage the variability in future expected cash flows of certain short-term funding liabilities (‘‘Cash Flow Hedge – Short-term Funding Liabilities’’). We record the fair value of Cash Flow Hedge – Short-term Funding Liabilities in accrued income and other assets and accrued expenses and other liabilities on our interim Condensed Consolidated Statements of Financial Condition. The changes in the fair value of Cash Flow Hedge - Short-term Funding Liabilities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Cash Flow Hedges, it is anticipated that as of March 31, 2026, $1.9 million will be reclassified from accumulated other comprehensive loss as a reduction to earnings over the next twelve months. The maximum term of any Cash Flow Hedge at March 31, 2026 is 3.2 years.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derivative financial instruments have not been designated as hedges. The fair value of these derivative financial instruments has been recorded on our interim Condensed Consolidated Statements of Financial Condition and is adjusted on an ongoing basis to reflect their then current fair value. The changes in fair value of derivative financial instruments not designated as hedges are recognized in earnings.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interim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interim Condensed Consolidated Statements of Operations. All of the interest rate swap agreements - commercial with no hedge designation in the table above relate to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impact that the derivative financial instruments discussed above have on individual line items in the interim Condensed Consolidated Statements of Financial Condition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Asset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Liability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20" w:type="dxa"/>
            <w:vAlign w:val="bottom"/>
          </w:tcPr>
          <w:p>
            <w:pPr>
              <w:spacing w:after="0"/>
              <w:rPr>
                <w:sz w:val="13"/>
                <w:szCs w:val="13"/>
                <w:color w:val="auto"/>
              </w:rPr>
            </w:pPr>
          </w:p>
        </w:tc>
        <w:tc>
          <w:tcPr>
            <w:tcW w:w="1420" w:type="dxa"/>
            <w:vAlign w:val="bottom"/>
            <w:gridSpan w:val="3"/>
          </w:tcPr>
          <w:p>
            <w:pPr>
              <w:ind w:left="700"/>
              <w:spacing w:after="0" w:line="161" w:lineRule="exact"/>
              <w:rPr>
                <w:sz w:val="20"/>
                <w:szCs w:val="20"/>
                <w:color w:val="auto"/>
              </w:rPr>
            </w:pPr>
            <w:r>
              <w:rPr>
                <w:rFonts w:ascii="Times New Roman" w:cs="Times New Roman" w:eastAsia="Times New Roman" w:hAnsi="Times New Roman"/>
                <w:sz w:val="17"/>
                <w:szCs w:val="17"/>
                <w:color w:val="auto"/>
              </w:rPr>
              <w:t>March 31,</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4"/>
          </w:tcPr>
          <w:p>
            <w:pPr>
              <w:jc w:val="right"/>
              <w:ind w:right="4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3"/>
                <w:szCs w:val="13"/>
                <w:color w:val="auto"/>
              </w:rPr>
            </w:pPr>
          </w:p>
        </w:tc>
        <w:tc>
          <w:tcPr>
            <w:tcW w:w="1400" w:type="dxa"/>
            <w:vAlign w:val="bottom"/>
            <w:gridSpan w:val="3"/>
          </w:tcPr>
          <w:p>
            <w:pPr>
              <w:ind w:left="700"/>
              <w:spacing w:after="0" w:line="161" w:lineRule="exact"/>
              <w:rPr>
                <w:sz w:val="20"/>
                <w:szCs w:val="20"/>
                <w:color w:val="auto"/>
              </w:rPr>
            </w:pPr>
            <w:r>
              <w:rPr>
                <w:rFonts w:ascii="Times New Roman" w:cs="Times New Roman" w:eastAsia="Times New Roman" w:hAnsi="Times New Roman"/>
                <w:sz w:val="17"/>
                <w:szCs w:val="17"/>
                <w:color w:val="auto"/>
                <w:w w:val="97"/>
              </w:rPr>
              <w:t>March 31,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ind w:left="580"/>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9"/>
              </w:rPr>
              <w:t>2026</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9"/>
              </w:rPr>
              <w:t>2025</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2026</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520" w:type="dxa"/>
            <w:vAlign w:val="bottom"/>
          </w:tcPr>
          <w:p>
            <w:pPr>
              <w:spacing w:after="0"/>
              <w:rPr>
                <w:sz w:val="14"/>
                <w:szCs w:val="14"/>
                <w:color w:val="auto"/>
              </w:rPr>
            </w:pPr>
          </w:p>
        </w:tc>
        <w:tc>
          <w:tcPr>
            <w:tcW w:w="88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4"/>
                <w:szCs w:val="14"/>
                <w:color w:val="auto"/>
              </w:rPr>
            </w:pPr>
          </w:p>
        </w:tc>
        <w:tc>
          <w:tcPr>
            <w:tcW w:w="86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4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6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jc w:val="center"/>
              <w:ind w:left="5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spacing w:after="0"/>
              <w:rPr>
                <w:sz w:val="20"/>
                <w:szCs w:val="20"/>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Location</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88"/>
              </w:rPr>
              <w:t>Value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9"/>
              </w:rPr>
              <w:t>Location</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Value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5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6,961</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floor 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4,586</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Derivatives not designated as</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hedging instruments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Rate-lock mortgage loan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Mandatory commitments to sell</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 loans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7,533</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7,074</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10,419</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7,074</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15,192</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17,723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14,883</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17,525</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derivatives</w:t>
            </w: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26,970</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29,584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effect of derivative financial instruments on the interim Condensed Consolidated Statements of Operations follows: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15"/>
                <w:szCs w:val="15"/>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Loss Reclassified from</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w w:val="99"/>
              </w:rPr>
              <w:t>Other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center"/>
              <w:ind w:right="83"/>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(Loss) (Effective Portion)</w:t>
            </w:r>
          </w:p>
        </w:tc>
        <w:tc>
          <w:tcPr>
            <w:tcW w:w="80" w:type="dxa"/>
            <w:vAlign w:val="bottom"/>
          </w:tcPr>
          <w:p>
            <w:pPr>
              <w:spacing w:after="0"/>
              <w:rPr>
                <w:sz w:val="17"/>
                <w:szCs w:val="17"/>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Location of Loss</w:t>
            </w: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Three Month</w:t>
            </w: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20" w:type="dxa"/>
            <w:vAlign w:val="bottom"/>
          </w:tcPr>
          <w:p>
            <w:pPr>
              <w:spacing w:after="0"/>
              <w:rPr>
                <w:sz w:val="13"/>
                <w:szCs w:val="13"/>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Three Month</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Three Month</w:t>
            </w:r>
          </w:p>
        </w:tc>
        <w:tc>
          <w:tcPr>
            <w:tcW w:w="0" w:type="dxa"/>
            <w:vAlign w:val="bottom"/>
          </w:tcPr>
          <w:p>
            <w:pPr>
              <w:spacing w:after="0"/>
              <w:rPr>
                <w:sz w:val="1"/>
                <w:szCs w:val="1"/>
                <w:color w:val="auto"/>
              </w:rPr>
            </w:pPr>
          </w:p>
        </w:tc>
      </w:tr>
      <w:tr>
        <w:trPr>
          <w:trHeight w:val="52"/>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March 31,</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March 31,</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83"/>
              <w:spacing w:after="0"/>
              <w:rPr>
                <w:sz w:val="20"/>
                <w:szCs w:val="20"/>
                <w:color w:val="auto"/>
              </w:rPr>
            </w:pPr>
            <w:r>
              <w:rPr>
                <w:rFonts w:ascii="Times New Roman" w:cs="Times New Roman" w:eastAsia="Times New Roman" w:hAnsi="Times New Roman"/>
                <w:sz w:val="15"/>
                <w:szCs w:val="15"/>
                <w:color w:val="auto"/>
              </w:rPr>
              <w:t>March 31,</w:t>
            </w: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2"/>
            <w:vMerge w:val="restart"/>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2026</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0" w:type="dxa"/>
            <w:vAlign w:val="bottom"/>
          </w:tcPr>
          <w:p>
            <w:pPr>
              <w:spacing w:after="0" w:line="20" w:lineRule="exact"/>
              <w:rPr>
                <w:sz w:val="1"/>
                <w:szCs w:val="1"/>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Portion)</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in Income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4"/>
          </w:tcPr>
          <w:p>
            <w:pPr>
              <w:jc w:val="center"/>
              <w:ind w:right="83"/>
              <w:spacing w:after="0"/>
              <w:rPr>
                <w:sz w:val="20"/>
                <w:szCs w:val="20"/>
                <w:color w:val="auto"/>
              </w:rPr>
            </w:pPr>
            <w:r>
              <w:rPr>
                <w:rFonts w:ascii="Times New Roman" w:cs="Times New Roman" w:eastAsia="Times New Roman" w:hAnsi="Times New Roman"/>
                <w:sz w:val="15"/>
                <w:szCs w:val="15"/>
                <w:color w:val="auto"/>
              </w:rPr>
              <w:t>(In thousands)</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Hedges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3"/>
                <w:szCs w:val="13"/>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agreements - securities available</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(2,375)</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 sale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installment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mortgage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3"/>
                <w:szCs w:val="13"/>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center"/>
              <w:ind w:left="183"/>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13"/>
                <w:szCs w:val="13"/>
                <w:color w:val="auto"/>
              </w:rPr>
            </w:pPr>
          </w:p>
        </w:tc>
        <w:tc>
          <w:tcPr>
            <w:tcW w:w="1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on securities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6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bottom w:val="single" w:sz="8" w:color="auto"/>
            </w:tcBorders>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6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(4,107)</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(922)</w:t>
            </w:r>
          </w:p>
        </w:tc>
        <w:tc>
          <w:tcPr>
            <w:tcW w:w="80" w:type="dxa"/>
            <w:vAlign w:val="bottom"/>
          </w:tcPr>
          <w:p>
            <w:pPr>
              <w:spacing w:after="0"/>
              <w:rPr>
                <w:sz w:val="13"/>
                <w:szCs w:val="13"/>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center"/>
              <w:ind w:left="203"/>
              <w:spacing w:after="0"/>
              <w:rPr>
                <w:sz w:val="20"/>
                <w:szCs w:val="20"/>
                <w:color w:val="auto"/>
              </w:rPr>
            </w:pPr>
            <w:r>
              <w:rPr>
                <w:rFonts w:ascii="Times New Roman" w:cs="Times New Roman" w:eastAsia="Times New Roman" w:hAnsi="Times New Roman"/>
                <w:sz w:val="15"/>
                <w:szCs w:val="15"/>
                <w:color w:val="auto"/>
              </w:rPr>
              <w:t>752</w:t>
            </w:r>
          </w:p>
        </w:tc>
        <w:tc>
          <w:tcPr>
            <w:tcW w:w="80" w:type="dxa"/>
            <w:vAlign w:val="bottom"/>
          </w:tcPr>
          <w:p>
            <w:pPr>
              <w:spacing w:after="0"/>
              <w:rPr>
                <w:sz w:val="13"/>
                <w:szCs w:val="13"/>
                <w:color w:val="auto"/>
              </w:rPr>
            </w:pPr>
          </w:p>
        </w:tc>
        <w:tc>
          <w:tcPr>
            <w:tcW w:w="1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6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3"/>
                <w:szCs w:val="13"/>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Interest rate cap agreements - short-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term funding liabilities</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5"/>
                <w:szCs w:val="15"/>
                <w:color w:val="auto"/>
              </w:rPr>
              <w:t>621</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Rate-lock mortgage loan</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Net gains on mortgage</w:t>
            </w: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Net gains on mortgage</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203"/>
        </w:trPr>
        <w:tc>
          <w:tcPr>
            <w:tcW w:w="2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(9,275)</w:t>
            </w: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(3,528)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9,275</w:t>
            </w:r>
          </w:p>
        </w:tc>
        <w:tc>
          <w:tcPr>
            <w:tcW w:w="0" w:type="dxa"/>
            <w:vAlign w:val="bottom"/>
          </w:tcPr>
          <w:p>
            <w:pPr>
              <w:spacing w:after="0"/>
              <w:rPr>
                <w:sz w:val="1"/>
                <w:szCs w:val="1"/>
                <w:color w:val="auto"/>
              </w:rPr>
            </w:pPr>
          </w:p>
        </w:tc>
      </w:tr>
      <w:tr>
        <w:trPr>
          <w:trHeight w:val="203"/>
        </w:trPr>
        <w:tc>
          <w:tcPr>
            <w:tcW w:w="2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  Goodwill and Other Intangibles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7"/>
                <w:szCs w:val="17"/>
                <w:color w:val="auto"/>
              </w:rPr>
              <w:t>March 31, 2026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2025</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3"/>
                <w:szCs w:val="13"/>
                <w:color w:val="auto"/>
              </w:rPr>
            </w:pPr>
          </w:p>
        </w:tc>
        <w:tc>
          <w:tcPr>
            <w:tcW w:w="122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core deposits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Goodwill is assessed for impairment on an annual basis as of December 31, or more frequently if events occur or circumstances change that indicate an impairment may exist. When assessing goodwill for impairment, first, a qualitative assessment is made to determine whether it is more likely than not that the estimated fair value of a reporting unit is less than its estimated carrying value. If the results of the qualitative assessment are not conclusive, a quantitative goodwill test is performed. For the three months ended March 31, 2026 and 2025 no event occurred that indicated an impairment of goodwill may exist.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estimated core deposits intangible amortization at March 31, 2026 follows: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9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(In thousands)</w:t>
            </w:r>
          </w:p>
        </w:tc>
      </w:tr>
      <w:tr>
        <w:trPr>
          <w:trHeight w:val="257"/>
        </w:trPr>
        <w:tc>
          <w:tcPr>
            <w:tcW w:w="9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ending December 31, 2026</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9"/>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2"/>
        </w:trPr>
        <w:tc>
          <w:tcPr>
            <w:tcW w:w="9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w:t>
            </w:r>
          </w:p>
        </w:tc>
      </w:tr>
      <w:tr>
        <w:trPr>
          <w:trHeight w:val="20"/>
        </w:trPr>
        <w:tc>
          <w:tcPr>
            <w:tcW w:w="9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Based Compensation</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0.2 million shares of common stock as of March 31, 2026. The non-employee director stock purchase plan permits the issuance of additional share based payments for up to 0.04 million shares of common stock as of March 31, 2026. Share based awards and payments are measured at fair value at the date of grant and are expensed over the requisite service period. Common shares issued upon exercise of stock options come from currently authorized but unissued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and performance stock units (“PSU”) granted pursuant to our long-term incentive plan follows:</w:t>
      </w:r>
    </w:p>
    <w:p>
      <w:pPr>
        <w:spacing w:after="0" w:line="2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color w:val="auto"/>
        </w:rPr>
        <w:t>Three Months Ended</w:t>
      </w:r>
    </w:p>
    <w:p>
      <w:pPr>
        <w:jc w:val="center"/>
        <w:ind w:left="8160"/>
        <w:spacing w:after="0"/>
        <w:rPr>
          <w:sz w:val="20"/>
          <w:szCs w:val="20"/>
          <w:color w:val="auto"/>
        </w:rPr>
      </w:pPr>
      <w:r>
        <w:rPr>
          <w:rFonts w:ascii="Times New Roman" w:cs="Times New Roman" w:eastAsia="Times New Roman" w:hAnsi="Times New Roman"/>
          <w:sz w:val="17"/>
          <w:szCs w:val="17"/>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38"/>
        </w:trPr>
        <w:tc>
          <w:tcPr>
            <w:tcW w:w="8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9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63,457</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52,019</w:t>
            </w:r>
          </w:p>
        </w:tc>
      </w:tr>
      <w:tr>
        <w:trPr>
          <w:trHeight w:val="20"/>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1"/>
        </w:trPr>
        <w:tc>
          <w:tcPr>
            <w:tcW w:w="91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PSU</w:t>
            </w:r>
          </w:p>
        </w:tc>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16,859</w:t>
            </w:r>
          </w:p>
        </w:tc>
        <w:tc>
          <w:tcPr>
            <w:tcW w:w="8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16,364</w:t>
            </w:r>
          </w:p>
        </w:tc>
      </w:tr>
      <w:tr>
        <w:trPr>
          <w:trHeight w:val="20"/>
        </w:trPr>
        <w:tc>
          <w:tcPr>
            <w:tcW w:w="8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three month periods ended March 31, 2026 and 2025 we issued 0.002 million and 0.002 million shares, respectively and expensed their value during those same periods.</w:t>
      </w:r>
    </w:p>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Total compensation expense recognized for grants pursuant to our long-term incentive plan was $0.6 million during both three month periods ended March 31, 2026 and 2025, respectively. The corresponding tax benefit relating to this expense was $0.1 million during both three month periods ended March 31, 2026 and 2025, respectively. Total expense recognized for non-employee director share based payments was $0.05 million and $0.06 million during three month periods</w:t>
      </w:r>
    </w:p>
    <w:p>
      <w:pPr>
        <w:jc w:val="both"/>
        <w:spacing w:after="0" w:line="287" w:lineRule="auto"/>
        <w:rPr>
          <w:sz w:val="20"/>
          <w:szCs w:val="20"/>
          <w:color w:val="auto"/>
        </w:rPr>
      </w:pPr>
      <w:r>
        <w:rPr>
          <w:rFonts w:ascii="Times New Roman" w:cs="Times New Roman" w:eastAsia="Times New Roman" w:hAnsi="Times New Roman"/>
          <w:sz w:val="17"/>
          <w:szCs w:val="17"/>
          <w:color w:val="auto"/>
        </w:rPr>
        <w:t>ended March 31, 2026 and 2025, respectively. The corresponding tax benefit relating to this expense was $0.01 million and $0.01 million for three month periods ended March 31, 2026 and 2025,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outstanding non-vested stock and related transactions follows: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8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68"/>
        </w:trPr>
        <w:tc>
          <w:tcPr>
            <w:tcW w:w="818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2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168"/>
        </w:trPr>
        <w:tc>
          <w:tcPr>
            <w:tcW w:w="8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28"/>
        </w:trPr>
        <w:tc>
          <w:tcPr>
            <w:tcW w:w="81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Shares</w:t>
            </w:r>
          </w:p>
        </w:tc>
        <w:tc>
          <w:tcPr>
            <w:tcW w:w="240" w:type="dxa"/>
            <w:vAlign w:val="bottom"/>
          </w:tcPr>
          <w:p>
            <w:pPr>
              <w:spacing w:after="0"/>
              <w:rPr>
                <w:sz w:val="19"/>
                <w:szCs w:val="19"/>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1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2026</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250,213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33.02</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245,316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2026, the total expected compensation cost related to non-vested restricted stock and PSUs not yet recognized was $5.0 million. The weighted-average period over which this amount will be recognized is 2.4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stock option grants and related transactions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Weighted-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w w:val="99"/>
              </w:rPr>
              <w:t>Number of</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72" w:lineRule="exact"/>
              <w:rPr>
                <w:sz w:val="20"/>
                <w:szCs w:val="20"/>
                <w:color w:val="auto"/>
              </w:rPr>
            </w:pPr>
            <w:r>
              <w:rPr>
                <w:rFonts w:ascii="Times New Roman" w:cs="Times New Roman" w:eastAsia="Times New Roman" w:hAnsi="Times New Roman"/>
                <w:sz w:val="17"/>
                <w:szCs w:val="17"/>
                <w:color w:val="auto"/>
                <w:w w:val="97"/>
              </w:rPr>
              <w:t>Average</w:t>
            </w:r>
          </w:p>
        </w:tc>
        <w:tc>
          <w:tcPr>
            <w:tcW w:w="158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7"/>
                <w:szCs w:val="17"/>
                <w:color w:val="auto"/>
              </w:rPr>
              <w:t>Exercise</w:t>
            </w:r>
          </w:p>
        </w:tc>
        <w:tc>
          <w:tcPr>
            <w:tcW w:w="15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7"/>
                <w:szCs w:val="17"/>
                <w:color w:val="auto"/>
              </w:rPr>
              <w:t>Contractual</w:t>
            </w:r>
          </w:p>
        </w:tc>
        <w:tc>
          <w:tcPr>
            <w:tcW w:w="18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Term (Years)</w:t>
            </w:r>
          </w:p>
        </w:tc>
        <w:tc>
          <w:tcPr>
            <w:tcW w:w="180" w:type="dxa"/>
            <w:vAlign w:val="bottom"/>
          </w:tcPr>
          <w:p>
            <w:pPr>
              <w:spacing w:after="0"/>
              <w:rPr>
                <w:sz w:val="20"/>
                <w:szCs w:val="20"/>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March 31,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50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regarding options exercised during the periods follows:</w:t>
      </w:r>
    </w:p>
    <w:p>
      <w:pPr>
        <w:spacing w:after="0" w:line="20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7"/>
          <w:szCs w:val="17"/>
          <w:color w:val="auto"/>
        </w:rPr>
        <w:t>Three Months Ended</w:t>
      </w:r>
    </w:p>
    <w:p>
      <w:pPr>
        <w:jc w:val="center"/>
        <w:ind w:left="8160"/>
        <w:spacing w:after="0"/>
        <w:rPr>
          <w:sz w:val="20"/>
          <w:szCs w:val="20"/>
          <w:color w:val="auto"/>
        </w:rPr>
      </w:pPr>
      <w:r>
        <w:rPr>
          <w:rFonts w:ascii="Times New Roman" w:cs="Times New Roman" w:eastAsia="Times New Roman" w:hAnsi="Times New Roman"/>
          <w:sz w:val="17"/>
          <w:szCs w:val="17"/>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12"/>
        </w:trPr>
        <w:tc>
          <w:tcPr>
            <w:tcW w:w="8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18"/>
                <w:szCs w:val="18"/>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191"/>
        </w:trPr>
        <w:tc>
          <w:tcPr>
            <w:tcW w:w="81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Cash proceeds received</w:t>
            </w:r>
          </w:p>
        </w:tc>
        <w:tc>
          <w:tcPr>
            <w:tcW w:w="980" w:type="dxa"/>
            <w:vAlign w:val="bottom"/>
            <w:tcBorders>
              <w:top w:val="single" w:sz="8" w:color="auto"/>
              <w:bottom w:val="single" w:sz="8" w:color="auto"/>
            </w:tcBorders>
          </w:tcPr>
          <w:p>
            <w:pPr>
              <w:jc w:val="right"/>
              <w:ind w:right="7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realized</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Income Tax</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Income tax expense was $3.4 million and $3.5 million during the three month periods ended March 31, 2026 and 2025,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month periods ending March 31, 2026 and 2025 include reductions of $0.18 million and $0.30 million, respectively, of income tax expense related to the impact of the excess value of stock awards that vested and stock options that were exercised as compared to the initial fair values that were expensed.</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2026, March 31, 2025 and December 31, 2025 that the realization of substantially all of our deferred tax assets continues to be more likely than not.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both March 31, 2026 and December 31, 2025, we had approximately $0.2 million, respectively, of gross unrecognized tax benefits. We do not expect the total amount of unrecognized tax benefits to significantly increase or decrease during the remainder of 2026.</w:t>
      </w:r>
    </w:p>
    <w:p>
      <w:pPr>
        <w:spacing w:after="0" w:line="113" w:lineRule="exact"/>
        <w:rPr>
          <w:sz w:val="20"/>
          <w:szCs w:val="20"/>
          <w:color w:val="auto"/>
        </w:rPr>
      </w:pPr>
    </w:p>
    <w:p>
      <w:pPr>
        <w:ind w:left="380" w:hanging="377"/>
        <w:spacing w:after="0"/>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2026, the Bank had positive undivided profits of $232.7 million. It is not our intent to have dividends paid in amounts that would reduce the capital of our Bank to levels below those which we consider prudent or that would not be in accordance with guidelines of regulatory authorities.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March 31, 2026 and December 31, 2025, categorized our Bank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actual capital amounts and ratios follow (1):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w w:val="99"/>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Adequately Capitalized</w:t>
            </w:r>
          </w:p>
        </w:tc>
        <w:tc>
          <w:tcPr>
            <w:tcW w:w="240" w:type="dxa"/>
            <w:vAlign w:val="bottom"/>
          </w:tcPr>
          <w:p>
            <w:pPr>
              <w:spacing w:after="0"/>
              <w:rPr>
                <w:sz w:val="14"/>
                <w:szCs w:val="14"/>
                <w:color w:val="auto"/>
              </w:rPr>
            </w:pPr>
          </w:p>
        </w:tc>
        <w:tc>
          <w:tcPr>
            <w:tcW w:w="2600" w:type="dxa"/>
            <w:vAlign w:val="bottom"/>
            <w:gridSpan w:val="2"/>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9"/>
              </w:rPr>
              <w:t>Well-Capitalized</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Actual</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Amount</w:t>
            </w: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Ratio</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7"/>
              </w:rPr>
              <w:t>Ratio</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632,742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367,024</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581,090</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366,515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458,144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575,250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275,268</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523,676</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274,886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366,515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536,593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206,451</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523,676</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206,165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297,793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575,250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222,477</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523,676</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222,243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277,803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621,506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365,958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570,750</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365,463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456,829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564,180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274,468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513,500</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274,098</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365,463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525,540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205,851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513,500</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205,573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296,939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564,180</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219,663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513,500</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219,422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274,278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ind w:right="3160" w:firstLine="20"/>
        <w:spacing w:after="0" w:line="413" w:lineRule="auto"/>
        <w:tabs>
          <w:tab w:leader="none" w:pos="58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ratios do not reflect a capital conservation buffer of 2.50% at March 31, 2026 and December 31, 2025. NA - Not applicable</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our regulatory capital are as follows: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auto"/>
              </w:rPr>
              <w:t>Consolidated</w:t>
            </w:r>
          </w:p>
        </w:tc>
        <w:tc>
          <w:tcPr>
            <w:tcW w:w="260" w:type="dxa"/>
            <w:vAlign w:val="bottom"/>
          </w:tcPr>
          <w:p>
            <w:pPr>
              <w:spacing w:after="0"/>
              <w:rPr>
                <w:sz w:val="24"/>
                <w:szCs w:val="24"/>
                <w:color w:val="auto"/>
              </w:rPr>
            </w:pPr>
          </w:p>
        </w:tc>
        <w:tc>
          <w:tcPr>
            <w:tcW w:w="2800" w:type="dxa"/>
            <w:vAlign w:val="bottom"/>
            <w:gridSpan w:val="4"/>
          </w:tcPr>
          <w:p>
            <w:pPr>
              <w:jc w:val="right"/>
              <w:ind w:right="814"/>
              <w:spacing w:after="0"/>
              <w:rPr>
                <w:sz w:val="20"/>
                <w:szCs w:val="20"/>
                <w:color w:val="auto"/>
              </w:rPr>
            </w:pPr>
            <w:r>
              <w:rPr>
                <w:rFonts w:ascii="Times New Roman" w:cs="Times New Roman" w:eastAsia="Times New Roman" w:hAnsi="Times New Roman"/>
                <w:sz w:val="17"/>
                <w:szCs w:val="17"/>
                <w:color w:val="auto"/>
              </w:rPr>
              <w:t>Independent Bank</w:t>
            </w:r>
          </w:p>
        </w:tc>
      </w:tr>
      <w:tr>
        <w:trPr>
          <w:trHeight w:val="160"/>
        </w:trPr>
        <w:tc>
          <w:tcPr>
            <w:tcW w:w="5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60"/>
              <w:spacing w:after="0" w:line="161" w:lineRule="exact"/>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40"/>
              <w:spacing w:after="0" w:line="161" w:lineRule="exact"/>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502,951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497,636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490,911</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 for regulatory purposes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51,890</w:t>
            </w:r>
          </w:p>
        </w:tc>
      </w:tr>
      <w:tr>
        <w:trPr>
          <w:trHeight w:val="245"/>
        </w:trPr>
        <w:tc>
          <w:tcPr>
            <w:tcW w:w="5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Goodwill and other intangibles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(29,186)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(29,301)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(29,186)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(29,301)</w:t>
            </w:r>
          </w:p>
        </w:tc>
      </w:tr>
      <w:tr>
        <w:trPr>
          <w:trHeight w:val="21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525,540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523,676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513,500</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Qualifying trust preferred securities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Tier 1 capital</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575,250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564,180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523,676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513,500</w:t>
            </w:r>
          </w:p>
        </w:tc>
      </w:tr>
      <w:tr>
        <w:trPr>
          <w:trHeight w:val="168"/>
        </w:trPr>
        <w:tc>
          <w:tcPr>
            <w:tcW w:w="5040" w:type="dxa"/>
            <w:vAlign w:val="bottom"/>
          </w:tcPr>
          <w:p>
            <w:pPr>
              <w:ind w:left="320"/>
              <w:spacing w:after="0" w:line="167" w:lineRule="exact"/>
              <w:rPr>
                <w:sz w:val="20"/>
                <w:szCs w:val="20"/>
                <w:color w:val="auto"/>
              </w:rPr>
            </w:pPr>
            <w:r>
              <w:rPr>
                <w:rFonts w:ascii="Times New Roman" w:cs="Times New Roman" w:eastAsia="Times New Roman" w:hAnsi="Times New Roman"/>
                <w:sz w:val="17"/>
                <w:szCs w:val="17"/>
                <w:color w:val="auto"/>
              </w:rPr>
              <w:t>Allowance for credit losses and allowance for unfunded lending</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2"/>
        </w:trPr>
        <w:tc>
          <w:tcPr>
            <w:tcW w:w="5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commitments limited to 1.25% of total risk-weighted assets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57,492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57,326</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57,414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57,250</w:t>
            </w:r>
          </w:p>
        </w:tc>
      </w:tr>
      <w:tr>
        <w:trPr>
          <w:trHeight w:val="237"/>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risk-based capital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632,742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621,506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581,090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570,750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hanging="377"/>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Disclosures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standard describes three levels of inputs that may be used to measure fair value:</w:t>
      </w:r>
    </w:p>
    <w:p>
      <w:pPr>
        <w:spacing w:after="0" w:line="17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4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and corporate securities.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The fair value of loans held for sale, carried at fair value is based on agency cash window loan pricing for comparable assets (recurring Level 2).</w:t>
      </w: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dependent loans with specific loss allocations based on collateral value</w:t>
      </w:r>
      <w:r>
        <w:rPr>
          <w:rFonts w:ascii="Times New Roman" w:cs="Times New Roman" w:eastAsia="Times New Roman" w:hAnsi="Times New Roman"/>
          <w:sz w:val="17"/>
          <w:szCs w:val="17"/>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Other real estate</w:t>
      </w:r>
      <w:r>
        <w:rPr>
          <w:rFonts w:ascii="Times New Roman" w:cs="Times New Roman" w:eastAsia="Times New Roman" w:hAnsi="Times New Roman"/>
          <w:sz w:val="17"/>
          <w:szCs w:val="17"/>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7"/>
          <w:szCs w:val="17"/>
          <w:color w:val="auto"/>
        </w:rPr>
        <w:t xml:space="preserve"> Subsequent write-downs to reflect declines in value since the time of acquisition may occur from time to time and are recorded in net gains (losses) on other real estate and repossessed assets, which is part of non-interest expense - other in the interim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Capitalized mortgage loan servicing rights</w:t>
      </w:r>
      <w:r>
        <w:rPr>
          <w:rFonts w:ascii="Times New Roman" w:cs="Times New Roman" w:eastAsia="Times New Roman" w:hAnsi="Times New Roman"/>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highlight w:val="white"/>
        </w:rPr>
        <w:t>: The fair value of rate-lock mortgage loan commitments is based on agency cash window loan pricing for comparable assets and the fair value of</w:t>
      </w:r>
      <w:r>
        <w:rPr>
          <w:rFonts w:ascii="Times New Roman" w:cs="Times New Roman" w:eastAsia="Times New Roman" w:hAnsi="Times New Roman"/>
          <w:sz w:val="17"/>
          <w:szCs w:val="17"/>
          <w:color w:val="auto"/>
        </w:rPr>
        <w:t xml:space="preserve"> mandatory commitments to sell mortgage loans is based on mortgage-backed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w w:val="99"/>
              </w:rPr>
              <w:t>Fair Value Measurements Using</w:t>
            </w: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center"/>
              <w:ind w:left="194"/>
              <w:spacing w:after="0" w:line="161" w:lineRule="exact"/>
              <w:rPr>
                <w:sz w:val="20"/>
                <w:szCs w:val="20"/>
                <w:color w:val="auto"/>
              </w:rPr>
            </w:pPr>
            <w:r>
              <w:rPr>
                <w:rFonts w:ascii="Times New Roman" w:cs="Times New Roman" w:eastAsia="Times New Roman" w:hAnsi="Times New Roman"/>
                <w:sz w:val="17"/>
                <w:szCs w:val="17"/>
                <w:color w:val="auto"/>
              </w:rPr>
              <w:t>Quoted</w:t>
            </w: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color w:val="auto"/>
              </w:rPr>
              <w:t>Prices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center"/>
              <w:ind w:left="194"/>
              <w:spacing w:after="0" w:line="177" w:lineRule="exact"/>
              <w:rPr>
                <w:sz w:val="20"/>
                <w:szCs w:val="20"/>
                <w:color w:val="auto"/>
              </w:rPr>
            </w:pPr>
            <w:r>
              <w:rPr>
                <w:rFonts w:ascii="Times New Roman" w:cs="Times New Roman" w:eastAsia="Times New Roman" w:hAnsi="Times New Roman"/>
                <w:sz w:val="17"/>
                <w:szCs w:val="17"/>
                <w:color w:val="auto"/>
              </w:rPr>
              <w:t>in Active</w:t>
            </w: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72" w:lineRule="exact"/>
              <w:rPr>
                <w:sz w:val="20"/>
                <w:szCs w:val="20"/>
                <w:color w:val="auto"/>
              </w:rPr>
            </w:pPr>
            <w:r>
              <w:rPr>
                <w:rFonts w:ascii="Times New Roman" w:cs="Times New Roman" w:eastAsia="Times New Roman" w:hAnsi="Times New Roman"/>
                <w:sz w:val="17"/>
                <w:szCs w:val="17"/>
                <w:color w:val="auto"/>
              </w:rPr>
              <w:t>Markets</w:t>
            </w:r>
          </w:p>
        </w:tc>
        <w:tc>
          <w:tcPr>
            <w:tcW w:w="540" w:type="dxa"/>
            <w:vAlign w:val="bottom"/>
          </w:tcPr>
          <w:p>
            <w:pPr>
              <w:spacing w:after="0"/>
              <w:rPr>
                <w:sz w:val="14"/>
                <w:szCs w:val="14"/>
                <w:color w:val="auto"/>
              </w:rPr>
            </w:pPr>
          </w:p>
        </w:tc>
        <w:tc>
          <w:tcPr>
            <w:tcW w:w="112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Significant</w:t>
            </w:r>
          </w:p>
        </w:tc>
        <w:tc>
          <w:tcPr>
            <w:tcW w:w="260" w:type="dxa"/>
            <w:vAlign w:val="bottom"/>
          </w:tcPr>
          <w:p>
            <w:pPr>
              <w:spacing w:after="0"/>
              <w:rPr>
                <w:sz w:val="14"/>
                <w:szCs w:val="14"/>
                <w:color w:val="auto"/>
              </w:rPr>
            </w:pPr>
          </w:p>
        </w:tc>
        <w:tc>
          <w:tcPr>
            <w:tcW w:w="110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rPr>
              <w:t>for</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Un-</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color w:val="auto"/>
                <w:w w:val="96"/>
              </w:rPr>
              <w:t>Fair Value</w:t>
            </w:r>
          </w:p>
        </w:tc>
        <w:tc>
          <w:tcPr>
            <w:tcW w:w="1000" w:type="dxa"/>
            <w:vAlign w:val="bottom"/>
          </w:tcPr>
          <w:p>
            <w:pPr>
              <w:jc w:val="center"/>
              <w:ind w:left="194"/>
              <w:spacing w:after="0" w:line="181" w:lineRule="exact"/>
              <w:rPr>
                <w:sz w:val="20"/>
                <w:szCs w:val="20"/>
                <w:color w:val="auto"/>
              </w:rPr>
            </w:pPr>
            <w:r>
              <w:rPr>
                <w:rFonts w:ascii="Times New Roman" w:cs="Times New Roman" w:eastAsia="Times New Roman" w:hAnsi="Times New Roman"/>
                <w:sz w:val="17"/>
                <w:szCs w:val="17"/>
                <w:color w:val="auto"/>
              </w:rPr>
              <w:t>Identical</w:t>
            </w:r>
          </w:p>
        </w:tc>
        <w:tc>
          <w:tcPr>
            <w:tcW w:w="540" w:type="dxa"/>
            <w:vAlign w:val="bottom"/>
          </w:tcPr>
          <w:p>
            <w:pPr>
              <w:spacing w:after="0"/>
              <w:rPr>
                <w:sz w:val="15"/>
                <w:szCs w:val="15"/>
                <w:color w:val="auto"/>
              </w:rPr>
            </w:pPr>
          </w:p>
        </w:tc>
        <w:tc>
          <w:tcPr>
            <w:tcW w:w="112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260" w:type="dxa"/>
            <w:vAlign w:val="bottom"/>
          </w:tcPr>
          <w:p>
            <w:pPr>
              <w:spacing w:after="0"/>
              <w:rPr>
                <w:sz w:val="15"/>
                <w:szCs w:val="15"/>
                <w:color w:val="auto"/>
              </w:rPr>
            </w:pPr>
          </w:p>
        </w:tc>
        <w:tc>
          <w:tcPr>
            <w:tcW w:w="110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Measure-</w:t>
            </w: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ments</w:t>
            </w:r>
          </w:p>
        </w:tc>
        <w:tc>
          <w:tcPr>
            <w:tcW w:w="10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7"/>
                <w:szCs w:val="17"/>
                <w:color w:val="auto"/>
              </w:rPr>
              <w:t>(Level 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gridSpan w:val="3"/>
          </w:tcPr>
          <w:p>
            <w:pPr>
              <w:jc w:val="right"/>
              <w:ind w:right="75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7,251</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85,488</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85,488</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6,967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37,107</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37,107</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28,939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273,560</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273,560</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41,999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984</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19,714</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32,233</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26,970</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15,575</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8,597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8,597</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9,611</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571</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78</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267</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55</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387</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21"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income and other assets</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includes individually evaluated loans with specific allocations of the ACL based on collateral value.</w:t>
      </w: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51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jc w:val="center"/>
              <w:ind w:left="254"/>
              <w:spacing w:after="0" w:line="161" w:lineRule="exact"/>
              <w:rPr>
                <w:sz w:val="20"/>
                <w:szCs w:val="20"/>
                <w:color w:val="auto"/>
              </w:rPr>
            </w:pPr>
            <w:r>
              <w:rPr>
                <w:rFonts w:ascii="Times New Roman" w:cs="Times New Roman" w:eastAsia="Times New Roman" w:hAnsi="Times New Roman"/>
                <w:sz w:val="17"/>
                <w:szCs w:val="17"/>
                <w:color w:val="auto"/>
                <w:w w:val="99"/>
              </w:rPr>
              <w:t>Quoted</w:t>
            </w: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in Active</w:t>
            </w:r>
          </w:p>
        </w:tc>
        <w:tc>
          <w:tcPr>
            <w:tcW w:w="680" w:type="dxa"/>
            <w:vAlign w:val="bottom"/>
          </w:tcPr>
          <w:p>
            <w:pPr>
              <w:spacing w:after="0"/>
              <w:rPr>
                <w:sz w:val="14"/>
                <w:szCs w:val="14"/>
                <w:color w:val="auto"/>
              </w:rPr>
            </w:pPr>
          </w:p>
        </w:tc>
        <w:tc>
          <w:tcPr>
            <w:tcW w:w="12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9"/>
              </w:rPr>
              <w:t>Significant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rPr>
              <w:t>Markets</w:t>
            </w: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74"/>
              <w:spacing w:after="0" w:line="177" w:lineRule="exact"/>
              <w:rPr>
                <w:sz w:val="20"/>
                <w:szCs w:val="20"/>
                <w:color w:val="auto"/>
              </w:rPr>
            </w:pPr>
            <w:r>
              <w:rPr>
                <w:rFonts w:ascii="Times New Roman" w:cs="Times New Roman" w:eastAsia="Times New Roman" w:hAnsi="Times New Roman"/>
                <w:sz w:val="17"/>
                <w:szCs w:val="17"/>
                <w:color w:val="auto"/>
              </w:rPr>
              <w:t>for</w:t>
            </w:r>
          </w:p>
        </w:tc>
        <w:tc>
          <w:tcPr>
            <w:tcW w:w="680" w:type="dxa"/>
            <w:vAlign w:val="bottom"/>
          </w:tcPr>
          <w:p>
            <w:pPr>
              <w:spacing w:after="0"/>
              <w:rPr>
                <w:sz w:val="15"/>
                <w:szCs w:val="15"/>
                <w:color w:val="auto"/>
              </w:rPr>
            </w:pPr>
          </w:p>
        </w:tc>
        <w:tc>
          <w:tcPr>
            <w:tcW w:w="1280" w:type="dxa"/>
            <w:vAlign w:val="bottom"/>
          </w:tcPr>
          <w:p>
            <w:pPr>
              <w:jc w:val="center"/>
              <w:ind w:right="174"/>
              <w:spacing w:after="0" w:line="177" w:lineRule="exact"/>
              <w:rPr>
                <w:sz w:val="20"/>
                <w:szCs w:val="20"/>
                <w:color w:val="auto"/>
              </w:rPr>
            </w:pPr>
            <w:r>
              <w:rPr>
                <w:rFonts w:ascii="Times New Roman" w:cs="Times New Roman" w:eastAsia="Times New Roman" w:hAnsi="Times New Roman"/>
                <w:sz w:val="17"/>
                <w:szCs w:val="17"/>
                <w:color w:val="auto"/>
                <w:w w:val="98"/>
              </w:rPr>
              <w:t>Other</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72" w:lineRule="exact"/>
              <w:rPr>
                <w:sz w:val="20"/>
                <w:szCs w:val="20"/>
                <w:color w:val="auto"/>
              </w:rPr>
            </w:pPr>
            <w:r>
              <w:rPr>
                <w:rFonts w:ascii="Times New Roman" w:cs="Times New Roman" w:eastAsia="Times New Roman" w:hAnsi="Times New Roman"/>
                <w:sz w:val="17"/>
                <w:szCs w:val="17"/>
                <w:color w:val="auto"/>
                <w:w w:val="99"/>
              </w:rPr>
              <w:t>Fair Value</w:t>
            </w: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Identical</w:t>
            </w:r>
          </w:p>
        </w:tc>
        <w:tc>
          <w:tcPr>
            <w:tcW w:w="68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Observable</w:t>
            </w: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8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10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w w:val="98"/>
              </w:rPr>
              <w:t>ments</w:t>
            </w:r>
          </w:p>
        </w:tc>
        <w:tc>
          <w:tcPr>
            <w:tcW w:w="11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7,917</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7,917</w:t>
            </w:r>
          </w:p>
        </w:tc>
        <w:tc>
          <w:tcPr>
            <w:tcW w:w="10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81,065</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81,065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7,186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7,186</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40,506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40,506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30,185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30,185</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280,402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280,402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47,661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47,661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987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9,031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9,031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31,493</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29,584</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29,584</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19,551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19,551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7,361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10,123</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432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238</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153</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includes individually evaluated loans with specific allocations of the ACL based on collateral value.</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fair values for financial assets which we have elected the fair value option for the periods presented were as follows:</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Changes in Fair Values for the Three</w:t>
      </w:r>
    </w:p>
    <w:p>
      <w:pPr>
        <w:jc w:val="center"/>
        <w:ind w:left="6600"/>
        <w:spacing w:after="0" w:line="205" w:lineRule="auto"/>
        <w:rPr>
          <w:sz w:val="20"/>
          <w:szCs w:val="20"/>
          <w:color w:val="auto"/>
        </w:rPr>
      </w:pPr>
      <w:r>
        <w:rPr>
          <w:rFonts w:ascii="Times New Roman" w:cs="Times New Roman" w:eastAsia="Times New Roman" w:hAnsi="Times New Roman"/>
          <w:sz w:val="17"/>
          <w:szCs w:val="17"/>
          <w:color w:val="auto"/>
        </w:rPr>
        <w:t>Month Periods Ended March 31 for</w:t>
      </w:r>
    </w:p>
    <w:p>
      <w:pPr>
        <w:jc w:val="center"/>
        <w:ind w:left="6600"/>
        <w:spacing w:after="0" w:line="222" w:lineRule="auto"/>
        <w:rPr>
          <w:sz w:val="20"/>
          <w:szCs w:val="20"/>
          <w:color w:val="auto"/>
        </w:rPr>
      </w:pPr>
      <w:r>
        <w:rPr>
          <w:rFonts w:ascii="Times New Roman" w:cs="Times New Roman" w:eastAsia="Times New Roman" w:hAnsi="Times New Roman"/>
          <w:sz w:val="17"/>
          <w:szCs w:val="17"/>
          <w:color w:val="auto"/>
        </w:rPr>
        <w:t>items Measured at Fair Value Pursuant</w:t>
      </w:r>
    </w:p>
    <w:p>
      <w:pPr>
        <w:ind w:left="7700"/>
        <w:spacing w:after="0"/>
        <w:rPr>
          <w:sz w:val="20"/>
          <w:szCs w:val="20"/>
          <w:color w:val="auto"/>
        </w:rPr>
      </w:pPr>
      <w:r>
        <w:rPr>
          <w:rFonts w:ascii="Times New Roman" w:cs="Times New Roman" w:eastAsia="Times New Roman" w:hAnsi="Times New Roman"/>
          <w:sz w:val="17"/>
          <w:szCs w:val="17"/>
          <w:color w:val="auto"/>
        </w:rPr>
        <w:t>to Election of the Fair Value 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77" w:lineRule="exact"/>
              <w:rPr>
                <w:sz w:val="20"/>
                <w:szCs w:val="20"/>
                <w:color w:val="auto"/>
              </w:rPr>
            </w:pPr>
            <w:r>
              <w:rPr>
                <w:rFonts w:ascii="Times New Roman" w:cs="Times New Roman" w:eastAsia="Times New Roman" w:hAnsi="Times New Roman"/>
                <w:sz w:val="17"/>
                <w:szCs w:val="17"/>
                <w:color w:val="auto"/>
              </w:rPr>
              <w:t>in 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Net Gains (losses)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7"/>
              </w:rPr>
              <w:t>Values</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Included</w:t>
            </w:r>
          </w:p>
        </w:tc>
        <w:tc>
          <w:tcPr>
            <w:tcW w:w="0" w:type="dxa"/>
            <w:vAlign w:val="bottom"/>
          </w:tcPr>
          <w:p>
            <w:pPr>
              <w:spacing w:after="0"/>
              <w:rPr>
                <w:sz w:val="1"/>
                <w:szCs w:val="1"/>
                <w:color w:val="auto"/>
              </w:rPr>
            </w:pPr>
          </w:p>
        </w:tc>
      </w:tr>
      <w:tr>
        <w:trPr>
          <w:trHeight w:val="64"/>
        </w:trPr>
        <w:tc>
          <w:tcPr>
            <w:tcW w:w="6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on Assets</w:t>
            </w: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9"/>
              </w:rPr>
              <w:t>Mortgage</w:t>
            </w:r>
          </w:p>
        </w:tc>
        <w:tc>
          <w:tcPr>
            <w:tcW w:w="124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color w:val="auto"/>
              </w:rPr>
              <w:t>in Current</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14"/>
              <w:spacing w:after="0" w:line="161" w:lineRule="exact"/>
              <w:rPr>
                <w:sz w:val="20"/>
                <w:szCs w:val="20"/>
                <w:color w:val="auto"/>
              </w:rPr>
            </w:pPr>
            <w:r>
              <w:rPr>
                <w:rFonts w:ascii="Times New Roman" w:cs="Times New Roman" w:eastAsia="Times New Roman" w:hAnsi="Times New Roman"/>
                <w:sz w:val="17"/>
                <w:szCs w:val="17"/>
                <w:color w:val="auto"/>
              </w:rPr>
              <w:t>Mortgage</w:t>
            </w:r>
          </w:p>
        </w:tc>
        <w:tc>
          <w:tcPr>
            <w:tcW w:w="260" w:type="dxa"/>
            <w:vAlign w:val="bottom"/>
          </w:tcPr>
          <w:p>
            <w:pPr>
              <w:spacing w:after="0"/>
              <w:rPr>
                <w:sz w:val="13"/>
                <w:szCs w:val="13"/>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7"/>
              </w:rPr>
              <w:t>Loan</w:t>
            </w: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w w:val="99"/>
              </w:rPr>
              <w:t>Period</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Loans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9"/>
              </w:rPr>
              <w:t>Servicing, net</w:t>
            </w: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w w:val="99"/>
              </w:rPr>
              <w:t>Earnings</w:t>
            </w:r>
          </w:p>
        </w:tc>
        <w:tc>
          <w:tcPr>
            <w:tcW w:w="0" w:type="dxa"/>
            <w:vAlign w:val="bottom"/>
          </w:tcPr>
          <w:p>
            <w:pPr>
              <w:spacing w:after="0"/>
              <w:rPr>
                <w:sz w:val="1"/>
                <w:szCs w:val="1"/>
                <w:color w:val="auto"/>
              </w:rPr>
            </w:pPr>
          </w:p>
        </w:tc>
      </w:tr>
      <w:tr>
        <w:trPr>
          <w:trHeight w:val="2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0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55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0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(2,424)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those items measured at fair value pursuant to our election of the fair value option, interest income is recorded within the interim Condensed Consolidated Statements of Operations based on the contractual amount of interest income earned on these financial assets.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represent impairment charges recognized during the three month periods ended March 31, 2026 and 2025 relating to assets measured at fair value on a non-recurring basis:</w:t>
      </w:r>
    </w:p>
    <w:p>
      <w:pPr>
        <w:spacing w:after="0" w:line="1" w:lineRule="exact"/>
        <w:rPr>
          <w:sz w:val="20"/>
          <w:szCs w:val="20"/>
          <w:color w:val="auto"/>
        </w:rPr>
      </w:pPr>
    </w:p>
    <w:p>
      <w:pPr>
        <w:jc w:val="both"/>
        <w:ind w:left="620" w:hanging="307"/>
        <w:spacing w:after="0" w:line="25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that are individually evaluated using the fair value of collateral for collateral dependent loans had a carrying amount of $19.7 million, which is net of a valuation allowance of $7.1 million at March 31, 2026, and had a carrying amount of $18.6 million, which is net of a valuation allowance of $6.8 million at December 31, 2025. The provision for credit losses included in our results of operations relating to collateral dependent loans was a net expense of $0.7 million and $1.7 million for the three month periods ending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for all assets measured at fair value on a recurring basis using significant unobservable inputs (Level 3) follows:</w:t>
      </w:r>
    </w:p>
    <w:p>
      <w:pPr>
        <w:spacing w:after="0" w:line="22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7"/>
          <w:szCs w:val="17"/>
          <w:color w:val="auto"/>
        </w:rPr>
        <w:t>Capitalized Mortgage Loan Servicing</w:t>
      </w:r>
    </w:p>
    <w:p>
      <w:pPr>
        <w:jc w:val="center"/>
        <w:ind w:left="8380"/>
        <w:spacing w:after="0"/>
        <w:rPr>
          <w:sz w:val="20"/>
          <w:szCs w:val="20"/>
          <w:color w:val="auto"/>
        </w:rPr>
      </w:pPr>
      <w:r>
        <w:rPr>
          <w:rFonts w:ascii="Times New Roman" w:cs="Times New Roman" w:eastAsia="Times New Roman" w:hAnsi="Times New Roman"/>
          <w:sz w:val="17"/>
          <w:szCs w:val="17"/>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5331460</wp:posOffset>
            </wp:positionH>
            <wp:positionV relativeFrom="paragraph">
              <wp:posOffset>13970</wp:posOffset>
            </wp:positionV>
            <wp:extent cx="1809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7"/>
          <w:szCs w:val="17"/>
          <w:color w:val="auto"/>
        </w:rPr>
        <w:t>Three Months Ended</w:t>
      </w:r>
    </w:p>
    <w:p>
      <w:pPr>
        <w:jc w:val="center"/>
        <w:ind w:left="8380"/>
        <w:spacing w:after="0"/>
        <w:rPr>
          <w:sz w:val="20"/>
          <w:szCs w:val="20"/>
          <w:color w:val="auto"/>
        </w:rPr>
      </w:pPr>
      <w:r>
        <w:rPr>
          <w:rFonts w:ascii="Times New Roman" w:cs="Times New Roman" w:eastAsia="Times New Roman" w:hAnsi="Times New Roman"/>
          <w:sz w:val="17"/>
          <w:szCs w:val="17"/>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12"/>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31,493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0" w:type="dxa"/>
            <w:vAlign w:val="bottom"/>
          </w:tcPr>
          <w:p>
            <w:pPr>
              <w:spacing w:after="0"/>
              <w:rPr>
                <w:sz w:val="1"/>
                <w:szCs w:val="1"/>
                <w:color w:val="auto"/>
              </w:rPr>
            </w:pPr>
          </w:p>
        </w:tc>
      </w:tr>
      <w:tr>
        <w:trPr>
          <w:trHeight w:val="219"/>
        </w:trPr>
        <w:tc>
          <w:tcPr>
            <w:tcW w:w="8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gains (losses) realized and unrealized:</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0" w:type="dxa"/>
            <w:vAlign w:val="bottom"/>
          </w:tcPr>
          <w:p>
            <w:pPr>
              <w:spacing w:after="0"/>
              <w:rPr>
                <w:sz w:val="1"/>
                <w:szCs w:val="1"/>
                <w:color w:val="auto"/>
              </w:rPr>
            </w:pPr>
          </w:p>
        </w:tc>
      </w:tr>
      <w:tr>
        <w:trPr>
          <w:trHeight w:val="219"/>
        </w:trPr>
        <w:tc>
          <w:tcPr>
            <w:tcW w:w="8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 - gain on sale(1)</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other comprehensive loss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issuances, settlements, maturities and calls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Sales(1)</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(12,962)</w:t>
            </w:r>
          </w:p>
        </w:tc>
        <w:tc>
          <w:tcPr>
            <w:tcW w:w="0" w:type="dxa"/>
            <w:vAlign w:val="bottom"/>
          </w:tcPr>
          <w:p>
            <w:pPr>
              <w:spacing w:after="0"/>
              <w:rPr>
                <w:sz w:val="1"/>
                <w:szCs w:val="1"/>
                <w:color w:val="auto"/>
              </w:rPr>
            </w:pPr>
          </w:p>
        </w:tc>
      </w:tr>
      <w:tr>
        <w:trPr>
          <w:trHeight w:val="219"/>
        </w:trPr>
        <w:tc>
          <w:tcPr>
            <w:tcW w:w="8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 of total gains (losses) for the period included in earnings attributable to the change in unrealized gains (losses)</w:t>
            </w: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0" w:type="dxa"/>
            <w:vAlign w:val="bottom"/>
          </w:tcPr>
          <w:p>
            <w:pPr>
              <w:spacing w:after="0"/>
              <w:rPr>
                <w:sz w:val="1"/>
                <w:szCs w:val="1"/>
                <w:color w:val="auto"/>
              </w:rPr>
            </w:pPr>
          </w:p>
        </w:tc>
      </w:tr>
      <w:tr>
        <w:trPr>
          <w:trHeight w:val="226"/>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relating to assets and liabilities still held at March 31</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320" w:hanging="317"/>
        <w:spacing w:after="0" w:line="258" w:lineRule="auto"/>
        <w:tabs>
          <w:tab w:leader="none" w:pos="46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(41.5%) of the total capitalized mortgage loan servicing right asset. While there remains a customary hold back of final settlement funds of approximately $0.1 million relating to this transaction, we are not aware of any issues that will have a material impact on this final payment. We expect to receive this final payment in the second quarter of 2026. Transaction expenses relating to this sale were approximately $0.2 million and were expensed in 2025.</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ectPr>
          <w:pgSz w:w="11900" w:h="16838" w:orient="portrait"/>
          <w:cols w:equalWidth="0" w:num="1">
            <w:col w:w="11240"/>
          </w:cols>
          <w:pgMar w:left="320" w:top="119" w:right="339" w:bottom="1440" w:gutter="0" w:footer="0" w:header="0"/>
        </w:sectPr>
      </w:pPr>
    </w:p>
    <w:p>
      <w:pPr>
        <w:spacing w:after="0" w:line="16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Asset</w:t>
      </w:r>
    </w:p>
    <w:p>
      <w:pPr>
        <w:ind w:left="2660"/>
        <w:spacing w:after="0" w:line="221" w:lineRule="auto"/>
        <w:rPr>
          <w:sz w:val="20"/>
          <w:szCs w:val="20"/>
          <w:color w:val="auto"/>
        </w:rPr>
      </w:pPr>
      <w:r>
        <w:rPr>
          <w:rFonts w:ascii="Times New Roman" w:cs="Times New Roman" w:eastAsia="Times New Roman" w:hAnsi="Times New Roman"/>
          <w:sz w:val="17"/>
          <w:szCs w:val="17"/>
          <w:color w:val="auto"/>
        </w:rPr>
        <w:t>Fair</w:t>
      </w:r>
    </w:p>
    <w:p>
      <w:pPr>
        <w:jc w:val="center"/>
        <w:ind w:left="2140"/>
        <w:spacing w:after="0"/>
        <w:rPr>
          <w:sz w:val="20"/>
          <w:szCs w:val="20"/>
          <w:color w:val="auto"/>
        </w:rPr>
      </w:pPr>
      <w:r>
        <w:rPr>
          <w:rFonts w:ascii="Times New Roman" w:cs="Times New Roman" w:eastAsia="Times New Roman" w:hAnsi="Times New Roman"/>
          <w:sz w:val="17"/>
          <w:szCs w:val="17"/>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5715</wp:posOffset>
            </wp:positionV>
            <wp:extent cx="9169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jc w:val="center"/>
        <w:ind w:left="2140"/>
        <w:spacing w:after="0"/>
        <w:rPr>
          <w:sz w:val="20"/>
          <w:szCs w:val="20"/>
          <w:color w:val="auto"/>
        </w:rPr>
      </w:pPr>
      <w:r>
        <w:rPr>
          <w:rFonts w:ascii="Times New Roman" w:cs="Times New Roman" w:eastAsia="Times New Roman" w:hAnsi="Times New Roman"/>
          <w:sz w:val="17"/>
          <w:szCs w:val="17"/>
          <w:color w:val="auto"/>
        </w:rPr>
        <w:t>(In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2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1"/>
        </w:trPr>
        <w:tc>
          <w:tcPr>
            <w:tcW w:w="202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31,493</w:t>
            </w: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Valuation</w:t>
            </w: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Unobservable</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Weighted</w:t>
            </w:r>
          </w:p>
        </w:tc>
      </w:tr>
      <w:tr>
        <w:trPr>
          <w:trHeight w:val="232"/>
        </w:trPr>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Technique</w:t>
            </w:r>
          </w:p>
        </w:tc>
        <w:tc>
          <w:tcPr>
            <w:tcW w:w="100" w:type="dxa"/>
            <w:vAlign w:val="bottom"/>
          </w:tcPr>
          <w:p>
            <w:pPr>
              <w:spacing w:after="0"/>
              <w:rPr>
                <w:sz w:val="20"/>
                <w:szCs w:val="20"/>
                <w:color w:val="auto"/>
              </w:rPr>
            </w:pPr>
          </w:p>
        </w:tc>
        <w:tc>
          <w:tcPr>
            <w:tcW w:w="1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Inputs</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Range</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Average</w:t>
            </w:r>
          </w:p>
        </w:tc>
      </w:tr>
      <w:tr>
        <w:trPr>
          <w:trHeight w:val="599"/>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Present value of net servicing</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9.50% to 19.59%</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9.97 %</w:t>
            </w: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 to $832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w:t>
            </w: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 to 30</w:t>
            </w:r>
          </w:p>
        </w:tc>
        <w:tc>
          <w:tcPr>
            <w:tcW w:w="2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Float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3.91 %</w:t>
            </w:r>
          </w:p>
        </w:tc>
      </w:tr>
      <w:tr>
        <w:trPr>
          <w:trHeight w:val="223"/>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5.39% to 43.76%</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9.16 %</w:t>
            </w:r>
          </w:p>
        </w:tc>
      </w:tr>
      <w:tr>
        <w:trPr>
          <w:trHeight w:val="38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Present value of net servicing</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9.50% to 18.65%</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9.94 %</w:t>
            </w: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 to $817</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w:t>
            </w: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Ancillary income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 to 30</w:t>
            </w:r>
          </w:p>
        </w:tc>
        <w:tc>
          <w:tcPr>
            <w:tcW w:w="2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Float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r>
      <w:tr>
        <w:trPr>
          <w:trHeight w:val="223"/>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5.39% to 39.62%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-1759585</wp:posOffset>
            </wp:positionV>
            <wp:extent cx="7138670" cy="2540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-1366520</wp:posOffset>
            </wp:positionV>
            <wp:extent cx="7138670" cy="139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-1088390</wp:posOffset>
            </wp:positionV>
            <wp:extent cx="7138670" cy="139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-810260</wp:posOffset>
            </wp:positionV>
            <wp:extent cx="7138670" cy="2540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-417195</wp:posOffset>
            </wp:positionV>
            <wp:extent cx="7138670" cy="139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-139065</wp:posOffset>
            </wp:positionV>
            <wp:extent cx="7138670" cy="139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160"/>
            <w:col w:w="7620"/>
          </w:cols>
          <w:pgMar w:left="320" w:top="11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9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Asset</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960" w:type="dxa"/>
            <w:vAlign w:val="bottom"/>
          </w:tcPr>
          <w:p>
            <w:pPr>
              <w:jc w:val="center"/>
              <w:ind w:left="394"/>
              <w:spacing w:after="0"/>
              <w:rPr>
                <w:sz w:val="20"/>
                <w:szCs w:val="20"/>
                <w:color w:val="auto"/>
              </w:rPr>
            </w:pPr>
            <w:r>
              <w:rPr>
                <w:rFonts w:ascii="Times New Roman" w:cs="Times New Roman" w:eastAsia="Times New Roman" w:hAnsi="Times New Roman"/>
                <w:sz w:val="17"/>
                <w:szCs w:val="17"/>
                <w:color w:val="auto"/>
              </w:rPr>
              <w:t>Fair</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Valuation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Unobservable</w:t>
            </w:r>
          </w:p>
        </w:tc>
      </w:tr>
      <w:tr>
        <w:trPr>
          <w:trHeight w:val="223"/>
        </w:trPr>
        <w:tc>
          <w:tcPr>
            <w:tcW w:w="2100" w:type="dxa"/>
            <w:vAlign w:val="bottom"/>
          </w:tcPr>
          <w:p>
            <w:pPr>
              <w:spacing w:after="0"/>
              <w:rPr>
                <w:sz w:val="19"/>
                <w:szCs w:val="19"/>
                <w:color w:val="auto"/>
              </w:rPr>
            </w:pPr>
          </w:p>
        </w:tc>
        <w:tc>
          <w:tcPr>
            <w:tcW w:w="9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w w:val="93"/>
              </w:rPr>
              <w:t>Value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Technique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r>
      <w:tr>
        <w:trPr>
          <w:trHeight w:val="25"/>
        </w:trPr>
        <w:tc>
          <w:tcPr>
            <w:tcW w:w="2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5"/>
        </w:trPr>
        <w:tc>
          <w:tcPr>
            <w:tcW w:w="21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45"/>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100" w:type="dxa"/>
            <w:vAlign w:val="bottom"/>
          </w:tcPr>
          <w:p>
            <w:pPr>
              <w:jc w:val="center"/>
              <w:ind w:right="654"/>
              <w:spacing w:after="0"/>
              <w:rPr>
                <w:sz w:val="20"/>
                <w:szCs w:val="20"/>
                <w:color w:val="auto"/>
              </w:rPr>
            </w:pPr>
            <w:r>
              <w:rPr>
                <w:rFonts w:ascii="Times New Roman" w:cs="Times New Roman" w:eastAsia="Times New Roman" w:hAnsi="Times New Roman"/>
                <w:sz w:val="17"/>
                <w:szCs w:val="17"/>
                <w:color w:val="auto"/>
                <w:w w:val="99"/>
              </w:rPr>
              <w:t>Commercial</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9,314</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w:t>
            </w: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58"/>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Capitalization rate used</w:t>
            </w:r>
          </w:p>
        </w:tc>
      </w:tr>
      <w:tr>
        <w:trPr>
          <w:trHeight w:val="241"/>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41"/>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8,090</w:t>
            </w:r>
          </w:p>
        </w:tc>
        <w:tc>
          <w:tcPr>
            <w:tcW w:w="32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193"/>
        </w:trPr>
        <w:tc>
          <w:tcPr>
            <w:tcW w:w="2100" w:type="dxa"/>
            <w:vAlign w:val="bottom"/>
          </w:tcPr>
          <w:p>
            <w:pPr>
              <w:ind w:left="300"/>
              <w:spacing w:after="0" w:line="193" w:lineRule="exact"/>
              <w:rPr>
                <w:sz w:val="20"/>
                <w:szCs w:val="20"/>
                <w:color w:val="auto"/>
              </w:rPr>
            </w:pPr>
            <w:r>
              <w:rPr>
                <w:rFonts w:ascii="Times New Roman" w:cs="Times New Roman" w:eastAsia="Times New Roman" w:hAnsi="Times New Roman"/>
                <w:sz w:val="17"/>
                <w:szCs w:val="17"/>
                <w:color w:val="auto"/>
              </w:rPr>
              <w:t>Mortgage and</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Adjustment for differences</w:t>
            </w:r>
          </w:p>
        </w:tc>
      </w:tr>
      <w:tr>
        <w:trPr>
          <w:trHeight w:val="258"/>
        </w:trPr>
        <w:tc>
          <w:tcPr>
            <w:tcW w:w="2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Installment(2)</w:t>
            </w: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3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490"/>
        </w:trPr>
        <w:tc>
          <w:tcPr>
            <w:tcW w:w="2100" w:type="dxa"/>
            <w:vAlign w:val="bottom"/>
          </w:tcPr>
          <w:p>
            <w:pPr>
              <w:jc w:val="center"/>
              <w:ind w:right="654"/>
              <w:spacing w:after="0"/>
              <w:rPr>
                <w:sz w:val="20"/>
                <w:szCs w:val="20"/>
                <w:color w:val="auto"/>
              </w:rPr>
            </w:pPr>
            <w:r>
              <w:rPr>
                <w:rFonts w:ascii="Times New Roman" w:cs="Times New Roman" w:eastAsia="Times New Roman" w:hAnsi="Times New Roman"/>
                <w:sz w:val="17"/>
                <w:szCs w:val="17"/>
                <w:color w:val="auto"/>
              </w:rPr>
              <w:t>December 31, 2025</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5"/>
        </w:trPr>
        <w:tc>
          <w:tcPr>
            <w:tcW w:w="2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100" w:type="dxa"/>
            <w:vAlign w:val="bottom"/>
          </w:tcPr>
          <w:p>
            <w:pPr>
              <w:jc w:val="center"/>
              <w:ind w:right="654"/>
              <w:spacing w:after="0"/>
              <w:rPr>
                <w:sz w:val="20"/>
                <w:szCs w:val="20"/>
                <w:color w:val="auto"/>
              </w:rPr>
            </w:pPr>
            <w:r>
              <w:rPr>
                <w:rFonts w:ascii="Times New Roman" w:cs="Times New Roman" w:eastAsia="Times New Roman" w:hAnsi="Times New Roman"/>
                <w:sz w:val="17"/>
                <w:szCs w:val="17"/>
                <w:color w:val="auto"/>
                <w:w w:val="99"/>
              </w:rPr>
              <w:t>Commercial</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9,826</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w:t>
            </w: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41"/>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41"/>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w:t>
            </w:r>
          </w:p>
        </w:tc>
        <w:tc>
          <w:tcPr>
            <w:tcW w:w="32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193"/>
        </w:trPr>
        <w:tc>
          <w:tcPr>
            <w:tcW w:w="2100" w:type="dxa"/>
            <w:vAlign w:val="bottom"/>
          </w:tcPr>
          <w:p>
            <w:pPr>
              <w:ind w:left="300"/>
              <w:spacing w:after="0" w:line="193" w:lineRule="exact"/>
              <w:rPr>
                <w:sz w:val="20"/>
                <w:szCs w:val="20"/>
                <w:color w:val="auto"/>
              </w:rPr>
            </w:pPr>
            <w:r>
              <w:rPr>
                <w:rFonts w:ascii="Times New Roman" w:cs="Times New Roman" w:eastAsia="Times New Roman" w:hAnsi="Times New Roman"/>
                <w:sz w:val="17"/>
                <w:szCs w:val="17"/>
                <w:color w:val="auto"/>
              </w:rPr>
              <w:t>Mortgage and</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Adjustment for differences</w:t>
            </w:r>
          </w:p>
        </w:tc>
      </w:tr>
      <w:tr>
        <w:trPr>
          <w:trHeight w:val="258"/>
        </w:trPr>
        <w:tc>
          <w:tcPr>
            <w:tcW w:w="2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Installment(2)</w:t>
            </w: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3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-4125595</wp:posOffset>
            </wp:positionV>
            <wp:extent cx="7138670" cy="155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-3806190</wp:posOffset>
            </wp:positionV>
            <wp:extent cx="7138670" cy="163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-3347720</wp:posOffset>
            </wp:positionV>
            <wp:extent cx="7138670" cy="556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-2496185</wp:posOffset>
            </wp:positionV>
            <wp:extent cx="7138670" cy="278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670" cy="2781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-2054225</wp:posOffset>
            </wp:positionV>
            <wp:extent cx="7138670" cy="155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-1743075</wp:posOffset>
            </wp:positionV>
            <wp:extent cx="7138670" cy="155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-1424305</wp:posOffset>
            </wp:positionV>
            <wp:extent cx="7138670" cy="294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-572770</wp:posOffset>
            </wp:positionV>
            <wp:extent cx="7138670" cy="294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Weighted</w:t>
      </w:r>
    </w:p>
    <w:p>
      <w:pPr>
        <w:spacing w:after="0" w:line="28"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17"/>
          <w:szCs w:val="17"/>
          <w:color w:val="auto"/>
        </w:rPr>
        <w:t>Range</w:t>
      </w:r>
      <w:r>
        <w:rPr>
          <w:sz w:val="20"/>
          <w:szCs w:val="20"/>
          <w:color w:val="auto"/>
        </w:rPr>
        <w:tab/>
      </w:r>
      <w:r>
        <w:rPr>
          <w:rFonts w:ascii="Times New Roman" w:cs="Times New Roman" w:eastAsia="Times New Roman" w:hAnsi="Times New Roman"/>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22860</wp:posOffset>
            </wp:positionV>
            <wp:extent cx="18421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42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10.0% to 16.0%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14.2 %</w:t>
            </w:r>
          </w:p>
        </w:tc>
      </w:tr>
      <w:tr>
        <w:trPr>
          <w:trHeight w:val="258"/>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10.0%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(50.0) to 15.0</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(0.6)</w:t>
            </w:r>
          </w:p>
        </w:tc>
      </w:tr>
      <w:tr>
        <w:trPr>
          <w:trHeight w:val="877"/>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32.0 to 65.0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38.8</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(18.0) to 42.0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8.7</w:t>
            </w:r>
          </w:p>
        </w:tc>
      </w:tr>
      <w:tr>
        <w:trPr>
          <w:trHeight w:val="438"/>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(22.0) to 15.1</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8"/>
              </w:rPr>
              <w:t>9.0% to 16.0%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13.5 %</w:t>
            </w:r>
          </w:p>
        </w:tc>
      </w:tr>
      <w:tr>
        <w:trPr>
          <w:trHeight w:val="464"/>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(50.0) to 15.0</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(0.6)</w:t>
            </w:r>
          </w:p>
        </w:tc>
      </w:tr>
      <w:tr>
        <w:trPr>
          <w:trHeight w:val="877"/>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40.0 to 65.0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47.2</w:t>
            </w:r>
          </w:p>
        </w:tc>
      </w:tr>
      <w:tr>
        <w:trPr>
          <w:trHeight w:val="464"/>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(18.0) to 65.0</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8.7</w:t>
            </w:r>
          </w:p>
        </w:tc>
      </w:tr>
      <w:tr>
        <w:trPr>
          <w:trHeight w:val="438"/>
        </w:trPr>
        <w:tc>
          <w:tcPr>
            <w:tcW w:w="14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(17.7) to 16.9</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0.2</w:t>
            </w:r>
          </w:p>
        </w:tc>
      </w:tr>
    </w:tbl>
    <w:p>
      <w:pPr>
        <w:spacing w:after="0" w:line="212" w:lineRule="exact"/>
        <w:rPr>
          <w:sz w:val="20"/>
          <w:szCs w:val="20"/>
          <w:color w:val="auto"/>
        </w:rPr>
      </w:pPr>
    </w:p>
    <w:p>
      <w:pPr>
        <w:sectPr>
          <w:pgSz w:w="11900" w:h="16838" w:orient="portrait"/>
          <w:cols w:equalWidth="0" w:num="2">
            <w:col w:w="8260" w:space="460"/>
            <w:col w:w="2500"/>
          </w:cols>
          <w:pgMar w:left="320" w:top="119" w:right="35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p>
      <w:pPr>
        <w:ind w:left="580" w:hanging="560"/>
        <w:spacing w:after="0"/>
        <w:tabs>
          <w:tab w:leader="none" w:pos="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one commercial loan relationship that is cross collateralized by several properties whose appraisals used different valuation techniques.</w:t>
      </w:r>
    </w:p>
    <w:p>
      <w:pPr>
        <w:spacing w:after="0" w:line="62" w:lineRule="exact"/>
        <w:rPr>
          <w:rFonts w:ascii="Times New Roman" w:cs="Times New Roman" w:eastAsia="Times New Roman" w:hAnsi="Times New Roman"/>
          <w:sz w:val="17"/>
          <w:szCs w:val="17"/>
          <w:color w:val="auto"/>
        </w:rPr>
      </w:pPr>
    </w:p>
    <w:p>
      <w:pPr>
        <w:jc w:val="both"/>
        <w:ind w:left="580" w:right="20" w:hanging="560"/>
        <w:spacing w:after="0" w:line="270" w:lineRule="auto"/>
        <w:tabs>
          <w:tab w:leader="none" w:pos="5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valuation techniques and unobservable inputs discussed above, at March 31, 2026 and December 31, 2025 certain collateral dependent installment loans totaling approximately $0.50 million and $0.37 million, respectively, are secured by collateral other than real estate. For the majority of these loans, we apply internal discount rates to industry valuation guides.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Aggregate</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Contractual</w:t>
            </w:r>
          </w:p>
        </w:tc>
      </w:tr>
      <w:tr>
        <w:trPr>
          <w:trHeight w:val="232"/>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rPr>
              <w:t>Difference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Principal</w:t>
            </w:r>
          </w:p>
        </w:tc>
      </w:tr>
      <w:tr>
        <w:trPr>
          <w:trHeight w:val="225"/>
        </w:trPr>
        <w:tc>
          <w:tcPr>
            <w:tcW w:w="36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1"/>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2026</w:t>
            </w:r>
          </w:p>
        </w:tc>
        <w:tc>
          <w:tcPr>
            <w:tcW w:w="3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19,747</w:t>
            </w:r>
          </w:p>
        </w:tc>
      </w:tr>
      <w:tr>
        <w:trPr>
          <w:trHeight w:val="232"/>
        </w:trPr>
        <w:tc>
          <w:tcPr>
            <w:tcW w:w="3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2025</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9,031</w:t>
            </w:r>
          </w:p>
        </w:tc>
        <w:tc>
          <w:tcPr>
            <w:tcW w:w="240" w:type="dxa"/>
            <w:vAlign w:val="bottom"/>
          </w:tcPr>
          <w:p>
            <w:pPr>
              <w:spacing w:after="0"/>
              <w:rPr>
                <w:sz w:val="20"/>
                <w:szCs w:val="20"/>
                <w:color w:val="auto"/>
              </w:rPr>
            </w:pPr>
          </w:p>
        </w:tc>
        <w:tc>
          <w:tcPr>
            <w:tcW w:w="1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127</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8,904</w:t>
            </w:r>
          </w:p>
        </w:tc>
      </w:tr>
      <w:tr>
        <w:trPr>
          <w:trHeight w:val="864"/>
        </w:trPr>
        <w:tc>
          <w:tcPr>
            <w:tcW w:w="3600" w:type="dxa"/>
            <w:vAlign w:val="bottom"/>
          </w:tcPr>
          <w:p>
            <w:pPr>
              <w:spacing w:after="0"/>
              <w:rPr>
                <w:sz w:val="24"/>
                <w:szCs w:val="24"/>
                <w:color w:val="auto"/>
              </w:rPr>
            </w:pPr>
          </w:p>
        </w:tc>
        <w:tc>
          <w:tcPr>
            <w:tcW w:w="302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Values of Financial Instruments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recorded book balances and fair values follow: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9"/>
              </w:rPr>
              <w:t>Fair Value Using</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76" w:lineRule="exact"/>
              <w:rPr>
                <w:sz w:val="20"/>
                <w:szCs w:val="20"/>
                <w:color w:val="auto"/>
              </w:rPr>
            </w:pPr>
            <w:r>
              <w:rPr>
                <w:rFonts w:ascii="Times New Roman" w:cs="Times New Roman" w:eastAsia="Times New Roman" w:hAnsi="Times New Roman"/>
                <w:sz w:val="17"/>
                <w:szCs w:val="17"/>
                <w:color w:val="auto"/>
                <w:w w:val="99"/>
              </w:rPr>
              <w:t>Quoted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Prices</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4"/>
                <w:szCs w:val="14"/>
                <w:color w:val="auto"/>
              </w:rPr>
            </w:pPr>
          </w:p>
        </w:tc>
        <w:tc>
          <w:tcPr>
            <w:tcW w:w="132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color w:val="auto"/>
              </w:rPr>
              <w:t>Significant</w:t>
            </w:r>
          </w:p>
        </w:tc>
        <w:tc>
          <w:tcPr>
            <w:tcW w:w="24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rPr>
              <w:t>Markets</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40" w:type="dxa"/>
            <w:vAlign w:val="bottom"/>
          </w:tcPr>
          <w:p>
            <w:pPr>
              <w:spacing w:after="0"/>
              <w:rPr>
                <w:sz w:val="14"/>
                <w:szCs w:val="14"/>
                <w:color w:val="auto"/>
              </w:rPr>
            </w:pPr>
          </w:p>
        </w:tc>
        <w:tc>
          <w:tcPr>
            <w:tcW w:w="132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11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4"/>
                <w:szCs w:val="14"/>
                <w:color w:val="auto"/>
              </w:rPr>
            </w:pPr>
          </w:p>
        </w:tc>
        <w:tc>
          <w:tcPr>
            <w:tcW w:w="132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24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7"/>
                <w:szCs w:val="17"/>
                <w:color w:val="auto"/>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32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color w:val="auto"/>
                <w:w w:val="98"/>
              </w:rPr>
              <w:t>Inputs</w:t>
            </w:r>
          </w:p>
        </w:tc>
        <w:tc>
          <w:tcPr>
            <w:tcW w:w="240" w:type="dxa"/>
            <w:vAlign w:val="bottom"/>
          </w:tcPr>
          <w:p>
            <w:pPr>
              <w:spacing w:after="0"/>
              <w:rPr>
                <w:sz w:val="15"/>
                <w:szCs w:val="15"/>
                <w:color w:val="auto"/>
              </w:rPr>
            </w:pPr>
          </w:p>
        </w:tc>
        <w:tc>
          <w:tcPr>
            <w:tcW w:w="116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rPr>
              <w:t>Balance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1)</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(Level 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31, 2026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48,475</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48,475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48,475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126,440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126,440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126,440</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482,295</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482,295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482,295</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301,007</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271,452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271,452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18,102</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4,264,094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4,079,140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19,714</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4,059,426</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18,864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18,864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4,669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14,078</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26,970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26,970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26,970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4,052,869</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4,052,869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4,052,869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827,811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825,762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825,762</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27,010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26,689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26,689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39,881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40,093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40,093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2,274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2,274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319</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1,955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15,575</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15,575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15,575</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52,235</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52,235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52,235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86,152</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86,152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86,152</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495,909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495,909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495,909</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309,523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282,830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282,830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18,102</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4,221,871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4,062,200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9,031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4,053,169</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19,030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19,030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5,043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13,952</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29,584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29,584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29,584</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3,967,941</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3,967,941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3,967,941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793,741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791,598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791,598</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77,003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76,680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76,680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39,864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39,761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39,761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1,892</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1,892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316</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1,576</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19,551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19,551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19,551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80" w:right="20" w:hanging="560"/>
        <w:spacing w:after="0" w:line="180" w:lineRule="auto"/>
        <w:tabs>
          <w:tab w:leader="none" w:pos="580" w:val="left"/>
        </w:tabs>
        <w:numPr>
          <w:ilvl w:val="0"/>
          <w:numId w:val="2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2"/>
          <w:szCs w:val="12"/>
          <w:color w:val="auto"/>
        </w:rPr>
        <w:t>Deposits with no stated maturity include reciprocal deposits with a recorded book balance of $915.326 million and $862.697 million at March 31, 2026 and December 31, 2025, respectively. Deposits with a stated maturity include reciprocal deposits with a recorded book balance of $113.548 million and $112.224 million at March 31, 2026 and December 31, 2025,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for commitments to extend credit and standby letters of credit are estimated to approximate their aggregate book balance, which is nominal and therefore are not disclosed.</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Contingencies</w:t>
      </w:r>
    </w:p>
    <w:p>
      <w:pPr>
        <w:spacing w:after="0" w:line="2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Pressures from various global and national macroeconomic conditions, including significant volatility and uncertainty in U.S. and global market conditions, inflationary pressures, recessionary concerns, uncertainty regarding future interest rates, energy and other commodity price volatility, foreign currency exchange rate fluctuations, the continuation of the Russia-Ukraine war, ongoing conflict in the Middle East, and actual or potential changes in fiscal, trade, regulatory, and monetary policy, continue to create economic uncertainty for our customers, the markets in which we operate, and the financial services industry.</w:t>
      </w:r>
    </w:p>
    <w:p>
      <w:pPr>
        <w:spacing w:after="0" w:line="1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securities held to maturity, loans, capitalized mortgage loan servicing rights or deferred tax assets.</w:t>
      </w:r>
    </w:p>
    <w:p>
      <w:pPr>
        <w:spacing w:after="0" w:line="1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evolving and fluid macroeconomic conditions on the future performance of our loan portfolio, the value of our securities portfolio, and our financial results.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which currently include three putative class action complaints brought against the Bank alleging that its practice of charging overdraft and other fees was not consistent with the disclosures the Bank made to consumers. These lawsuits are similar to lawsuits that have recently been filed against other financial institutions pertaining to overdraft fee disclosures. No class has been certified in any of the putative class action complaints brought against the Bank, and we believe we have valid defenses to each of the claims that have been made. Currently, these three actions are being coordinated for pre-trial and other purposes.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quarter, we recorded an accrual for losses we consider probable as a result of all of our outstanding litigation matters in the aggregate amount of $1.5 million, reflected as Litigation Expense in the interim condensed consolidated statement of operations. However, because of the inherent uncertainty of outcomes from any litigation matter, we believe it is reasonably possible we may incur losses in addition to the amounts we have accrued. At this time, we are unable to provide an estimate of the losses that we believe are reasonably possible in addition to the amounts we have accrued, primarily because we are still conducting diligence on certain underlying factual and legal issues and significant matters remain to be resolved, including class certification of the actions described in the preceding paragraph.</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Visa Stock</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Each Class C share automatically converts to 4 shares of Visa Inc. Class A common stock upon a transfer to anyone other than a Visa member or an affiliate of a Visa member. The Class B-2 shares have the same transfer restrictions as the transfer restrictions on the Class B-1 shares and can only be sold to other Class B shareholders.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Because of the very limited liquidity for the Class B-1 shares (prior to completion of the exchange offer) and uncertainty regarding the likelihood, ultimate timing, and eventual exchange rate for Class B-1 shares into Class A shares, we were carrying these shares at zero (prior to the completion of the exchange offer), representing cost basis less impairment. In light of the continued uncertainty regarding the likelihood, ultimate timing, and eventual exchange rate for Class B-2 shares into Class A shares, we are carrying the Class B-2 shares at zero at both March 31, 2026 and December 31, 2025, representing cost basis less impairment. However, given the current conversion ratio of 1.5075 Class A shares for every 1 Class B-2 share and the closing price of Visa Class A shares on April 27, 2026 of $309.65 per share, our 6,283 Class B-2 shares would have a current “value” of approximately $2.9 million.</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April, 2026 Visa commenced another exchange offer that, if completed on the terms announced by Visa, will allow us to exchange up to all of our Class B-2 shares for a combination of Class B-3 shares and Class A shares (plus cash in lieu of any fractional shares). We currently intend to participate in that exchange offer; however, we have no control over whether the exchange offer will be completed on the terms announced or at all.</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condition to our participation in the exchange offer,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 are designed to equal the decline in value we would have experienced had we not participated in Visa’s exchange offer. Based on the disclosures that have been made by Visa regarding the status of this litigation and other circumstances relating to the exchange offer and potential future, similar exchange offers, we believe the likelihood we will have to make any payments under the Makewhole Agreement is remote.</w:t>
      </w:r>
    </w:p>
    <w:p>
      <w:pPr>
        <w:spacing w:after="0" w:line="149" w:lineRule="exact"/>
        <w:rPr>
          <w:sz w:val="20"/>
          <w:szCs w:val="20"/>
          <w:color w:val="auto"/>
        </w:rPr>
      </w:pPr>
    </w:p>
    <w:p>
      <w:pPr>
        <w:ind w:right="7240" w:firstLine="3"/>
        <w:spacing w:after="0" w:line="490" w:lineRule="auto"/>
        <w:tabs>
          <w:tab w:leader="none" w:pos="38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Accumulated Other Comprehensive Loss (“AOCL”) </w:t>
      </w:r>
      <w:r>
        <w:rPr>
          <w:rFonts w:ascii="Times New Roman" w:cs="Times New Roman" w:eastAsia="Times New Roman" w:hAnsi="Times New Roman"/>
          <w:sz w:val="17"/>
          <w:szCs w:val="17"/>
          <w:color w:val="auto"/>
        </w:rPr>
        <w:t>A summary of changes in AOCL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 Effects</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Unrealized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three months ended March 31,</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(57,688)</w:t>
            </w:r>
          </w:p>
        </w:tc>
        <w:tc>
          <w:tcPr>
            <w:tcW w:w="0" w:type="dxa"/>
            <w:vAlign w:val="bottom"/>
          </w:tcPr>
          <w:p>
            <w:pPr>
              <w:spacing w:after="0"/>
              <w:rPr>
                <w:sz w:val="1"/>
                <w:szCs w:val="1"/>
                <w:color w:val="auto"/>
              </w:rPr>
            </w:pPr>
          </w:p>
        </w:tc>
      </w:tr>
      <w:tr>
        <w:trPr>
          <w:trHeight w:val="21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(3,557)</w:t>
            </w:r>
          </w:p>
        </w:tc>
        <w:tc>
          <w:tcPr>
            <w:tcW w:w="0" w:type="dxa"/>
            <w:vAlign w:val="bottom"/>
          </w:tcPr>
          <w:p>
            <w:pPr>
              <w:spacing w:after="0"/>
              <w:rPr>
                <w:sz w:val="1"/>
                <w:szCs w:val="1"/>
                <w:color w:val="auto"/>
              </w:rPr>
            </w:pPr>
          </w:p>
        </w:tc>
      </w:tr>
      <w:tr>
        <w:trPr>
          <w:trHeight w:val="223"/>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19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0" w:type="dxa"/>
            <w:vAlign w:val="bottom"/>
          </w:tcPr>
          <w:p>
            <w:pPr>
              <w:spacing w:after="0"/>
              <w:rPr>
                <w:sz w:val="1"/>
                <w:szCs w:val="1"/>
                <w:color w:val="auto"/>
              </w:rPr>
            </w:pPr>
          </w:p>
        </w:tc>
      </w:tr>
      <w:tr>
        <w:trPr>
          <w:trHeight w:val="223"/>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(61,024)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(69,944)</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44"/>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0" w:type="dxa"/>
            <w:vAlign w:val="bottom"/>
          </w:tcPr>
          <w:p>
            <w:pPr>
              <w:spacing w:after="0"/>
              <w:rPr>
                <w:sz w:val="1"/>
                <w:szCs w:val="1"/>
                <w:color w:val="auto"/>
              </w:rPr>
            </w:pP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(47,780)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(67,083)</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AFS.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three months ended March 31 follows: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Interim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6040" w:hanging="1159"/>
        <w:spacing w:after="0"/>
        <w:tabs>
          <w:tab w:leader="none" w:pos="6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340"/>
        <w:spacing w:after="0"/>
        <w:tabs>
          <w:tab w:leader="none" w:pos="646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40" w:hanging="1159"/>
        <w:spacing w:after="0"/>
        <w:tabs>
          <w:tab w:leader="none" w:pos="60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(230)  Interest income</w:t>
      </w:r>
    </w:p>
    <w:p>
      <w:pPr>
        <w:spacing w:after="0" w:line="49"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(253)</w:t>
      </w:r>
    </w:p>
    <w:p>
      <w:pPr>
        <w:spacing w:after="0" w:line="4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(53)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(221)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(330)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(261)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derivative instruments</w:t>
      </w:r>
    </w:p>
    <w:p>
      <w:pPr>
        <w:spacing w:after="0" w:line="62" w:lineRule="exact"/>
        <w:rPr>
          <w:sz w:val="20"/>
          <w:szCs w:val="20"/>
          <w:color w:val="auto"/>
        </w:rPr>
      </w:pPr>
    </w:p>
    <w:p>
      <w:pPr>
        <w:ind w:left="5940" w:hanging="1059"/>
        <w:spacing w:after="0"/>
        <w:tabs>
          <w:tab w:leader="none" w:pos="5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(422)  Interest income</w:t>
      </w:r>
    </w:p>
    <w:p>
      <w:pPr>
        <w:spacing w:after="0" w:line="49"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55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(89)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(596)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hanging="377"/>
        <w:spacing w:after="0"/>
        <w:tabs>
          <w:tab w:leader="none" w:pos="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 from Contracts with Customers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losses on securities AFS, mortgage loan servicing, net and bank owned life insurance and were approximately 88.8% and 88.5% of total revenues for the three month periods ending March 31, 2026 and 2025, respectively.</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March 31, 2026 and December 31, 2025.</w:t>
      </w:r>
    </w:p>
    <w:p>
      <w:pPr>
        <w:spacing w:after="0" w:line="3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Service charges on deposit accounts and other deposit related income</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Revenues are earned on depository accounts for commercial and retail customers and</w:t>
      </w:r>
      <w:r>
        <w:rPr>
          <w:rFonts w:ascii="Times New Roman" w:cs="Times New Roman" w:eastAsia="Times New Roman" w:hAnsi="Times New Roman"/>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Interchange income</w:t>
      </w:r>
      <w:r>
        <w:rPr>
          <w:rFonts w:ascii="Times New Roman" w:cs="Times New Roman" w:eastAsia="Times New Roman" w:hAnsi="Times New Roman"/>
          <w:sz w:val="17"/>
          <w:szCs w:val="17"/>
          <w:color w:val="auto"/>
          <w:highlight w:val="white"/>
        </w:rPr>
        <w:t>: Interchange income primarily includes debit card interchange and network revenues. Debit card interchange and network revenues are earned</w:t>
      </w:r>
      <w:r>
        <w:rPr>
          <w:rFonts w:ascii="Times New Roman" w:cs="Times New Roman" w:eastAsia="Times New Roman" w:hAnsi="Times New Roman"/>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Investment and insurance commissions</w:t>
      </w:r>
      <w:r>
        <w:rPr>
          <w:rFonts w:ascii="Times New Roman" w:cs="Times New Roman" w:eastAsia="Times New Roman" w:hAnsi="Times New Roman"/>
          <w:sz w:val="17"/>
          <w:szCs w:val="17"/>
          <w:color w:val="auto"/>
          <w:highlight w:val="white"/>
        </w:rPr>
        <w:t>: Investment and insurance commissions include fees and commissions from asset management, custody, recordkeeping,</w:t>
      </w:r>
      <w:r>
        <w:rPr>
          <w:rFonts w:ascii="Times New Roman" w:cs="Times New Roman" w:eastAsia="Times New Roman" w:hAnsi="Times New Roman"/>
          <w:sz w:val="17"/>
          <w:szCs w:val="17"/>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Net (gains) losses on other real estate and repossessed assets</w:t>
      </w:r>
      <w:r>
        <w:rPr>
          <w:rFonts w:ascii="Times New Roman" w:cs="Times New Roman" w:eastAsia="Times New Roman" w:hAnsi="Times New Roman"/>
          <w:sz w:val="17"/>
          <w:szCs w:val="17"/>
          <w:color w:val="auto"/>
          <w:highlight w:val="white"/>
        </w:rPr>
        <w:t>: We record a gain or loss from the sale of other real estate when control of the property transfers to the</w:t>
      </w:r>
      <w:r>
        <w:rPr>
          <w:rFonts w:ascii="Times New Roman" w:cs="Times New Roman" w:eastAsia="Times New Roman" w:hAnsi="Times New Roman"/>
          <w:sz w:val="17"/>
          <w:szCs w:val="17"/>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March 31, 2026 and 2025 that were financed by us.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Service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Investment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Charges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Deposit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on Deposit</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Related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Interchange</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2"/>
        </w:trPr>
        <w:tc>
          <w:tcPr>
            <w:tcW w:w="3500" w:type="dxa"/>
            <w:vAlign w:val="bottom"/>
          </w:tcPr>
          <w:p>
            <w:pPr>
              <w:spacing w:after="0"/>
              <w:rPr>
                <w:sz w:val="21"/>
                <w:szCs w:val="21"/>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auto"/>
                <w:w w:val="99"/>
              </w:rPr>
              <w:t>Accounts</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rPr>
              <w:t>Income</w:t>
            </w: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Income</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March 31, 2026</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2,098</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45"/>
        </w:trPr>
        <w:tc>
          <w:tcPr>
            <w:tcW w:w="35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2,935</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7,588</w:t>
            </w:r>
          </w:p>
        </w:tc>
      </w:tr>
      <w:tr>
        <w:trPr>
          <w:trHeight w:val="20"/>
        </w:trPr>
        <w:tc>
          <w:tcPr>
            <w:tcW w:w="4980" w:type="dxa"/>
            <w:vAlign w:val="bottom"/>
            <w:tcBorders>
              <w:top w:val="single" w:sz="8" w:color="CCEEFF"/>
            </w:tcBorders>
            <w:gridSpan w:val="3"/>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61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r>
      <w:tr>
        <w:trPr>
          <w:trHeight w:val="264"/>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65"/>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10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w:t>
            </w:r>
          </w:p>
        </w:tc>
      </w:tr>
      <w:tr>
        <w:trPr>
          <w:trHeight w:val="269"/>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Service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Investment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020" w:type="dxa"/>
            <w:vAlign w:val="bottom"/>
          </w:tcPr>
          <w:p>
            <w:pPr>
              <w:jc w:val="center"/>
              <w:ind w:left="374"/>
              <w:spacing w:after="0"/>
              <w:rPr>
                <w:sz w:val="20"/>
                <w:szCs w:val="20"/>
                <w:color w:val="auto"/>
              </w:rPr>
            </w:pPr>
            <w:r>
              <w:rPr>
                <w:rFonts w:ascii="Times New Roman" w:cs="Times New Roman" w:eastAsia="Times New Roman" w:hAnsi="Times New Roman"/>
                <w:sz w:val="17"/>
                <w:szCs w:val="17"/>
                <w:color w:val="auto"/>
              </w:rPr>
              <w:t>Charges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Deposit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3500" w:type="dxa"/>
            <w:vAlign w:val="bottom"/>
          </w:tcPr>
          <w:p>
            <w:pPr>
              <w:spacing w:after="0"/>
              <w:rPr>
                <w:sz w:val="19"/>
                <w:szCs w:val="19"/>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on Deposit</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Related</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Interchange</w:t>
            </w: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Insurance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35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auto"/>
                <w:w w:val="99"/>
              </w:rPr>
              <w:t>Accounts</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rPr>
              <w:t>Income</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March 31, 2025</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2,108</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10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51"/>
        </w:trPr>
        <w:tc>
          <w:tcPr>
            <w:tcW w:w="35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2,814</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7,342</w:t>
            </w:r>
          </w:p>
        </w:tc>
      </w:tr>
      <w:tr>
        <w:trPr>
          <w:trHeight w:val="20"/>
        </w:trPr>
        <w:tc>
          <w:tcPr>
            <w:tcW w:w="4980" w:type="dxa"/>
            <w:vAlign w:val="bottom"/>
            <w:tcBorders>
              <w:top w:val="single" w:sz="8" w:color="CCEEFF"/>
            </w:tcBorders>
            <w:gridSpan w:val="3"/>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61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64"/>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10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1,449</w:t>
            </w:r>
          </w:p>
        </w:tc>
      </w:tr>
      <w:tr>
        <w:trPr>
          <w:trHeight w:val="270"/>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interim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operating or finance leases at the lease commencement date (we did not have any finance leases as of March 31, 2026 and December 31, 2025).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cost components of our operating leases follows:</w:t>
      </w:r>
    </w:p>
    <w:p>
      <w:pPr>
        <w:spacing w:after="0" w:line="230"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color w:val="auto"/>
        </w:rPr>
        <w:t>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38"/>
        </w:trPr>
        <w:tc>
          <w:tcPr>
            <w:tcW w:w="8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20"/>
                <w:szCs w:val="20"/>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44"/>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our operating leases follows: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3"/>
        </w:trPr>
        <w:tc>
          <w:tcPr>
            <w:tcW w:w="7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March 31,</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38"/>
        </w:trPr>
        <w:tc>
          <w:tcPr>
            <w:tcW w:w="7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r>
      <w:tr>
        <w:trPr>
          <w:trHeight w:val="219"/>
        </w:trPr>
        <w:tc>
          <w:tcPr>
            <w:tcW w:w="7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right of use asset (1)</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7,003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7,296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(2)</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7,219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7,528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 in our interim Condensed Consolidated Statements of Financial Condition.</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interim Condensed Consolidated Statements of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analysis of our lease liabilities at March 31, 2026 based on required contractual payments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Nine months ending December 31, 2026</w:t>
            </w:r>
          </w:p>
        </w:tc>
        <w:tc>
          <w:tcPr>
            <w:tcW w:w="5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1,090</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1,339</w:t>
            </w:r>
          </w:p>
        </w:tc>
        <w:tc>
          <w:tcPr>
            <w:tcW w:w="0" w:type="dxa"/>
            <w:vAlign w:val="bottom"/>
          </w:tcPr>
          <w:p>
            <w:pPr>
              <w:spacing w:after="0"/>
              <w:rPr>
                <w:sz w:val="1"/>
                <w:szCs w:val="1"/>
                <w:color w:val="auto"/>
              </w:rPr>
            </w:pPr>
          </w:p>
        </w:tc>
      </w:tr>
      <w:tr>
        <w:trPr>
          <w:trHeight w:val="25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1,288</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1,296</w:t>
            </w:r>
          </w:p>
        </w:tc>
        <w:tc>
          <w:tcPr>
            <w:tcW w:w="0" w:type="dxa"/>
            <w:vAlign w:val="bottom"/>
          </w:tcPr>
          <w:p>
            <w:pPr>
              <w:spacing w:after="0"/>
              <w:rPr>
                <w:sz w:val="1"/>
                <w:szCs w:val="1"/>
                <w:color w:val="auto"/>
              </w:rPr>
            </w:pPr>
          </w:p>
        </w:tc>
      </w:tr>
      <w:tr>
        <w:trPr>
          <w:trHeight w:val="25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1,126</w:t>
            </w:r>
          </w:p>
        </w:tc>
        <w:tc>
          <w:tcPr>
            <w:tcW w:w="0" w:type="dxa"/>
            <w:vAlign w:val="bottom"/>
          </w:tcPr>
          <w:p>
            <w:pPr>
              <w:spacing w:after="0"/>
              <w:rPr>
                <w:sz w:val="1"/>
                <w:szCs w:val="1"/>
                <w:color w:val="auto"/>
              </w:rPr>
            </w:pPr>
          </w:p>
        </w:tc>
      </w:tr>
      <w:tr>
        <w:trPr>
          <w:trHeight w:val="23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2031 and thereafter</w:t>
            </w:r>
          </w:p>
        </w:tc>
        <w:tc>
          <w:tcPr>
            <w:tcW w:w="55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714"/>
              <w:spacing w:after="0"/>
              <w:rPr>
                <w:sz w:val="20"/>
                <w:szCs w:val="20"/>
                <w:color w:val="auto"/>
              </w:rPr>
            </w:pPr>
            <w:r>
              <w:rPr>
                <w:rFonts w:ascii="Times New Roman" w:cs="Times New Roman" w:eastAsia="Times New Roman" w:hAnsi="Times New Roman"/>
                <w:sz w:val="17"/>
                <w:szCs w:val="17"/>
                <w:color w:val="auto"/>
              </w:rPr>
              <w:t>2,258</w:t>
            </w:r>
          </w:p>
        </w:tc>
        <w:tc>
          <w:tcPr>
            <w:tcW w:w="0" w:type="dxa"/>
            <w:vAlign w:val="bottom"/>
          </w:tcPr>
          <w:p>
            <w:pPr>
              <w:spacing w:after="0"/>
              <w:rPr>
                <w:sz w:val="1"/>
                <w:szCs w:val="1"/>
                <w:color w:val="auto"/>
              </w:rPr>
            </w:pPr>
          </w:p>
        </w:tc>
      </w:tr>
      <w:tr>
        <w:trPr>
          <w:trHeight w:val="244"/>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payments</w:t>
            </w:r>
          </w:p>
        </w:tc>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8,397</w:t>
            </w: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5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7"/>
                <w:szCs w:val="17"/>
                <w:color w:val="auto"/>
              </w:rPr>
              <w:t>(1,178)</w:t>
            </w:r>
          </w:p>
        </w:tc>
        <w:tc>
          <w:tcPr>
            <w:tcW w:w="0" w:type="dxa"/>
            <w:vAlign w:val="bottom"/>
          </w:tcPr>
          <w:p>
            <w:pPr>
              <w:spacing w:after="0"/>
              <w:rPr>
                <w:sz w:val="1"/>
                <w:szCs w:val="1"/>
                <w:color w:val="auto"/>
              </w:rPr>
            </w:pPr>
          </w:p>
        </w:tc>
      </w:tr>
      <w:tr>
        <w:trPr>
          <w:trHeight w:val="265"/>
        </w:trPr>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7,219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814"/>
              <w:spacing w:after="0"/>
              <w:rPr>
                <w:sz w:val="20"/>
                <w:szCs w:val="20"/>
                <w:color w:val="auto"/>
              </w:rPr>
            </w:pPr>
            <w:r>
              <w:rPr>
                <w:rFonts w:ascii="Times New Roman" w:cs="Times New Roman" w:eastAsia="Times New Roman" w:hAnsi="Times New Roman"/>
                <w:sz w:val="17"/>
                <w:szCs w:val="17"/>
                <w:color w:val="auto"/>
              </w:rPr>
              <w:t>58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24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9A9A9A"/>
            </w:tcBorders>
          </w:tcPr>
          <w:p>
            <w:pPr>
              <w:spacing w:after="0"/>
              <w:rPr>
                <w:sz w:val="9"/>
                <w:szCs w:val="9"/>
                <w:color w:val="auto"/>
              </w:rPr>
            </w:pPr>
          </w:p>
        </w:tc>
        <w:tc>
          <w:tcPr>
            <w:tcW w:w="5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42" w:lineRule="exact"/>
        <w:rPr>
          <w:sz w:val="20"/>
          <w:szCs w:val="20"/>
          <w:color w:val="auto"/>
        </w:rPr>
      </w:pPr>
    </w:p>
    <w:p>
      <w:pPr>
        <w:ind w:left="380" w:hanging="377"/>
        <w:spacing w:after="0"/>
        <w:tabs>
          <w:tab w:leader="none" w:pos="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Segment Reporting</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Independent Bank Corporation is a bank holding company, whose principal activity is the ownership and management of its wholly-owned subsidiaries, including Independent Bank. As a community-oriented financial institution, substantially all of our operations involve the delivery of loan and deposit products to customers.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one reportable segment which is determined by the Chief Executive Officer, who is the designated chief operating decision maker, based upon information provided about the products and services we offer, primarily banking operations. The segment is also distinguished by the level of information provided to the chief operating decision maker, who uses such information to review performance of various components of the business, which are then aggregated if the operating performance, products/services, and customers are similar. The chief operating decision maker will evaluate the performance of our business components such as evaluating revenue streams, significant expenses, and budget to actual results assessing our segment and in the determination of allocating resources. The chief operating decision maker uses revenue streams to evaluate product pricing and significant expenses to assess performance and evaluate return on assets. The chief operating decision maker uses consolidated net income, earnings per share, and return on average assets to benchmark us against our competitors. The benchmarking analysis coupled with monitoring of budget to actual results are used in assessing performance and in establishing compensation. Loans, investments, and deposits provide the majority of revenues in the banking operation. Interest expense, provisions for credit losses, and compensation and employee benefits provide the significant expenses in the banking operation. All operations are domestic.</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Segment performance is evaluated using consolidated net income, earnings per share, and return on average assets. Information reported internally for performance assessment by the chief operating decision maker is as follows, inclusive of reconciliations of significant segment totals to the interim condensed consolidated financial statements for the three month periods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Three Months Ended March 31, 2026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5,876</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r>
      <w:tr>
        <w:trPr>
          <w:trHeight w:val="238"/>
        </w:trPr>
        <w:tc>
          <w:tcPr>
            <w:tcW w:w="5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66,169</w:t>
            </w:r>
          </w:p>
        </w:tc>
      </w:tr>
      <w:tr>
        <w:trPr>
          <w:trHeight w:val="231"/>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18,397</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38"/>
        </w:trPr>
        <w:tc>
          <w:tcPr>
            <w:tcW w:w="5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19,314</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47,454</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46,855</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47,092</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46,493</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2,935</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12,048</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21,829</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Litigation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37,820</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38,311</w:t>
            </w:r>
          </w:p>
        </w:tc>
      </w:tr>
      <w:tr>
        <w:trPr>
          <w:trHeight w:val="244"/>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20,230</w:t>
            </w:r>
          </w:p>
        </w:tc>
      </w:tr>
      <w:tr>
        <w:trPr>
          <w:trHeight w:val="239"/>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3,355</w:t>
            </w:r>
          </w:p>
        </w:tc>
      </w:tr>
      <w:tr>
        <w:trPr>
          <w:trHeight w:val="269"/>
        </w:trPr>
        <w:tc>
          <w:tcPr>
            <w:tcW w:w="51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5,551,229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571,840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(565,560)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5,557,509</w:t>
            </w:r>
          </w:p>
        </w:tc>
      </w:tr>
    </w:tbl>
    <w:p>
      <w:pPr>
        <w:spacing w:after="0" w:line="73" w:lineRule="exact"/>
        <w:rPr>
          <w:sz w:val="20"/>
          <w:szCs w:val="20"/>
          <w:color w:val="auto"/>
        </w:rPr>
      </w:pPr>
    </w:p>
    <w:p>
      <w:pPr>
        <w:ind w:left="5700" w:right="5000" w:hanging="5697"/>
        <w:spacing w:after="0" w:line="967" w:lineRule="auto"/>
        <w:tabs>
          <w:tab w:leader="none" w:pos="38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8"/>
          </w:tcPr>
          <w:p>
            <w:pPr>
              <w:jc w:val="center"/>
              <w:ind w:left="1114"/>
              <w:spacing w:after="0"/>
              <w:rPr>
                <w:sz w:val="20"/>
                <w:szCs w:val="20"/>
                <w:color w:val="auto"/>
              </w:rPr>
            </w:pPr>
            <w:r>
              <w:rPr>
                <w:rFonts w:ascii="Times New Roman" w:cs="Times New Roman" w:eastAsia="Times New Roman" w:hAnsi="Times New Roman"/>
                <w:sz w:val="17"/>
                <w:szCs w:val="17"/>
                <w:b w:val="1"/>
                <w:bCs w:val="1"/>
                <w:color w:val="auto"/>
              </w:rPr>
              <w:t>Three Months Ended March 31, 2025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57,768</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6,806</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66,144</w:t>
            </w: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20,955</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8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21,467</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22,459</w:t>
            </w:r>
          </w:p>
        </w:tc>
      </w:tr>
      <w:tr>
        <w:trPr>
          <w:trHeight w:val="244"/>
        </w:trPr>
        <w:tc>
          <w:tcPr>
            <w:tcW w:w="5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43,685</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r>
      <w:tr>
        <w:trPr>
          <w:trHeight w:val="244"/>
        </w:trPr>
        <w:tc>
          <w:tcPr>
            <w:tcW w:w="5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42,964</w:t>
            </w: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10,424</w:t>
            </w: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20,383</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w:t>
            </w:r>
          </w:p>
        </w:tc>
      </w:tr>
      <w:tr>
        <w:trPr>
          <w:trHeight w:val="245"/>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w:t>
            </w:r>
          </w:p>
        </w:tc>
      </w:tr>
      <w:tr>
        <w:trPr>
          <w:trHeight w:val="238"/>
        </w:trPr>
        <w:tc>
          <w:tcPr>
            <w:tcW w:w="5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33,817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34,262</w:t>
            </w:r>
          </w:p>
        </w:tc>
      </w:tr>
      <w:tr>
        <w:trPr>
          <w:trHeight w:val="238"/>
        </w:trPr>
        <w:tc>
          <w:tcPr>
            <w:tcW w:w="5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19,126</w:t>
            </w:r>
          </w:p>
        </w:tc>
      </w:tr>
      <w:tr>
        <w:trPr>
          <w:trHeight w:val="24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3,536</w:t>
            </w:r>
          </w:p>
        </w:tc>
      </w:tr>
      <w:tr>
        <w:trPr>
          <w:trHeight w:val="244"/>
        </w:trPr>
        <w:tc>
          <w:tcPr>
            <w:tcW w:w="5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w:t>
            </w:r>
          </w:p>
        </w:tc>
      </w:tr>
      <w:tr>
        <w:trPr>
          <w:trHeight w:val="245"/>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4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5,321,109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562,848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(555,529)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5,328,428</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hanging="377"/>
        <w:spacing w:after="0"/>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Pending Acquisition</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18, 2026, we entered into a definitive merger agreement with HCB Financial Corp. ("HCB") (the "Merger Agreement") providing for a business combination of Independent Bank Corporation ("IBCP") and HCB. The Merger Agreement provides that, upon the terms and subject to the conditions set forth in the Merger Agreement, HCB will be merged with and into IBCP, with IBCP as the surviving corporation (the "Merger"). In addition, IBCP intends to consolidate Highpoint Community Bank, HCB's wholly-owned subsidiary bank, with and into the Independent Bank (with Independent Bank as the surviving institution).</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we will pay aggregate Merger consideration of approximately $70.2 million in IBCP common stock and cash for all of the shares of HCB common stock issued and outstanding immediately before the effective time of the Merger. The Merger consideration is subject to adjustment in certain limited circumstances, as set forth in the Merger Agreement.</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Completion of the Merger is subject to certain closing conditions, including (among others) receipt of the requisite approval of HCB's shareholders, receipt of required regulatory approvals, and the absence of any law or order prohibiting completion of the Merger. The Merger Agreement provides certain termination rights for both IBCP and HCB and further provides that, upon termination of the Merger Agreement under certain limited circumstances, HCB will be obligated to pay IBCP a termination fee of approximately $3.25 million.</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 meeting of the HCB shareholders will be scheduled to consider and vote upon a proposal to approve the Merger Agreement between IBCP and HCB. Assuming requisite HCB shareholder approval, receipt of all required regulatory approvals and satisfaction of other closing conditions, the merger of IBCP and HCB is currently expected to be effective during the third quarter of 2026.</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2026 non-interest expenses include $0.3 million of costs incurred through March 31, 2026 related to the Merger. As of March 31, 2026, HCB had total assets of $597.2 million, total loans of $369.9 million, total deposits of $545.8 million, and total shareholders' equity of $47.5 million.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TEM</w:t>
      </w:r>
      <w:r>
        <w:rPr>
          <w:rFonts w:ascii="Times New Roman" w:cs="Times New Roman" w:eastAsia="Times New Roman" w:hAnsi="Times New Roman"/>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ANAGEMENT’S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ISCUSSION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 The following section presents additional information to assess the financial condition and results of operations of Independent Bank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(“IBCP”), its wholly-owned bank, Independent Bank (the “Bank”), and their subsidiaries. This section should be read in conjunction with the interim Condensed Consolidated Financial Statements. We also encourage you to read our 2025 Annual Report on Form 10-K filed with the U.S. Securities and Exchange Commission (“SEC”). That report includes a list of risk factors that you should consider in connection with any decision to buy or sell our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We provide banking services to customers located primarily in Michigan’s Lower Peninsula. We also have a loan production office in Fairlawn, Ohio.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success depends to a great extent upon the economic conditions in Michigan’s Lower Peninsula.</w:t>
      </w: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b w:val="1"/>
          <w:bCs w:val="1"/>
          <w:color w:val="auto"/>
        </w:rPr>
        <w:t xml:space="preserve">Recent Developments. </w:t>
      </w:r>
      <w:r>
        <w:rPr>
          <w:rFonts w:ascii="Times New Roman" w:cs="Times New Roman" w:eastAsia="Times New Roman" w:hAnsi="Times New Roman"/>
          <w:sz w:val="17"/>
          <w:szCs w:val="17"/>
          <w:color w:val="auto"/>
        </w:rPr>
        <w:t>Pressures from various global and national macroeconomic conditions, including significant volatility and uncertainty in U.S. and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conditions, inflationary pressures, recessionary concerns, uncertainty regarding future interest rates, energy and other commodity price volatility, foreign currency exchange rate fluctuations, the continuation of the Russia-Ukraine war, ongoing conflict in the Middle East, and actual or potential changes in fiscal, trade, regulatory, and monetary policy, continue to create economic uncertainty for our customers, the markets in which we operate, and the financial services industry. 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("AFS"), securities held to maturity ("HTM"), loans, capitalized mortgage loan servicing rights or deferred tax assets.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18, 2026, we entered into a definitive merger agreement with HCB Financial Corp. ("HCB") (the "Merger Agreement") providing for a business combination of Independent Bank Corporation ("IBCP") and HCB. The Merger Agreement provides that, upon the terms and subject to the conditions set forth in the Merger Agreement, HCB will be merged with and into IBCP, with IBCP as the surviving corporation (the "Merger"). In addition, IBCP intends to consolidate Highpoint Community Bank, HCB's wholly-owned subsidiary bank, with and into Independent Bank (with Independent Bank as the surviving institution).</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we will pay aggregate Merger consideration of approximately $70.2 million in IBCP common stock and cash for all of the shares of HCB common stock issued and outstanding immediately before the effective time of the Merger. The Merger consideration is subject to adjustment in certain limited circumstances, as set forth in the Merger Agreement.</w:t>
      </w:r>
    </w:p>
    <w:p>
      <w:pPr>
        <w:spacing w:after="0" w:line="1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Completion of the Merger is subject to certain closing conditions, including (among others) receipt of the requisite approval of HCB's shareholders, receipt of required regulatory approvals, and the absence of any law or order prohibiting completion of the Merger. The Merger Agreement provides certain termination rights for both IBCP and HCB and further provides that, upon termination of the Merger Agreement under certain limited circumstances, HCB will be obligated to pay IBCP a termination fee of approximately $3.25 million. Currently we anticipate the Merger will be effective during the third quarter of 2026. Our 2026 non-interest expenses include $0.3 million of costs incurred through March 31, 2026 related to the Merger.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against this backdrop that we discuss our results of operations and financial condition for the first quarter of 2026 as compared to earlier periods.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ESULTS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PERATIONS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We recorded net income of $16.9 million and $15.6 million during the three months ended March 31, 2026 and 2025, respectively. The increase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2026 first quarter results as compared to 2025 is due primarily to a $3.2 million increase in net interest income and a $2.5 million favorable change in the fair value due to price of capitalized mortgage loan servicing rights that were partially offset by a $4.0 million increase in non-interest expense.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960"/>
        </w:trPr>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Key performance ratios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5"/>
        </w:trPr>
        <w:tc>
          <w:tcPr>
            <w:tcW w:w="38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300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660" w:type="dxa"/>
            <w:vAlign w:val="bottom"/>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660" w:type="dxa"/>
            <w:vAlign w:val="bottom"/>
            <w:tcBorders>
              <w:bottom w:val="single" w:sz="8" w:color="auto"/>
            </w:tcBorders>
          </w:tcPr>
          <w:p>
            <w:pPr>
              <w:spacing w:after="0"/>
              <w:rPr>
                <w:sz w:val="20"/>
                <w:szCs w:val="20"/>
                <w:color w:val="auto"/>
              </w:rPr>
            </w:pPr>
          </w:p>
        </w:tc>
      </w:tr>
      <w:tr>
        <w:trPr>
          <w:trHeight w:val="226"/>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(annualized) to</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1"/>
        </w:trPr>
        <w:tc>
          <w:tcPr>
            <w:tcW w:w="7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assets</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r>
      <w:tr>
        <w:trPr>
          <w:trHeight w:val="239"/>
        </w:trPr>
        <w:tc>
          <w:tcPr>
            <w:tcW w:w="7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Average shareholders’ equity</w:t>
            </w: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13.71 %</w:t>
            </w:r>
          </w:p>
        </w:tc>
      </w:tr>
      <w:tr>
        <w:trPr>
          <w:trHeight w:val="264"/>
        </w:trPr>
        <w:tc>
          <w:tcPr>
            <w:tcW w:w="7580" w:type="dxa"/>
            <w:vAlign w:val="bottom"/>
            <w:gridSpan w:val="2"/>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3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1"/>
        </w:trPr>
        <w:tc>
          <w:tcPr>
            <w:tcW w:w="7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0.82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0.74</w:t>
            </w:r>
          </w:p>
        </w:tc>
      </w:tr>
      <w:tr>
        <w:trPr>
          <w:trHeight w:val="232"/>
        </w:trPr>
        <w:tc>
          <w:tcPr>
            <w:tcW w:w="7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120" w:type="dxa"/>
            <w:vAlign w:val="bottom"/>
          </w:tcPr>
          <w:p>
            <w:pPr>
              <w:spacing w:after="0"/>
              <w:rPr>
                <w:sz w:val="20"/>
                <w:szCs w:val="20"/>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0.81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Net interest income is the most important source of our earnings and thus is critical in evaluating our results of operations. Changes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totaled $46.9 million during the first quarter of 2026, an increase of $3.2 million, or 7.3% from the year-ago period. This increase primarily reflects a $130.8 million increase in average interest-earning assets and a 16 basis point increase in our tax equivalent net interest income as a percent of average interest-earning assets (the “net interest margin”).</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average interest-earning assets for the first quarter of 2026 as compared to the same period in 2025 primarily reflects growth in commercial loans funded from decreases in interest bearing cash deposits, installment loans and securities available for sale and held to maturity as well as an increase in deposits.</w:t>
      </w:r>
    </w:p>
    <w:p>
      <w:pPr>
        <w:spacing w:after="0" w:line="1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increase in our net interest margin during the three month period in 2026 is attributed to a 29 basis point decrease in interest expense as a percent of average interest-earning assets ("Cost of Funds") that was only partially offset by a 13 basis point decrease in interest income as a percent of average interest-earning assets ("Asset Yield"). These decreases are primarily attributed to the decreases in the federal funds rate since January of 2025 as the average federal funds rate was 75 basis points lower during the first quarter of 2026 as compared to the first quarter of 2025. Our Cost of Funds has been positively impacted by deposit pricing sensitivity to the decreases in interest rates discussed above as well as a favorable shift in mix with growth in lower cost non-maturity deposits and runoff in wholesale funding and subordinated debentures. Our Asset Yield has been negatively impacted by lower rates on variable rate earning assets. However, this impact has been partially offset by the origination of new fixed rate loans at rates higher than those in our current portfolio, as well as a shift in earning asset mix from generally lower rate investment securities, consumer loans and overnight liquidity to higher rate loans. See Asset/liability management.</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net interest income is also impacted by our level of non-accrual loans. In the first quarter of 2026, non-accrual loans averaged $36.0 million. In the first quarter of 2025, non-accrual loans averaged $6.6 million. The increase in non accrual balances primarily relates to one commercial loan credit relationship. In addition, in the first quarter of 2026 we had net charge-offs of $0.1 million of unpaid interest on loans placed on or taken off non-accrual or on loans previously charged-off compared to net recoveries of $0.1 million during the same period in 2025.</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38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4,306,954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59,161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5.54 %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4,053,593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57,685</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5.74 %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619,764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2.60</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79,636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18,102</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6.85</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5,209,360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66,614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5,078,596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5.28</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56,469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256,415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5,522,244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3,008,287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11,915</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1.61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2,836,290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12,840</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817,202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6,482</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67,213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5.53</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92,185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3,892,702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19,314</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3,799,852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22,459</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1,006,600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1,007,665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509,523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5,522,244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5,378,022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44,137</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3.65 %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3.49 %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960"/>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4"/>
          </w:tcPr>
          <w:p>
            <w:pPr>
              <w:jc w:val="right"/>
              <w:ind w:right="45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50"/>
        </w:trPr>
        <w:tc>
          <w:tcPr>
            <w:tcW w:w="38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r>
      <w:tr>
        <w:trPr>
          <w:trHeight w:val="232"/>
        </w:trPr>
        <w:tc>
          <w:tcPr>
            <w:tcW w:w="3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45"/>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Margin, Fully Taxable Equivalent ("FTE")</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796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5"/>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46,855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43,685</w:t>
            </w:r>
          </w:p>
        </w:tc>
      </w:tr>
      <w:tr>
        <w:trPr>
          <w:trHeight w:val="251"/>
        </w:trPr>
        <w:tc>
          <w:tcPr>
            <w:tcW w:w="7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Add: taxable equivalent adjustment</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445</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452</w:t>
            </w:r>
          </w:p>
        </w:tc>
      </w:tr>
      <w:tr>
        <w:trPr>
          <w:trHeight w:val="270"/>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 taxable equivalent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47,300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44,137</w:t>
            </w:r>
          </w:p>
        </w:tc>
      </w:tr>
      <w:tr>
        <w:trPr>
          <w:trHeight w:val="20"/>
        </w:trPr>
        <w:tc>
          <w:tcPr>
            <w:tcW w:w="79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interest margin (GAAP) (1)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3.61 %</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3.46 %</w:t>
            </w: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2"/>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margin (Non-GAAP FTE) (1)</w:t>
            </w: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3.65 %</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3.49 %</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Annualized.</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Provision for credit losses. </w:t>
      </w:r>
      <w:r>
        <w:rPr>
          <w:rFonts w:ascii="Times New Roman" w:cs="Times New Roman" w:eastAsia="Times New Roman" w:hAnsi="Times New Roman"/>
          <w:sz w:val="17"/>
          <w:szCs w:val="17"/>
          <w:color w:val="auto"/>
        </w:rPr>
        <w:t>The provision for credit losses was an expense of $0.36 million and $0.72 million for the three months ended March 31, 2026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respectively.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provision for credit losses on loans reflects our assessment of the allowance for credit losses (the “ACL”) on loans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related to loans and their impact on the provision for credit losses in 2026. In general, we use a similar methodology for the provision for credit losses on unfunded lending commitments.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$0.4 million decrease in the provision for credit losses expense on loans and unfunded lending commitments from the prior year quarter is primarily due to a favorable variance in allocations based on subjective factors (prior year quarter included a four basis point increase while there was no increase in 2026), a decline in specific commercial loan reserves (prior year quarter included several downgrades while the specific allocations were relatively stable in 2026) as well a decrease in reserve on unfunded lending commitments (attributed to a decrease in balances and expected loss rates) that were only partially offset by an increase in retail loan pooled reserves (prior year quarter included certain favorable pooled loss allocation rate changes while pooled allocations were relative stable in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year to date provision for credit losses on securities HTM in 2026 and 2025 was a credit of zero and $0.003 million, respectively. See Note #3.</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Non-interest income. </w:t>
      </w:r>
      <w:r>
        <w:rPr>
          <w:rFonts w:ascii="Times New Roman" w:cs="Times New Roman" w:eastAsia="Times New Roman" w:hAnsi="Times New Roman"/>
          <w:sz w:val="17"/>
          <w:szCs w:val="17"/>
          <w:color w:val="auto"/>
        </w:rPr>
        <w:t>Non-interest income is a significant element in assessing our results of operations. Non-interest income totaled $12.0 million during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2026 compared to $10.4 million in the first quarter of 2025.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income are as follows: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ind w:right="1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4"/>
          </w:tcPr>
          <w:p>
            <w:pPr>
              <w:jc w:val="center"/>
              <w:ind w:left="714"/>
              <w:spacing w:after="0"/>
              <w:rPr>
                <w:sz w:val="20"/>
                <w:szCs w:val="20"/>
                <w:color w:val="auto"/>
              </w:rPr>
            </w:pPr>
            <w:r>
              <w:rPr>
                <w:rFonts w:ascii="Times New Roman" w:cs="Times New Roman" w:eastAsia="Times New Roman" w:hAnsi="Times New Roman"/>
                <w:sz w:val="17"/>
                <w:szCs w:val="17"/>
                <w:color w:val="auto"/>
              </w:rPr>
              <w:t>(In thousands)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income</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w:t>
            </w:r>
          </w:p>
        </w:tc>
        <w:tc>
          <w:tcPr>
            <w:tcW w:w="5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0" w:type="dxa"/>
            <w:vAlign w:val="bottom"/>
          </w:tcPr>
          <w:p>
            <w:pPr>
              <w:spacing w:after="0"/>
              <w:rPr>
                <w:sz w:val="1"/>
                <w:szCs w:val="1"/>
                <w:color w:val="auto"/>
              </w:rPr>
            </w:pPr>
          </w:p>
        </w:tc>
      </w:tr>
      <w:tr>
        <w:trPr>
          <w:trHeight w:val="23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0" w:type="dxa"/>
            <w:vAlign w:val="bottom"/>
          </w:tcPr>
          <w:p>
            <w:pPr>
              <w:spacing w:after="0"/>
              <w:rPr>
                <w:sz w:val="1"/>
                <w:szCs w:val="1"/>
                <w:color w:val="auto"/>
              </w:rPr>
            </w:pPr>
          </w:p>
        </w:tc>
      </w:tr>
      <w:tr>
        <w:trPr>
          <w:trHeight w:val="251"/>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(losses) on assets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Mortgage loans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0" w:type="dxa"/>
            <w:vAlign w:val="bottom"/>
          </w:tcPr>
          <w:p>
            <w:pPr>
              <w:spacing w:after="0"/>
              <w:rPr>
                <w:sz w:val="1"/>
                <w:szCs w:val="1"/>
                <w:color w:val="auto"/>
              </w:rPr>
            </w:pPr>
          </w:p>
        </w:tc>
      </w:tr>
      <w:tr>
        <w:trPr>
          <w:trHeight w:val="251"/>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3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51"/>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0" w:type="dxa"/>
            <w:vAlign w:val="bottom"/>
          </w:tcPr>
          <w:p>
            <w:pPr>
              <w:spacing w:after="0"/>
              <w:rPr>
                <w:sz w:val="1"/>
                <w:szCs w:val="1"/>
                <w:color w:val="auto"/>
              </w:rPr>
            </w:pPr>
          </w:p>
        </w:tc>
      </w:tr>
      <w:tr>
        <w:trPr>
          <w:trHeight w:val="23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51"/>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0" w:type="dxa"/>
            <w:vAlign w:val="bottom"/>
          </w:tcPr>
          <w:p>
            <w:pPr>
              <w:spacing w:after="0"/>
              <w:rPr>
                <w:sz w:val="1"/>
                <w:szCs w:val="1"/>
                <w:color w:val="auto"/>
              </w:rPr>
            </w:pPr>
          </w:p>
        </w:tc>
      </w:tr>
      <w:tr>
        <w:trPr>
          <w:trHeight w:val="231"/>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12,048</w:t>
            </w:r>
          </w:p>
        </w:tc>
        <w:tc>
          <w:tcPr>
            <w:tcW w:w="5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0" w:type="dxa"/>
            <w:vAlign w:val="bottom"/>
          </w:tcPr>
          <w:p>
            <w:pPr>
              <w:spacing w:after="0"/>
              <w:rPr>
                <w:sz w:val="1"/>
                <w:szCs w:val="1"/>
                <w:color w:val="auto"/>
              </w:rPr>
            </w:pPr>
          </w:p>
        </w:tc>
      </w:tr>
      <w:tr>
        <w:trPr>
          <w:trHeight w:val="26"/>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Mortgage loan activity is summarized as follows:</w:t>
            </w:r>
          </w:p>
        </w:tc>
        <w:tc>
          <w:tcPr>
            <w:tcW w:w="2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7"/>
        </w:trPr>
        <w:tc>
          <w:tcPr>
            <w:tcW w:w="7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Mortgage Loan Activity</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right"/>
              <w:ind w:right="45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c>
          <w:tcPr>
            <w:tcW w:w="0" w:type="dxa"/>
            <w:vAlign w:val="bottom"/>
          </w:tcPr>
          <w:p>
            <w:pPr>
              <w:spacing w:after="0"/>
              <w:rPr>
                <w:sz w:val="1"/>
                <w:szCs w:val="1"/>
                <w:color w:val="auto"/>
              </w:rPr>
            </w:pPr>
          </w:p>
        </w:tc>
      </w:tr>
      <w:tr>
        <w:trPr>
          <w:trHeight w:val="251"/>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originated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130,574</w:t>
            </w:r>
          </w:p>
        </w:tc>
        <w:tc>
          <w:tcPr>
            <w:tcW w:w="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107,779</w:t>
            </w:r>
          </w:p>
        </w:tc>
        <w:tc>
          <w:tcPr>
            <w:tcW w:w="0" w:type="dxa"/>
            <w:vAlign w:val="bottom"/>
          </w:tcPr>
          <w:p>
            <w:pPr>
              <w:spacing w:after="0"/>
              <w:rPr>
                <w:sz w:val="1"/>
                <w:szCs w:val="1"/>
                <w:color w:val="auto"/>
              </w:rPr>
            </w:pPr>
          </w:p>
        </w:tc>
      </w:tr>
      <w:tr>
        <w:trPr>
          <w:trHeight w:val="23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loans sold (1)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84,065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82,618</w:t>
            </w:r>
          </w:p>
        </w:tc>
        <w:tc>
          <w:tcPr>
            <w:tcW w:w="0" w:type="dxa"/>
            <w:vAlign w:val="bottom"/>
          </w:tcPr>
          <w:p>
            <w:pPr>
              <w:spacing w:after="0"/>
              <w:rPr>
                <w:sz w:val="1"/>
                <w:szCs w:val="1"/>
                <w:color w:val="auto"/>
              </w:rPr>
            </w:pPr>
          </w:p>
        </w:tc>
      </w:tr>
      <w:tr>
        <w:trPr>
          <w:trHeight w:val="251"/>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mortgage loans (2)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1,308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2,303</w:t>
            </w:r>
          </w:p>
        </w:tc>
        <w:tc>
          <w:tcPr>
            <w:tcW w:w="0" w:type="dxa"/>
            <w:vAlign w:val="bottom"/>
          </w:tcPr>
          <w:p>
            <w:pPr>
              <w:spacing w:after="0"/>
              <w:rPr>
                <w:sz w:val="1"/>
                <w:szCs w:val="1"/>
                <w:color w:val="auto"/>
              </w:rPr>
            </w:pPr>
          </w:p>
        </w:tc>
      </w:tr>
      <w:tr>
        <w:trPr>
          <w:trHeight w:val="252"/>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gains as a percent of mortgage loans sold ("Loan Sales Margin")</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1.56 %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2.79 %</w:t>
            </w:r>
          </w:p>
        </w:tc>
        <w:tc>
          <w:tcPr>
            <w:tcW w:w="0" w:type="dxa"/>
            <w:vAlign w:val="bottom"/>
          </w:tcPr>
          <w:p>
            <w:pPr>
              <w:spacing w:after="0"/>
              <w:rPr>
                <w:sz w:val="1"/>
                <w:szCs w:val="1"/>
                <w:color w:val="auto"/>
              </w:rPr>
            </w:pPr>
          </w:p>
        </w:tc>
      </w:tr>
      <w:tr>
        <w:trPr>
          <w:trHeight w:val="264"/>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included in the Loan Sales Margin</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0.09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0.88</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20" w:hanging="317"/>
        <w:spacing w:after="0" w:line="289" w:lineRule="auto"/>
        <w:tabs>
          <w:tab w:leader="none" w:pos="22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 loan sales in the first quarters of 2026 and 2025 include $1.4 million and $8.7 million, respectively, of portfolio loan transactions. These transactions were performed for interest rate risk purposes.</w:t>
      </w:r>
    </w:p>
    <w:p>
      <w:pPr>
        <w:spacing w:after="0" w:line="121" w:lineRule="exact"/>
        <w:rPr>
          <w:rFonts w:ascii="Times New Roman" w:cs="Times New Roman" w:eastAsia="Times New Roman" w:hAnsi="Times New Roman"/>
          <w:sz w:val="15"/>
          <w:szCs w:val="15"/>
          <w:color w:val="auto"/>
        </w:rPr>
      </w:pPr>
    </w:p>
    <w:p>
      <w:pPr>
        <w:ind w:left="320" w:hanging="317"/>
        <w:spacing w:after="0" w:line="287" w:lineRule="auto"/>
        <w:tabs>
          <w:tab w:leader="none" w:pos="414"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Net gains on mortgage loans in the first quarters of 2026 and 2025 include net gains of $0.03 million and $0.22 million, respectively, from portfolio loan transactions.</w:t>
      </w:r>
    </w:p>
    <w:p>
      <w:pPr>
        <w:spacing w:after="0" w:line="3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increase in mortgage loans originated during the first three months of 2026 as compared to 2025 was primarily driven by higher refinance activity as mortgage rates declined through early 2026.</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gains on mortgage loans totaled $1.3 million and $2.3 million during the first quarters of 2026 and 2025, respectively. The decrease from the prior year three month period is attributed to a lower Loan Sales Margin.</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1.47% and 1.91% in the first quarters of 2026 and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respectively. The contraction of the Loan Sales Margin during the first quarter of 2026 was primarily due to competitive pressure which had a negative impact on our pricing margins.</w:t>
      </w:r>
    </w:p>
    <w:p>
      <w:pPr>
        <w:spacing w:after="0" w:line="3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a net loss of $0.03 million and $0.33 million on the sale of securities AFS for the first three months of 2026 and 2025, respectively. We recorded no credit related charges in either 2026 or 2025 on securities AFS. See “Securities” below and note #3 to the interim Condensed Consolidated Financial Statements.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Mortgage loan servicing, net, generated income (expense) of $1.6 million and $(0.6) million in the first quarters of 2026 and 2025, respectively. The significant variance in mortgage loan servicing, net is primarily due to changes in the fair value of capitalized mortgage loan servicing rights associated with changes in interest rates and the associated expected future prepayment levels and expected float rates as well as a decline in servicing revenue. The decline in revenue, net in the table below is attributed to the sale of approximately $931 million of mortgage servicing rights on January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 servicing, net activity is summarized in the following table:</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Servicing Revenue</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7"/>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63"/>
        </w:trPr>
        <w:tc>
          <w:tcPr>
            <w:tcW w:w="8180" w:type="dxa"/>
            <w:vAlign w:val="bottom"/>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net</w:t>
            </w:r>
          </w:p>
        </w:tc>
        <w:tc>
          <w:tcPr>
            <w:tcW w:w="980" w:type="dxa"/>
            <w:vAlign w:val="bottom"/>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change due to price</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Fair value change due to pay-downs</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on sale of originated servicing rights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69"/>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top w:val="single" w:sz="8" w:color="auto"/>
              <w:bottom w:val="single" w:sz="8" w:color="auto"/>
            </w:tcBorders>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Activity related to capitalized mortgage loan servicing rights is as follows: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8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Capitalized Mortgage Loan Servicing Rights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7"/>
          </w:tcPr>
          <w:p>
            <w:pPr>
              <w:jc w:val="right"/>
              <w:ind w:right="3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64"/>
        </w:trPr>
        <w:tc>
          <w:tcPr>
            <w:tcW w:w="81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98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31,493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0" w:type="dxa"/>
            <w:vAlign w:val="bottom"/>
          </w:tcPr>
          <w:p>
            <w:pPr>
              <w:spacing w:after="0"/>
              <w:rPr>
                <w:sz w:val="1"/>
                <w:szCs w:val="1"/>
                <w:color w:val="auto"/>
              </w:rPr>
            </w:pPr>
          </w:p>
        </w:tc>
      </w:tr>
      <w:tr>
        <w:trPr>
          <w:trHeight w:val="239"/>
        </w:trPr>
        <w:tc>
          <w:tcPr>
            <w:tcW w:w="8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Originated servicing rights capitalized</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0" w:type="dxa"/>
            <w:vAlign w:val="bottom"/>
          </w:tcPr>
          <w:p>
            <w:pPr>
              <w:spacing w:after="0"/>
              <w:rPr>
                <w:sz w:val="1"/>
                <w:szCs w:val="1"/>
                <w:color w:val="auto"/>
              </w:rPr>
            </w:pPr>
          </w:p>
        </w:tc>
      </w:tr>
      <w:tr>
        <w:trPr>
          <w:trHeight w:val="239"/>
        </w:trPr>
        <w:tc>
          <w:tcPr>
            <w:tcW w:w="8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Sale of originated servicing rights (1)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(12,962)</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on sale of originated servicing rights (1)</w:t>
            </w:r>
          </w:p>
        </w:tc>
        <w:tc>
          <w:tcPr>
            <w:tcW w:w="8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3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980" w:type="dxa"/>
            <w:vAlign w:val="bottom"/>
            <w:gridSpan w:val="2"/>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32,233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32,171</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320" w:hanging="317"/>
        <w:spacing w:after="0" w:line="252" w:lineRule="auto"/>
        <w:tabs>
          <w:tab w:leader="none" w:pos="46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(41.5%) of the total capitalized mortgage loan servicing right asset. While there remains a customary hold back of final settlement funds of approximately $0.1 million relating to this transaction, we are not aware of any issues that will have a material impact on this final payment. We expect to receive this payment in the second quarter, 2026. Transaction expenses relating to this sale were approximately $0.2 million and was expensed during the first quarter of 2025.</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March 31, 2026 we were servicing approximately $2.60 billion in mortgage loans for others on which servicing rights have been capitalized. This servicing portfolio had a weighted average coupon rate of 4.54% and a weighted average service fee of approximately 25.6 basis points. Capitalized mortgage loan servicing rights at March 31, 2026 totaled $32.2 million, representing approximately 124.1 basis points on the related amount of mortgage loans serviced for others.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 the table above decreased by $0.3 million in the first quarter of 2026, as compared to the same prior year period primarily due to lower commercial loan swap fees.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Non-interest expense. </w:t>
      </w:r>
      <w:r>
        <w:rPr>
          <w:rFonts w:ascii="Times New Roman" w:cs="Times New Roman" w:eastAsia="Times New Roman" w:hAnsi="Times New Roman"/>
          <w:sz w:val="17"/>
          <w:szCs w:val="17"/>
          <w:color w:val="auto"/>
        </w:rPr>
        <w:t>Non-interest expense is an important component of our results of operations. We strive to efficiently manage our cost structure.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Non-interest expense increased by $4.0 million to $38.3 million during the three-month period ended March 31, 2026, compared to the same period in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non-interest expense are as follows: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4"/>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8"/>
        </w:trPr>
        <w:tc>
          <w:tcPr>
            <w:tcW w:w="8180" w:type="dxa"/>
            <w:vAlign w:val="bottom"/>
          </w:tcPr>
          <w:p>
            <w:pPr>
              <w:spacing w:after="0"/>
              <w:rPr>
                <w:sz w:val="24"/>
                <w:szCs w:val="24"/>
                <w:color w:val="auto"/>
              </w:rPr>
            </w:pPr>
          </w:p>
        </w:tc>
        <w:tc>
          <w:tcPr>
            <w:tcW w:w="3060" w:type="dxa"/>
            <w:vAlign w:val="bottom"/>
            <w:gridSpan w:val="5"/>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64"/>
        </w:trPr>
        <w:tc>
          <w:tcPr>
            <w:tcW w:w="81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38"/>
        </w:trPr>
        <w:tc>
          <w:tcPr>
            <w:tcW w:w="8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20"/>
                <w:szCs w:val="20"/>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14,123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13,197</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compensation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taxes and employee benefits</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3,745</w:t>
            </w:r>
          </w:p>
        </w:tc>
      </w:tr>
      <w:tr>
        <w:trPr>
          <w:trHeight w:val="23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21,829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20,383</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processing</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Occupancy, net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expense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expense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FDIC deposit insurance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and collection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and professional</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licenses and fees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Merger related expense</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fees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(losses) on other real estate and repossessed assets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Recovery for loss reimbursement on sold loans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w:t>
            </w:r>
          </w:p>
        </w:tc>
      </w:tr>
      <w:tr>
        <w:trPr>
          <w:trHeight w:val="232"/>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38,311</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34,262</w:t>
            </w:r>
          </w:p>
        </w:tc>
      </w:tr>
      <w:tr>
        <w:trPr>
          <w:trHeight w:val="25"/>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and employee benefits expenses, in total, increased $1.4 million on a quarterly comparative basis.</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Compensation expense increased by $0.9 million in the first quarter of 2026 compared to the same period in 2025. The comparative increase in 2026 was primarily due to salary increases that were predominantly effective on January 1, 2026, higher severance costs and additional commercial lending and support staff that were partially offset by a decrease in mortgage lending and other retail personnel.</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Performance-based compensation increased by $0.2 million in the first quarter of 2026 compared to the same period in 2025. The increase is due in part to an increase in long term incentive expense.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Payroll taxes and employee benefits increased by $0.3 million in the first quarter of 2026 compared to the same period in 2025, due primarily to increases in employee medical insurance costs and retirement costs.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Data processing expense increased by $0.2 million in the first quarter of 2026 compared to the same prior year period due in part to core data processor annual asset growth and CPI related cost increases as well as new solutions implemented during this time frame.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Occupancy, net increased by $0.2 million in the first quarter of 2026 compared to the same prior year period due in part to higher snow removal costs, utility costs and higher depreciation expense due to a new location.</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Litigation expense of $1.5 million is attributed to an accrual established for losses we consider probable as a result of all of our outstanding litigation matters in the aggregate (See “Litigation Matters.”).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Advertising increased by $0.3 million in the first quarter of 2026 compared to the same prior year period due in part to retroactive new deposit account opening incentives attributed to accounts opened in a prior period.</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Merger related expenses of $0.3 million in the first quarter of 2026 relate to our recently announced acquisition of HCB Financial Corp. and primarily include legal related expenses.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expense decreased by $0.3 million in the first three months of 2026, due primarily to the prior year period including costs related to the capitalized mortgage loan servicing right sale (see “Non-interest income” above) and the prior year period also including costs related to unfunded lending commitments that were partially offset by a write-down of a small business investment company.</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We recorded an income tax expense of $3.4 million in the first quarter of 2026. This compares to an income tax expense of $3.5 million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first quarter of 2025. The change in expense for the first three months of 2026 compared to the same period in 2025 is primarily due to changes in pretax income that were partially offset by an increase in certain energy tax credits.</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differences in the value of stock awards that vest and stock options that are exercised as compared to the initial fair values that were expensed and certain low income housing, solar and energy tax credits.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2026 and 2025 and at December 31, 2025, that the realization of substantially all of our deferred tax assets continues to be more likely than not.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INANCIAL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ONDITION</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Our total assets increased by $51.8 million during the first three months of 2026. Loans, excluding loans held for sale, were $4.31 billion at March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2026, compared to $4.28 billion at December 31, 2025. Commercial loans increased while mortgage loans and installment loans decreased during the first three months of 2026. (See “Portfolio Loans and asset quality.”) Securities available for sale and securities held to maturity together totaled $783.3 million at March 31, 2026, a decline of $22.1 million since December 31, 2025.</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Deposits totaled $4.88 billion at March 31, 2026, an increase of $119.0 million from December 31, 2025. The increase in deposits from December 31, 2025, is due to increases in savings and interest-bearing checking, reciprocal, and brokered time deposits that were partially offset by decreases in non-interest bearing and time deposits.</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 (See “Asset/liability management.”)</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below under "Liquidity and capital resources"), we believe that we have the ability and intent to hold these securities until they mature, at which time we expect to receive full value for these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Available for Sale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4"/>
          </w:tcPr>
          <w:p>
            <w:pPr>
              <w:jc w:val="center"/>
              <w:ind w:left="74"/>
              <w:spacing w:after="0"/>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32"/>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4"/>
          </w:tcPr>
          <w:p>
            <w:pPr>
              <w:jc w:val="center"/>
              <w:ind w:left="54"/>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Gains</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99"/>
        </w:trPr>
        <w:tc>
          <w:tcPr>
            <w:tcW w:w="2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537,672</w:t>
            </w:r>
          </w:p>
        </w:tc>
        <w:tc>
          <w:tcPr>
            <w:tcW w:w="800" w:type="dxa"/>
            <w:vAlign w:val="bottom"/>
            <w:gridSpan w:val="2"/>
            <w:shd w:val="clear" w:color="auto" w:fill="CCEEFF"/>
          </w:tcPr>
          <w:p>
            <w:pPr>
              <w:jc w:val="center"/>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426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55,803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482,295</w:t>
            </w:r>
          </w:p>
        </w:tc>
        <w:tc>
          <w:tcPr>
            <w:tcW w:w="0" w:type="dxa"/>
            <w:vAlign w:val="bottom"/>
          </w:tcPr>
          <w:p>
            <w:pPr>
              <w:spacing w:after="0"/>
              <w:rPr>
                <w:sz w:val="1"/>
                <w:szCs w:val="1"/>
                <w:color w:val="auto"/>
              </w:rPr>
            </w:pPr>
          </w:p>
        </w:tc>
      </w:tr>
      <w:tr>
        <w:trPr>
          <w:trHeight w:val="223"/>
        </w:trPr>
        <w:tc>
          <w:tcPr>
            <w:tcW w:w="2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546,863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495,909</w:t>
            </w:r>
          </w:p>
        </w:tc>
        <w:tc>
          <w:tcPr>
            <w:tcW w:w="0" w:type="dxa"/>
            <w:vAlign w:val="bottom"/>
          </w:tcPr>
          <w:p>
            <w:pPr>
              <w:spacing w:after="0"/>
              <w:rPr>
                <w:sz w:val="1"/>
                <w:szCs w:val="1"/>
                <w:color w:val="auto"/>
              </w:rPr>
            </w:pPr>
          </w:p>
        </w:tc>
      </w:tr>
      <w:tr>
        <w:trPr>
          <w:trHeight w:val="461"/>
        </w:trPr>
        <w:tc>
          <w:tcPr>
            <w:tcW w:w="2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Held to Maturity</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Transferred</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gridSpan w:val="5"/>
            <w:vMerge w:val="restart"/>
          </w:tcPr>
          <w:p>
            <w:pPr>
              <w:jc w:val="right"/>
              <w:ind w:right="474"/>
              <w:spacing w:after="0"/>
              <w:rPr>
                <w:sz w:val="20"/>
                <w:szCs w:val="20"/>
                <w:color w:val="auto"/>
              </w:rPr>
            </w:pPr>
            <w:r>
              <w:rPr>
                <w:rFonts w:ascii="Times New Roman" w:cs="Times New Roman" w:eastAsia="Times New Roman" w:hAnsi="Times New Roman"/>
                <w:sz w:val="17"/>
                <w:szCs w:val="17"/>
                <w:color w:val="auto"/>
              </w:rPr>
              <w:t>Unrecognized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74"/>
              <w:spacing w:after="0" w:line="177" w:lineRule="exact"/>
              <w:rPr>
                <w:sz w:val="20"/>
                <w:szCs w:val="20"/>
                <w:color w:val="auto"/>
              </w:rPr>
            </w:pPr>
            <w:r>
              <w:rPr>
                <w:rFonts w:ascii="Times New Roman" w:cs="Times New Roman" w:eastAsia="Times New Roman" w:hAnsi="Times New Roman"/>
                <w:sz w:val="17"/>
                <w:szCs w:val="17"/>
                <w:color w:val="auto"/>
              </w:rPr>
              <w:t>Carrying</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7" w:lineRule="exact"/>
              <w:rPr>
                <w:sz w:val="20"/>
                <w:szCs w:val="20"/>
                <w:color w:val="auto"/>
              </w:rPr>
            </w:pPr>
            <w:r>
              <w:rPr>
                <w:rFonts w:ascii="Times New Roman" w:cs="Times New Roman" w:eastAsia="Times New Roman" w:hAnsi="Times New Roman"/>
                <w:sz w:val="17"/>
                <w:szCs w:val="17"/>
                <w:color w:val="auto"/>
                <w:w w:val="99"/>
              </w:rPr>
              <w:t>Unrealized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center"/>
              <w:ind w:right="100"/>
              <w:spacing w:after="0" w:line="177" w:lineRule="exact"/>
              <w:rPr>
                <w:sz w:val="20"/>
                <w:szCs w:val="20"/>
                <w:color w:val="auto"/>
              </w:rPr>
            </w:pPr>
            <w:r>
              <w:rPr>
                <w:rFonts w:ascii="Times New Roman" w:cs="Times New Roman" w:eastAsia="Times New Roman" w:hAnsi="Times New Roman"/>
                <w:sz w:val="17"/>
                <w:szCs w:val="17"/>
                <w:color w:val="auto"/>
              </w:rPr>
              <w:t>Amortized</w:t>
            </w: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Value</w:t>
            </w: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Loss (1)</w:t>
            </w:r>
          </w:p>
        </w:tc>
        <w:tc>
          <w:tcPr>
            <w:tcW w:w="220" w:type="dxa"/>
            <w:vAlign w:val="bottom"/>
          </w:tcPr>
          <w:p>
            <w:pPr>
              <w:spacing w:after="0"/>
              <w:rPr>
                <w:sz w:val="20"/>
                <w:szCs w:val="20"/>
                <w:color w:val="auto"/>
              </w:rPr>
            </w:pPr>
          </w:p>
        </w:tc>
        <w:tc>
          <w:tcPr>
            <w:tcW w:w="94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3"/>
          </w:tcPr>
          <w:p>
            <w:pPr>
              <w:jc w:val="center"/>
              <w:ind w:right="520"/>
              <w:spacing w:after="0"/>
              <w:rPr>
                <w:sz w:val="20"/>
                <w:szCs w:val="20"/>
                <w:color w:val="auto"/>
              </w:rPr>
            </w:pPr>
            <w:r>
              <w:rPr>
                <w:rFonts w:ascii="Times New Roman" w:cs="Times New Roman" w:eastAsia="Times New Roman" w:hAnsi="Times New Roman"/>
                <w:sz w:val="17"/>
                <w:szCs w:val="17"/>
                <w:color w:val="auto"/>
              </w:rPr>
              <w:t>Cost</w:t>
            </w:r>
          </w:p>
        </w:tc>
        <w:tc>
          <w:tcPr>
            <w:tcW w:w="240" w:type="dxa"/>
            <w:vAlign w:val="bottom"/>
          </w:tcPr>
          <w:p>
            <w:pPr>
              <w:spacing w:after="0"/>
              <w:rPr>
                <w:sz w:val="20"/>
                <w:szCs w:val="20"/>
                <w:color w:val="auto"/>
              </w:rPr>
            </w:pPr>
          </w:p>
        </w:tc>
        <w:tc>
          <w:tcPr>
            <w:tcW w:w="108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Gains</w:t>
            </w:r>
          </w:p>
        </w:tc>
        <w:tc>
          <w:tcPr>
            <w:tcW w:w="240" w:type="dxa"/>
            <w:vAlign w:val="bottom"/>
          </w:tcPr>
          <w:p>
            <w:pPr>
              <w:spacing w:after="0"/>
              <w:rPr>
                <w:sz w:val="20"/>
                <w:szCs w:val="20"/>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March 31, 2026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301,007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92</w:t>
            </w:r>
          </w:p>
        </w:tc>
        <w:tc>
          <w:tcPr>
            <w:tcW w:w="600" w:type="dxa"/>
            <w:vAlign w:val="bottom"/>
            <w:gridSpan w:val="3"/>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BFE4FF"/>
          </w:tcPr>
          <w:p>
            <w:pPr>
              <w:jc w:val="right"/>
              <w:ind w:right="80"/>
              <w:spacing w:after="0"/>
              <w:rPr>
                <w:sz w:val="20"/>
                <w:szCs w:val="20"/>
                <w:color w:val="auto"/>
              </w:rPr>
            </w:pPr>
            <w:r>
              <w:rPr>
                <w:rFonts w:ascii="Times New Roman" w:cs="Times New Roman" w:eastAsia="Times New Roman" w:hAnsi="Times New Roman"/>
                <w:sz w:val="17"/>
                <w:szCs w:val="17"/>
                <w:color w:val="auto"/>
              </w:rPr>
              <w:t>41,933</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271,452</w:t>
            </w:r>
          </w:p>
        </w:tc>
        <w:tc>
          <w:tcPr>
            <w:tcW w:w="0" w:type="dxa"/>
            <w:vAlign w:val="bottom"/>
          </w:tcPr>
          <w:p>
            <w:pPr>
              <w:spacing w:after="0"/>
              <w:rPr>
                <w:sz w:val="1"/>
                <w:szCs w:val="1"/>
                <w:color w:val="auto"/>
              </w:rPr>
            </w:pPr>
          </w:p>
        </w:tc>
      </w:tr>
      <w:tr>
        <w:trPr>
          <w:trHeight w:val="223"/>
        </w:trPr>
        <w:tc>
          <w:tcPr>
            <w:tcW w:w="2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tcPr>
          <w:p>
            <w:pPr>
              <w:spacing w:after="0"/>
              <w:rPr>
                <w:sz w:val="19"/>
                <w:szCs w:val="19"/>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309,523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322,597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39,803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282,830</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March 31, 2026 and December 31, 2025. The increase in unrealized losses during the first three months of 2026 is primarily attributed to an increase in interest rates since December 31, 2025 as well as a general widening of credit spreads during the this period. See note #3 to the interim Condensed Consolidated Financial Statements included within this report for further discussion.</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w:t>
      </w:r>
    </w:p>
    <w:p>
      <w:pPr>
        <w:spacing w:after="0" w:line="1" w:lineRule="exact"/>
        <w:rPr>
          <w:sz w:val="20"/>
          <w:szCs w:val="20"/>
          <w:color w:val="auto"/>
        </w:rPr>
      </w:pPr>
    </w:p>
    <w:p>
      <w:pPr>
        <w:jc w:val="both"/>
        <w:ind w:firstLine="3"/>
        <w:spacing w:after="0" w:line="259" w:lineRule="auto"/>
        <w:tabs>
          <w:tab w:leader="none" w:pos="25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historical loss rates for given bond ratings, (3) the financial condition of the issuer, and (4) whether issuers continue to make timely principal and interest payments under the contractual terms of the securities. See note #3 to the interim Condensed Consolidated Financial Statements included within this report for further discussion.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960"/>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of securities available for sale were as follows (See “Non-interest income.”):</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7"/>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Sales of Securities Available for Sale</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980" w:type="dxa"/>
            <w:vAlign w:val="bottom"/>
            <w:gridSpan w:val="5"/>
          </w:tcPr>
          <w:p>
            <w:pPr>
              <w:jc w:val="right"/>
              <w:ind w:right="29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45"/>
        </w:trPr>
        <w:tc>
          <w:tcPr>
            <w:tcW w:w="38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2025</w:t>
            </w:r>
          </w:p>
        </w:tc>
      </w:tr>
      <w:tr>
        <w:trPr>
          <w:trHeight w:val="212"/>
        </w:trPr>
        <w:tc>
          <w:tcPr>
            <w:tcW w:w="38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18"/>
                <w:szCs w:val="18"/>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22,503</w:t>
            </w:r>
          </w:p>
        </w:tc>
      </w:tr>
      <w:tr>
        <w:trPr>
          <w:trHeight w:val="219"/>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Gross gains</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losses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losses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0"/>
        </w:trPr>
        <w:tc>
          <w:tcPr>
            <w:tcW w:w="3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Portfolio Loans and asset quality. </w:t>
      </w:r>
      <w:r>
        <w:rPr>
          <w:rFonts w:ascii="Times New Roman" w:cs="Times New Roman" w:eastAsia="Times New Roman" w:hAnsi="Times New Roman"/>
          <w:sz w:val="17"/>
          <w:szCs w:val="17"/>
          <w:color w:val="auto"/>
        </w:rPr>
        <w:t>In addition to the communities served by our Bank branch and loan production office network, our principal lending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and “Asset/liability management.”).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our Portfolio Loans follows: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16"/>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Real estate(1)</w:t>
            </w:r>
          </w:p>
        </w:tc>
        <w:tc>
          <w:tcPr>
            <w:tcW w:w="260" w:type="dxa"/>
            <w:vAlign w:val="bottom"/>
          </w:tcPr>
          <w:p>
            <w:pPr>
              <w:spacing w:after="0"/>
              <w:rPr>
                <w:sz w:val="18"/>
                <w:szCs w:val="18"/>
                <w:color w:val="auto"/>
              </w:rPr>
            </w:pPr>
          </w:p>
        </w:tc>
        <w:tc>
          <w:tcPr>
            <w:tcW w:w="280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5"/>
        </w:trPr>
        <w:tc>
          <w:tcPr>
            <w:tcW w:w="8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Residential first mortgages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1,291,107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1,285,781</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 farm non residential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1,311,751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1,248,883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and land development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273,582</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Residential home equity and other junior mortgages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211,646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Multifamily residential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123,210</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516,445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533,807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624,362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595,856</w:t>
            </w: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loans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4,308,099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4,276,285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residential and non-residential commercial loans secured by real estate.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60"/>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Non-performing assets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March 31,</w:t>
            </w:r>
          </w:p>
        </w:tc>
        <w:tc>
          <w:tcPr>
            <w:tcW w:w="2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r>
      <w:tr>
        <w:trPr>
          <w:trHeight w:val="217"/>
        </w:trPr>
        <w:tc>
          <w:tcPr>
            <w:tcW w:w="3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Non-accrual loans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37,775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33,074</w:t>
            </w:r>
          </w:p>
        </w:tc>
      </w:tr>
      <w:tr>
        <w:trPr>
          <w:trHeight w:val="21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Loans 90 days or more past due and still accruing interest</w:t>
            </w: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80" w:type="dxa"/>
            <w:vAlign w:val="bottom"/>
            <w:tcBorders>
              <w:top w:val="single" w:sz="8" w:color="CCEEFF"/>
            </w:tcBorders>
            <w:shd w:val="clear" w:color="auto" w:fill="CCEEFF"/>
          </w:tcPr>
          <w:p>
            <w:pPr>
              <w:spacing w:after="0"/>
              <w:rPr>
                <w:sz w:val="18"/>
                <w:szCs w:val="18"/>
                <w:color w:val="auto"/>
              </w:rPr>
            </w:pPr>
          </w:p>
        </w:tc>
        <w:tc>
          <w:tcPr>
            <w:tcW w:w="75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37,775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33,074</w:t>
            </w:r>
          </w:p>
        </w:tc>
      </w:tr>
      <w:tr>
        <w:trPr>
          <w:trHeight w:val="21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Government guaranteed loans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10,202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9,947</w:t>
            </w:r>
          </w:p>
        </w:tc>
      </w:tr>
      <w:tr>
        <w:trPr>
          <w:trHeight w:val="212"/>
        </w:trPr>
        <w:tc>
          <w:tcPr>
            <w:tcW w:w="380" w:type="dxa"/>
            <w:vAlign w:val="bottom"/>
            <w:shd w:val="clear" w:color="auto" w:fill="CCEEFF"/>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loans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27,573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23,127</w:t>
            </w:r>
          </w:p>
        </w:tc>
      </w:tr>
      <w:tr>
        <w:trPr>
          <w:trHeight w:val="219"/>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real estate and repossessed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896</w:t>
            </w:r>
          </w:p>
        </w:tc>
      </w:tr>
      <w:tr>
        <w:trPr>
          <w:trHeight w:val="237"/>
        </w:trPr>
        <w:tc>
          <w:tcPr>
            <w:tcW w:w="380" w:type="dxa"/>
            <w:vAlign w:val="bottom"/>
            <w:tcBorders>
              <w:bottom w:val="single" w:sz="8" w:color="CCEEFF"/>
            </w:tcBorders>
            <w:shd w:val="clear" w:color="auto" w:fill="CCEEFF"/>
          </w:tcPr>
          <w:p>
            <w:pPr>
              <w:spacing w:after="0"/>
              <w:rPr>
                <w:sz w:val="20"/>
                <w:szCs w:val="20"/>
                <w:color w:val="auto"/>
              </w:rPr>
            </w:pPr>
          </w:p>
        </w:tc>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28,340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24,023</w:t>
            </w:r>
          </w:p>
        </w:tc>
      </w:tr>
      <w:tr>
        <w:trPr>
          <w:trHeight w:val="20"/>
        </w:trPr>
        <w:tc>
          <w:tcPr>
            <w:tcW w:w="79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 percent of Portfolio Loans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Non-performing loans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0.54 %</w:t>
            </w:r>
          </w:p>
        </w:tc>
      </w:tr>
      <w:tr>
        <w:trPr>
          <w:trHeight w:val="219"/>
        </w:trPr>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1.48</w:t>
            </w:r>
          </w:p>
        </w:tc>
      </w:tr>
      <w:tr>
        <w:trPr>
          <w:trHeight w:val="21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Non-performing assets to total assets</w:t>
            </w:r>
          </w:p>
        </w:tc>
        <w:tc>
          <w:tcPr>
            <w:tcW w:w="28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0.44</w:t>
            </w:r>
          </w:p>
        </w:tc>
      </w:tr>
      <w:tr>
        <w:trPr>
          <w:trHeight w:val="21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a percent of non-performing loans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274.33 %</w:t>
            </w: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Non-performing loans have increased as a percent of Portfolio Loans since year-end 2025, primarily due to the addition of one commercial real estate loan during the first quarter of 2026. See note #4.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real estate and repossessed assets totaled $0.77 million and $0.90 million at March 31, 2026, and December 31, 2025, respectively.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25" w:lineRule="exact"/>
        <w:rPr>
          <w:sz w:val="20"/>
          <w:szCs w:val="20"/>
          <w:color w:val="auto"/>
        </w:rPr>
      </w:pPr>
    </w:p>
    <w:p>
      <w:pPr>
        <w:ind w:right="440"/>
        <w:spacing w:after="0" w:line="482" w:lineRule="auto"/>
        <w:rPr>
          <w:sz w:val="20"/>
          <w:szCs w:val="20"/>
          <w:color w:val="auto"/>
        </w:rPr>
      </w:pPr>
      <w:r>
        <w:rPr>
          <w:rFonts w:ascii="Times New Roman" w:cs="Times New Roman" w:eastAsia="Times New Roman" w:hAnsi="Times New Roman"/>
          <w:sz w:val="17"/>
          <w:szCs w:val="17"/>
          <w:color w:val="auto"/>
        </w:rPr>
        <w:t xml:space="preserve">The following tables reflect activity in our ACL on loans, securities HTM and unfunded lending commitments as well as the allocation of our ACL on loans. </w:t>
      </w:r>
      <w:r>
        <w:rPr>
          <w:rFonts w:ascii="Times New Roman" w:cs="Times New Roman" w:eastAsia="Times New Roman" w:hAnsi="Times New Roman"/>
          <w:sz w:val="17"/>
          <w:szCs w:val="17"/>
          <w:b w:val="1"/>
          <w:bCs w:val="1"/>
          <w:color w:val="auto"/>
        </w:rPr>
        <w:t>Allowance for credit losses on loans, securities HTM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120" w:type="dxa"/>
            <w:vAlign w:val="bottom"/>
          </w:tcPr>
          <w:p>
            <w:pPr>
              <w:spacing w:after="0"/>
              <w:rPr>
                <w:sz w:val="19"/>
                <w:szCs w:val="19"/>
                <w:color w:val="auto"/>
              </w:rPr>
            </w:pPr>
          </w:p>
        </w:tc>
        <w:tc>
          <w:tcPr>
            <w:tcW w:w="88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70" w:lineRule="exact"/>
              <w:rPr>
                <w:sz w:val="20"/>
                <w:szCs w:val="20"/>
                <w:color w:val="auto"/>
              </w:rPr>
            </w:pPr>
            <w:r>
              <w:rPr>
                <w:rFonts w:ascii="Times New Roman" w:cs="Times New Roman" w:eastAsia="Times New Roman" w:hAnsi="Times New Roman"/>
                <w:sz w:val="17"/>
                <w:szCs w:val="17"/>
                <w:color w:val="auto"/>
              </w:rPr>
              <w:t>Securities</w:t>
            </w:r>
          </w:p>
        </w:tc>
        <w:tc>
          <w:tcPr>
            <w:tcW w:w="120" w:type="dxa"/>
            <w:vAlign w:val="bottom"/>
          </w:tcPr>
          <w:p>
            <w:pPr>
              <w:spacing w:after="0"/>
              <w:rPr>
                <w:sz w:val="14"/>
                <w:szCs w:val="14"/>
                <w:color w:val="auto"/>
              </w:rPr>
            </w:pPr>
          </w:p>
        </w:tc>
        <w:tc>
          <w:tcPr>
            <w:tcW w:w="1280" w:type="dxa"/>
            <w:vAlign w:val="bottom"/>
          </w:tcPr>
          <w:p>
            <w:pPr>
              <w:ind w:left="240"/>
              <w:spacing w:after="0" w:line="170" w:lineRule="exact"/>
              <w:rPr>
                <w:sz w:val="20"/>
                <w:szCs w:val="20"/>
                <w:color w:val="auto"/>
              </w:rPr>
            </w:pPr>
            <w:r>
              <w:rPr>
                <w:rFonts w:ascii="Times New Roman" w:cs="Times New Roman" w:eastAsia="Times New Roman" w:hAnsi="Times New Roman"/>
                <w:sz w:val="17"/>
                <w:szCs w:val="17"/>
                <w:color w:val="auto"/>
              </w:rPr>
              <w:t>Unfunded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70" w:lineRule="exact"/>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4"/>
                <w:szCs w:val="14"/>
                <w:color w:val="auto"/>
              </w:rPr>
            </w:pPr>
          </w:p>
        </w:tc>
        <w:tc>
          <w:tcPr>
            <w:tcW w:w="1240" w:type="dxa"/>
            <w:vAlign w:val="bottom"/>
          </w:tcPr>
          <w:p>
            <w:pPr>
              <w:jc w:val="right"/>
              <w:ind w:right="274"/>
              <w:spacing w:after="0" w:line="170" w:lineRule="exact"/>
              <w:rPr>
                <w:sz w:val="20"/>
                <w:szCs w:val="20"/>
                <w:color w:val="auto"/>
              </w:rPr>
            </w:pPr>
            <w:r>
              <w:rPr>
                <w:rFonts w:ascii="Times New Roman" w:cs="Times New Roman" w:eastAsia="Times New Roman" w:hAnsi="Times New Roman"/>
                <w:sz w:val="17"/>
                <w:szCs w:val="17"/>
                <w:color w:val="auto"/>
              </w:rPr>
              <w:t>Unfunded</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Loans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HTM</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Commitments(1)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HTM</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Commitments</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rPr>
              <w:t>(Dollars 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59,379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(deductions)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Recoveries credited to allowance</w:t>
            </w:r>
          </w:p>
        </w:tc>
        <w:tc>
          <w:tcPr>
            <w:tcW w:w="2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included in non-interest expense</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60,035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Net loans charged against the allowance to</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Portfolio Loans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firstLine="3"/>
        <w:spacing w:after="0" w:line="287" w:lineRule="auto"/>
        <w:tabs>
          <w:tab w:leader="none" w:pos="27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in the fourth quarter of 2025, we began classifying the provision for unfunded lending commitments in the provision for credit losses in the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60"/>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Allocation of the Allowance for Credit Losses on Loans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17"/>
        </w:trPr>
        <w:tc>
          <w:tcPr>
            <w:tcW w:w="3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Specific allocations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6,775</w:t>
            </w:r>
          </w:p>
        </w:tc>
      </w:tr>
      <w:tr>
        <w:trPr>
          <w:trHeight w:val="21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Pooled analysis allocations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45,790</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allocations based on subjective factors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10,880</w:t>
            </w:r>
          </w:p>
        </w:tc>
      </w:t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63,445</w:t>
            </w:r>
          </w:p>
        </w:tc>
      </w:tr>
      <w:tr>
        <w:trPr>
          <w:trHeight w:val="20"/>
        </w:trPr>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interim Condensed Consolidated Financial Statements included within this report for further discussion on the ACL on loans.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ACL increased $0.3 million to $63.7 million at March 31, 2026 from $63.4 million at December 31, 2025, and was equal to 1.48% of total Portfolio Loans at both March 31, 2026 and December 31, 2025.</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Since December 31, 2025, the ACL related to specific loans increased $0.30 million due primarily to one commercial loan relationship. The ACL related to pooled analysis allocations and additional allocations based on subjective factors were both relatively stable, increasing (decreasing) $(0.12) million and $0.10 million, respectively from December 31, 2025.</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Deposits and borrowings. </w:t>
      </w:r>
      <w:r>
        <w:rPr>
          <w:rFonts w:ascii="Times New Roman" w:cs="Times New Roman" w:eastAsia="Times New Roman" w:hAnsi="Times New Roman"/>
          <w:sz w:val="17"/>
          <w:szCs w:val="17"/>
          <w:color w:val="auto"/>
        </w:rPr>
        <w:t>Historically, the loyalty of our customer base has allowed us to price deposits competitively, contributing to a net interest margin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Deposits totaled $4.88 billion and $4.76 billion at March 31, 2026, and December 31, 2025, respectively. The increase in balances during the first three months of 2026 is due to increases in savings and interest-bearing checking, reciprocal, and brokered time deposits that were partially offset by decreases in non-interest bearing and time deposits. Reciprocal deposits totaled $1.029 billion and $974.9 million at March 31, 2026 and December 31, 2025,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be sure that we will be able to maintain our current level of core deposits. In particular, those deposits that are uninsured may be susceptible to outflow.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relating to our deposit portfolios (excluding brokered time) follows: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March 31,</w:t>
            </w:r>
          </w:p>
        </w:tc>
        <w:tc>
          <w:tcPr>
            <w:tcW w:w="320" w:type="dxa"/>
            <w:vAlign w:val="bottom"/>
          </w:tcPr>
          <w:p>
            <w:pPr>
              <w:spacing w:after="0"/>
              <w:rPr>
                <w:sz w:val="17"/>
                <w:szCs w:val="17"/>
                <w:color w:val="auto"/>
              </w:rPr>
            </w:pP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2025</w:t>
            </w:r>
          </w:p>
        </w:tc>
      </w:tr>
      <w:tr>
        <w:trPr>
          <w:trHeight w:val="212"/>
        </w:trPr>
        <w:tc>
          <w:tcPr>
            <w:tcW w:w="7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gridSpan w:val="3"/>
          </w:tcPr>
          <w:p>
            <w:pPr>
              <w:jc w:val="right"/>
              <w:ind w:right="105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Uninsured deposits (1)</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1,153,865</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1,175,893</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Uninsured deposits as a percentage of deposits</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23.9 %</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24.8 %</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Average deposit account size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22.24</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22.51</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Balance of top 100 largest depositors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1,181,841</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1,156,014</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of top 100 depositors as a percentage of deposits, excluding brokered time deposits</w:t>
            </w: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24.4 %</w:t>
            </w:r>
          </w:p>
        </w:tc>
      </w:tr>
    </w:tbl>
    <w:p>
      <w:pPr>
        <w:spacing w:after="0" w:line="241" w:lineRule="exact"/>
        <w:rPr>
          <w:sz w:val="20"/>
          <w:szCs w:val="20"/>
          <w:color w:val="auto"/>
        </w:rPr>
      </w:pPr>
    </w:p>
    <w:p>
      <w:pPr>
        <w:ind w:firstLine="3"/>
        <w:spacing w:after="0" w:line="287" w:lineRule="auto"/>
        <w:tabs>
          <w:tab w:leader="none" w:pos="25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exclude intercompany related deposits of $47.6 million and $47.0 million at March 31, 2026 and December 31, 2025, respectively. Uninsured deposits reported in our Call Report at March 31, 2026 and December 31, 2025 totaled $1.201 billion and $1.223 billion,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borrowings, comprised primarily of FHLB borrowings, totaled $27.0 million and $77.0 million at March 31, 2026, and December 31, 2025, respectively.</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described above, we have utilized wholesale funding, including federal funds purchased, FHLB and FRB borrowings and Brokered CDs to augment our core deposits and fund a portion of our assets. At March 31, 2026, our use of such wholesale funding sources (including reciprocal deposits) amounted to approximately $1.11 billion, or 22.7%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historically employed derivative financial instruments to manage our exposure to changes in interest rates. During the first three months of 2026 and 2025, we entered into $73.5 million and $67.4 million (aggregate notional amounts), respectively, of interest rate swaps with commercial loan customers, which were offset with interest rate swaps that the Bank entered into with a broker-dealer. We recorded $0.53 million and $0.75 million of fee income related to these transactions during the first three months of 2026 and 2025, respectively. See note #6 to the interim Condensed Consolidated Financial Statements included within this report for more information on our derivative financial instruments.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Liquidity and capital resources. </w:t>
      </w:r>
      <w:r>
        <w:rPr>
          <w:rFonts w:ascii="Times New Roman" w:cs="Times New Roman" w:eastAsia="Times New Roman" w:hAnsi="Times New Roman"/>
          <w:sz w:val="17"/>
          <w:szCs w:val="17"/>
          <w:color w:val="auto"/>
        </w:rPr>
        <w:t>Liquidity risk is the risk of being unable to timely meet obligations as they come due at a reasonable funding cost or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incurring unacceptable losses. Our liquidity management involves the measurement and monitoring of a variety of sources and uses of funds. Our interim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sources of funds include our deposit base, secured advances from the FHLB and FRB, federal funds purchased, borrowing facilities with other banks, and access to the capital markets (for Brokered CDs). At March 31, 2026, in addition to liquidity available from our normal operating, funding and investing activities we had unused credit lines with the FHLB and FRB of approximately $785.5 million and $1.357 billion, respectively. We also had approximately $440.7 million in fair value of unpledged securities AFS and HTM at March 31, 2026, which could be pledged for an estimated additional borrowing capacity at the FHLB and FRB of approximately $414.0 million.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March 31, 2026, we had $791.0 million of time deposits that mature in the next 12 months. Historically, a majority of these maturing time deposits are renewed by our customers. Additionally, $4.05 billion of our deposits at March 31, 2026,</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deposits and borrowings, short-term liability dependence and basic surplus (defined as liquid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believe that the available cash on hand at the parent company of approximately $47.2 million as of March 31, 2026, provides sufficient liquidity resources at the parent company to meet operating expenses, to make interest payments on the subordinated debentures and, along with dividends from the Bank, to pay projected cash dividends on our common stock.</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0"/>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8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r>
      <w:tr>
        <w:trPr>
          <w:trHeight w:val="212"/>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Subordinated debentures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39,864</w:t>
            </w:r>
          </w:p>
        </w:tc>
      </w:tr>
      <w:tr>
        <w:trPr>
          <w:trHeight w:val="21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Amount not qualifying as regulatory capital</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Amount qualifying as regulatory capital</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38,657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38,640</w:t>
            </w:r>
          </w:p>
        </w:tc>
      </w:tr>
      <w:tr>
        <w:trPr>
          <w:trHeight w:val="19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307,845</w:t>
            </w: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252,794</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(57,688)</w:t>
            </w:r>
          </w:p>
        </w:tc>
      </w:tr>
      <w:tr>
        <w:trPr>
          <w:trHeight w:val="212"/>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510,553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502,951</w:t>
            </w:r>
          </w:p>
        </w:tc>
      </w:tr>
      <w:tr>
        <w:trPr>
          <w:trHeight w:val="237"/>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capitalization</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549,210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541,591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four special purpose entities with $39.9 million of outstanding cumulative trust preferred securities as of March 31, 2026.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interim Condensed Consolidated Statements of Financial Condition.</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2026, and December 31, 2025.</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Common shareholders’ equity increased to $510.6 million at March 31, 2026, from $503.0 million at December 31, 2025. The increase is primarily due to earnings retention. Our tangible common equity (“TCE”) totaled $481.4 million and $473.7 million, respectively, at those same dates. Our ratio of TCE to tangible assets was 8.71% and 8.65% at March 31, 2026, and December 31, 2025, respectively. TCE and the ratio of TCE to tangible assets are non-GAAP measures. TCE represents total common equity less goodwill and other intangible assets.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2025, our Board of Directors authorized a 2026 share repurchase plan. Under the terms of the 2026 share repurchase plan, we are authorized to buy back up to 1,100,000, or approximately 5% of our outstanding common stock. During the first three months of 2026, we did not repurchase shares of common stock. During the first three months of 2025, we repurchased 1,093 shares of common stock, for an aggregate purchase price of $0.03 million.</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pay a quarterly cash dividend on our common stock. These dividends totaled $0.28 per share and $0.26 per share in the first three months of 2026 and 2025, respectively. We generally favor a dividend payout ratio between 30% and 50% of net income.</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and December 31, 2025, our Bank (and holding company) continued to meet the requirements to be considered “well-capitalized” under federal regulatory standards (also see note #10 to the interim Condensed Consolidated Financial Statements included within this report).</w:t>
      </w:r>
    </w:p>
    <w:p>
      <w:pPr>
        <w:spacing w:after="0" w:line="1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Asset/liability management. </w:t>
      </w:r>
      <w:r>
        <w:rPr>
          <w:rFonts w:ascii="Times New Roman" w:cs="Times New Roman" w:eastAsia="Times New Roman" w:hAnsi="Times New Roman"/>
          <w:sz w:val="17"/>
          <w:szCs w:val="17"/>
          <w:color w:val="auto"/>
        </w:rPr>
        <w:t>Interest-rate risk is created by differences in the cash flow characteristics of our assets and liabilities. Options embedded in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instruments, including caps on adjustable-rate loans as well as borrowers’ rights to prepay fixed-rate loans, also create interest-rate risk.</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We employ simulation analyses to monitor our interest-rate risk profile and evaluate potential changes in our net interest income and economic value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March 31, 2026, our longer term interest rate risk measure based on changes in economic value indicates exposure to rising rates. Interest rate sensitivity under this measure has decreased modestly from December 31, 2025 due to a decline in asset duration and a higher base value. Asset duration declined due to a shift in the asset mix to shorter duration loans (primarily variable rate commercial loans). In addition, at March 31, 2026 our simulation base-rate scenario for economic value increased from December 31, 2025. The increase was due to an increase in the Bank’s tangible equity due to positive earnings; a favorable shift in the asset mix out of investments and retail loans into variable rate commercial loans; and a favorable shift in the funding mix to more low cost / low priced non-maturity deposits and less high cost / high priced wholesale funding. We are carefully monitoring the change in our funding mix as well as the composition of our earning assets and the impact of potential future changes in interest rates on our changes in economic value and changes in net interest income. As a result, we may add some longer-term borrowings, may utilize derivatives (interest rate swaps, interest rate caps and interest rate floors) and may continue to sell some fixed rate jumbo and other portfolio mortgage loans in the future.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5"/>
        </w:trPr>
        <w:tc>
          <w:tcPr>
            <w:tcW w:w="258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32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CHANGES IN ECONOMIC VALUE, NET INTEREST INCOME AND NET INTEREST MARGIN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Net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Economic</w:t>
            </w:r>
          </w:p>
        </w:tc>
        <w:tc>
          <w:tcPr>
            <w:tcW w:w="13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Net Interest</w:t>
            </w: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52"/>
        </w:trPr>
        <w:tc>
          <w:tcPr>
            <w:tcW w:w="2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Interest Rates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Value(1)</w:t>
            </w: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Income(2)</w:t>
            </w: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21"/>
                <w:szCs w:val="21"/>
                <w:color w:val="auto"/>
              </w:rPr>
            </w:pPr>
          </w:p>
        </w:tc>
        <w:tc>
          <w:tcPr>
            <w:tcW w:w="1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Margin(3)</w:t>
            </w: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0"/>
        </w:trPr>
        <w:tc>
          <w:tcPr>
            <w:tcW w:w="2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80" w:type="dxa"/>
            <w:vAlign w:val="bottom"/>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720,100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(4.39)%</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204,800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w w:val="99"/>
              </w:rPr>
              <w:t>3.89 %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2.91 %</w:t>
            </w: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738,800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(1.91)</w:t>
            </w:r>
          </w:p>
        </w:tc>
        <w:tc>
          <w:tcPr>
            <w:tcW w:w="240" w:type="dxa"/>
            <w:vAlign w:val="bottom"/>
          </w:tcPr>
          <w:p>
            <w:pPr>
              <w:spacing w:after="0"/>
              <w:rPr>
                <w:sz w:val="19"/>
                <w:szCs w:val="19"/>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201,900</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753,200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199,400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756,400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0.42</w:t>
            </w:r>
          </w:p>
        </w:tc>
        <w:tc>
          <w:tcPr>
            <w:tcW w:w="240" w:type="dxa"/>
            <w:vAlign w:val="bottom"/>
          </w:tcPr>
          <w:p>
            <w:pPr>
              <w:spacing w:after="0"/>
              <w:rPr>
                <w:sz w:val="19"/>
                <w:szCs w:val="19"/>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197,700</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(0.79)</w:t>
            </w: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742,200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(1.46)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195,400</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58"/>
        </w:trPr>
        <w:tc>
          <w:tcPr>
            <w:tcW w:w="25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693,900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(4.75)%</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202,200</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10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9"/>
              </w:rPr>
              <w:t>3.89 %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3.18 %</w:t>
            </w: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712,800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(2.16)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198,900</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19"/>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728,500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196,300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731,700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0.44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194,100</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23"/>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714,300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Pr>
          <w:p>
            <w:pPr>
              <w:spacing w:after="0"/>
              <w:rPr>
                <w:sz w:val="19"/>
                <w:szCs w:val="19"/>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191,300</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9"/>
                <w:szCs w:val="19"/>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jc w:val="both"/>
        <w:ind w:left="320" w:hanging="317"/>
        <w:spacing w:after="0" w:line="260" w:lineRule="auto"/>
        <w:tabs>
          <w:tab w:leader="none" w:pos="31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jc w:val="both"/>
        <w:ind w:left="320" w:hanging="317"/>
        <w:spacing w:after="0" w:line="253" w:lineRule="auto"/>
        <w:tabs>
          <w:tab w:leader="none" w:pos="31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net interest income under immediate parallel shifts in interest rates over the next twelve months, based upon a static interim Condensed Consolidated Statement of Financial Condition, which includes debt and related financial derivative instruments, and do not consider loan fees or loan origination costs.</w:t>
      </w:r>
    </w:p>
    <w:p>
      <w:pPr>
        <w:jc w:val="both"/>
        <w:ind w:left="320" w:hanging="317"/>
        <w:spacing w:after="0" w:line="259" w:lineRule="auto"/>
        <w:tabs>
          <w:tab w:leader="none" w:pos="31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 upon a static interim Condensed Consolidated Statement of Financial Condition, which includes debt and related financial derivative instruments, and do not consider loan fees or loan origination costs.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which currently include three putative class action complaints brought against the Bank alleging that its practice of charging overdraft and other fees was not consistent with the disclosures the Bank made to consumers. These lawsuits are similar to lawsuits that have recently been filed against other financial institutions pertaining to overdraft fee disclosures. No class has been certified in any of the putative class action complaints brought against the Bank, and we believe we have valid defenses to each of the claims that have been made. Currently, these three actions are being coordinated for pre-trial and other purposes.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quarter, we recorded an accrual for losses we consider probable as a result of all of our outstanding litigation matters in the aggregate amount of $1.5 million, reflected as Litigation Expense in the interim condensed consolidated statement of operations. However, because of the inherent uncertainty of outcomes from any litigation matter, we believe it is reasonably possible we may incur losses in addition to the amounts we have accrued. At this time, we are unable to provide an estimate of the losses that we believe are reasonably possible in addition to the amounts we have accrued, primarily because we are still conducting diligence on certain underlying factual and legal issues and significant matters remain to be resolved, including class certification of the actions described in the preceding paragraph.</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Accounting standards update. </w:t>
      </w:r>
      <w:r>
        <w:rPr>
          <w:rFonts w:ascii="Times New Roman" w:cs="Times New Roman" w:eastAsia="Times New Roman" w:hAnsi="Times New Roman"/>
          <w:sz w:val="17"/>
          <w:szCs w:val="17"/>
          <w:color w:val="auto"/>
        </w:rPr>
        <w:t>See note #2 to the interim Condensed Consolidated Financial Statements included elsewhere in this report for details on recently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accounting pronouncements and their impact on our interim condensed consolidated financial statements.</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Fair valuation of financial instruments. </w:t>
      </w:r>
      <w:r>
        <w:rPr>
          <w:rFonts w:ascii="Times New Roman" w:cs="Times New Roman" w:eastAsia="Times New Roman" w:hAnsi="Times New Roman"/>
          <w:sz w:val="17"/>
          <w:szCs w:val="17"/>
          <w:color w:val="auto"/>
        </w:rPr>
        <w:t>Financial Accounting Standards Board (“FASB”) Accounting Standards Codification (“ASC”) Topic 820 - “Fair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at fair value,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interim Condensed Consolidated Financial Statements included within this report for a complete discussion on our use of fair valuation of financial instruments and the related measurement techniques.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RITICAL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OLICIES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3"/>
          <w:szCs w:val="13"/>
          <w:b w:val="1"/>
          <w:bCs w:val="1"/>
          <w:color w:val="auto"/>
        </w:rPr>
        <w:t>UANTITATIVE AND</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3"/>
          <w:szCs w:val="13"/>
          <w:b w:val="1"/>
          <w:bCs w:val="1"/>
          <w:color w:val="auto"/>
        </w:rPr>
        <w:t>UALITATIVE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ISCLOSURES ABOUT</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ISK</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See applicable disclosures set forth in “Management’s Discussion and Analysis of Financial Condition and Results of Operations” in Item 2 under the caption “Asset/liability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ONTROLS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ROCEDURES</w:t>
      </w:r>
    </w:p>
    <w:p>
      <w:pPr>
        <w:spacing w:after="0" w:line="182" w:lineRule="exact"/>
        <w:rPr>
          <w:sz w:val="20"/>
          <w:szCs w:val="20"/>
          <w:color w:val="auto"/>
        </w:rPr>
      </w:pPr>
    </w:p>
    <w:p>
      <w:pPr>
        <w:ind w:left="300" w:hanging="297"/>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78" w:lineRule="exact"/>
        <w:rPr>
          <w:rFonts w:ascii="Times New Roman" w:cs="Times New Roman" w:eastAsia="Times New Roman" w:hAnsi="Times New Roman"/>
          <w:sz w:val="17"/>
          <w:szCs w:val="17"/>
          <w:color w:val="auto"/>
        </w:rPr>
      </w:pPr>
    </w:p>
    <w:p>
      <w:pPr>
        <w:jc w:val="both"/>
        <w:ind w:lef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2026, have concluded that, as of such date, our disclosure controls and procedures were effective.</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Controls.</w:t>
      </w:r>
    </w:p>
    <w:p>
      <w:pPr>
        <w:spacing w:after="0" w:line="178" w:lineRule="exact"/>
        <w:rPr>
          <w:rFonts w:ascii="Times New Roman" w:cs="Times New Roman" w:eastAsia="Times New Roman" w:hAnsi="Times New Roman"/>
          <w:sz w:val="17"/>
          <w:szCs w:val="17"/>
          <w:color w:val="auto"/>
        </w:rPr>
      </w:pPr>
    </w:p>
    <w:p>
      <w:pPr>
        <w:ind w:left="3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quarter ended March 31, 2026,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Part II</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-113030</wp:posOffset>
            </wp:positionV>
            <wp:extent cx="581025" cy="1225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spacing w:after="0" w:line="133"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7"/>
          <w:szCs w:val="17"/>
          <w:color w:val="auto"/>
        </w:rPr>
        <w:t>When evaluating the risk of an investment in our common stock, potential investors should carefully consider the risk factors appearing in Part I, Item 1A, Risk Factors, of our Annual Report on Form 10-K for the year ended December 31, 2025.</w:t>
      </w:r>
    </w:p>
    <w:p>
      <w:pPr>
        <w:spacing w:after="0" w:line="100" w:lineRule="exact"/>
        <w:rPr>
          <w:sz w:val="20"/>
          <w:szCs w:val="20"/>
          <w:color w:val="auto"/>
        </w:rPr>
      </w:pPr>
    </w:p>
    <w:p>
      <w:pPr>
        <w:jc w:val="both"/>
        <w:ind w:left="20" w:hanging="14"/>
        <w:spacing w:after="0" w:line="246" w:lineRule="auto"/>
        <w:rPr>
          <w:sz w:val="20"/>
          <w:szCs w:val="20"/>
          <w:color w:val="auto"/>
        </w:rPr>
      </w:pPr>
      <w:r>
        <w:rPr>
          <w:rFonts w:ascii="Times New Roman" w:cs="Times New Roman" w:eastAsia="Times New Roman" w:hAnsi="Times New Roman"/>
          <w:sz w:val="17"/>
          <w:szCs w:val="17"/>
          <w:color w:val="auto"/>
        </w:rPr>
        <w:t>On March 18, 2026, we announced that Independent Bank Corporation ("IBCP") had entered into a definitive merger agreement (“Merger Agreement”) with HCB Financial Corp. (“HCB”) pursuant to which IBCP will acquire HCB in a stock and cash transaction (the “Merger”). The following represents material changes in our risk factors from the risk factors set forth in our Annual Report on Form 10-K.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Merger may not be consummated, which could have an adverse impact on our business and on the value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the Merger to close during the third quarter of 2026, but the Merger is subject to a number of closing conditions, many of which are beyond our control.</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If these conditions are not satisfied or waived, the Merger will not be completed. Certain of the conditions that remain to be satisfied include (without limitation):</w:t>
      </w:r>
    </w:p>
    <w:p>
      <w:pPr>
        <w:spacing w:after="0" w:line="135" w:lineRule="exact"/>
        <w:rPr>
          <w:sz w:val="20"/>
          <w:szCs w:val="20"/>
          <w:color w:val="auto"/>
        </w:rPr>
      </w:pPr>
    </w:p>
    <w:p>
      <w:pPr>
        <w:ind w:left="640" w:hanging="307"/>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HCB shareholders of the Merger Agreement and the Merger;</w:t>
      </w:r>
    </w:p>
    <w:p>
      <w:pPr>
        <w:spacing w:after="0" w:line="15" w:lineRule="exact"/>
        <w:rPr>
          <w:rFonts w:ascii="Times New Roman" w:cs="Times New Roman" w:eastAsia="Times New Roman" w:hAnsi="Times New Roman"/>
          <w:sz w:val="17"/>
          <w:szCs w:val="17"/>
          <w:color w:val="auto"/>
        </w:rPr>
      </w:pPr>
    </w:p>
    <w:p>
      <w:pPr>
        <w:ind w:left="640" w:hanging="307"/>
        <w:spacing w:after="0" w:line="237"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required regulatory approvals, including the approval of the Federal Reserve and the Michigan Department of Insurance and Financial Services;</w:t>
      </w:r>
    </w:p>
    <w:p>
      <w:pPr>
        <w:ind w:left="640" w:hanging="307"/>
        <w:spacing w:after="0" w:line="237"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accuracy of the representations and warranties made by the parties in the Merger Agreement;</w:t>
      </w:r>
    </w:p>
    <w:p>
      <w:pPr>
        <w:ind w:left="640" w:hanging="307"/>
        <w:spacing w:after="0" w:line="237"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by each party of its respective obligations under the Merger Agreement;</w:t>
      </w:r>
    </w:p>
    <w:p>
      <w:pPr>
        <w:ind w:left="640" w:hanging="307"/>
        <w:spacing w:after="0" w:line="237"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any injunction, order, or decree restraining, enjoining or otherwise prohibiting the Merger; and</w:t>
      </w:r>
    </w:p>
    <w:p>
      <w:pPr>
        <w:ind w:left="640" w:hanging="307"/>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any material adverse change in the financial condition, business, or results of operations of IBCP and HCB.</w:t>
      </w:r>
    </w:p>
    <w:p>
      <w:pPr>
        <w:spacing w:after="0" w:line="135" w:lineRule="exact"/>
        <w:rPr>
          <w:sz w:val="20"/>
          <w:szCs w:val="20"/>
          <w:color w:val="auto"/>
        </w:rPr>
      </w:pPr>
    </w:p>
    <w:p>
      <w:pPr>
        <w:jc w:val="both"/>
        <w:ind w:left="20" w:hanging="14"/>
        <w:spacing w:after="0" w:line="246" w:lineRule="auto"/>
        <w:rPr>
          <w:sz w:val="20"/>
          <w:szCs w:val="20"/>
          <w:color w:val="auto"/>
        </w:rPr>
      </w:pPr>
      <w:r>
        <w:rPr>
          <w:rFonts w:ascii="Times New Roman" w:cs="Times New Roman" w:eastAsia="Times New Roman" w:hAnsi="Times New Roman"/>
          <w:sz w:val="17"/>
          <w:szCs w:val="17"/>
          <w:color w:val="auto"/>
        </w:rPr>
        <w:t>Additionally, we may become subject to litigation related to the Merger. As a result, the Merger may not close on the timeline we currently expect, or at all. Failure to complete the Merger or any delays in completing the Merger on the terms and timing we currently expect could have an adverse impact on our future business and results of operations due to several factors, including (without limitation):</w:t>
      </w:r>
    </w:p>
    <w:p>
      <w:pPr>
        <w:spacing w:after="0" w:line="121" w:lineRule="exact"/>
        <w:rPr>
          <w:sz w:val="20"/>
          <w:szCs w:val="20"/>
          <w:color w:val="auto"/>
        </w:rPr>
      </w:pPr>
    </w:p>
    <w:p>
      <w:pPr>
        <w:ind w:left="640" w:hanging="307"/>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having to pay significant transaction costs without realizing any of the anticipated benefits of completing the Merger;</w:t>
      </w:r>
    </w:p>
    <w:p>
      <w:pPr>
        <w:spacing w:after="0" w:line="15" w:lineRule="exact"/>
        <w:rPr>
          <w:rFonts w:ascii="Times New Roman" w:cs="Times New Roman" w:eastAsia="Times New Roman" w:hAnsi="Times New Roman"/>
          <w:sz w:val="17"/>
          <w:szCs w:val="17"/>
          <w:color w:val="auto"/>
        </w:rPr>
      </w:pPr>
    </w:p>
    <w:p>
      <w:pPr>
        <w:ind w:left="640" w:hanging="307"/>
        <w:spacing w:after="0" w:line="237" w:lineRule="auto"/>
        <w:tabs>
          <w:tab w:leader="none" w:pos="63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failing to pursue other beneficial opportunities due to the focus of our management on the Merger, without realizing any of the anticipated benefits of completing the Merger; and</w:t>
      </w:r>
    </w:p>
    <w:p>
      <w:pPr>
        <w:ind w:left="640" w:hanging="307"/>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our share price to the extent that the current market prices reflect an assumption by the market that the Merger will be completed</w:t>
      </w:r>
    </w:p>
    <w:p>
      <w:pPr>
        <w:spacing w:after="0" w:line="129" w:lineRule="exact"/>
        <w:rPr>
          <w:sz w:val="20"/>
          <w:szCs w:val="20"/>
          <w:color w:val="auto"/>
        </w:rPr>
      </w:pPr>
    </w:p>
    <w:p>
      <w:pPr>
        <w:jc w:val="both"/>
        <w:ind w:left="20" w:hanging="1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Merger, including the integration of HCB’s operations with our operations, may be more difficult, costly, or time-consuming than expected, and we may fail to realize the anticipated benefits of the Merger.</w:t>
      </w:r>
    </w:p>
    <w:p>
      <w:pPr>
        <w:spacing w:after="0" w:line="95" w:lineRule="exact"/>
        <w:rPr>
          <w:sz w:val="20"/>
          <w:szCs w:val="20"/>
          <w:color w:val="auto"/>
        </w:rPr>
      </w:pPr>
    </w:p>
    <w:p>
      <w:pPr>
        <w:jc w:val="both"/>
        <w:ind w:left="20" w:hanging="14"/>
        <w:spacing w:after="0" w:line="248" w:lineRule="auto"/>
        <w:rPr>
          <w:sz w:val="20"/>
          <w:szCs w:val="20"/>
          <w:color w:val="auto"/>
        </w:rPr>
      </w:pPr>
      <w:r>
        <w:rPr>
          <w:rFonts w:ascii="Times New Roman" w:cs="Times New Roman" w:eastAsia="Times New Roman" w:hAnsi="Times New Roman"/>
          <w:sz w:val="17"/>
          <w:szCs w:val="17"/>
          <w:color w:val="auto"/>
        </w:rPr>
        <w:t>The success of the Merger will depend on, among other things, our ability to integrate HCB and the operations of its subsidiary bank, Highpoint Community Bank, into our business in a manner that achieves the anticipated benefits of the Merger. If we are not able to successfully achieve these objectives, the anticipated benefits of the Merger may not be realized fully or at all or may take longer to realize than expected. In addition, the actual cost savings and anticipated benefits of the Merger could be less than anticipated, and integration may result in additional unforeseen expenses.</w:t>
      </w:r>
    </w:p>
    <w:p>
      <w:pPr>
        <w:spacing w:after="0" w:line="120" w:lineRule="exact"/>
        <w:rPr>
          <w:sz w:val="20"/>
          <w:szCs w:val="20"/>
          <w:color w:val="auto"/>
        </w:rPr>
      </w:pPr>
    </w:p>
    <w:p>
      <w:pPr>
        <w:jc w:val="both"/>
        <w:ind w:left="20" w:hanging="14"/>
        <w:spacing w:after="0" w:line="241" w:lineRule="auto"/>
        <w:rPr>
          <w:sz w:val="20"/>
          <w:szCs w:val="20"/>
          <w:color w:val="auto"/>
        </w:rPr>
      </w:pPr>
      <w:r>
        <w:rPr>
          <w:rFonts w:ascii="Times New Roman" w:cs="Times New Roman" w:eastAsia="Times New Roman" w:hAnsi="Times New Roman"/>
          <w:sz w:val="17"/>
          <w:szCs w:val="17"/>
          <w:color w:val="auto"/>
        </w:rPr>
        <w:t>There is a significant degree of difficulty inherent in the process of integrating an acquisition, including challenges consolidating certain operations and functions; challenges integrating technologies, procedures, and policies; and difficulties in retaining key personnel. The integration may involve delays or additional and unforeseen expenses. The integration process and other disruptions resulting from the Merger may also disrupt our ongoing business. Any failure to successfully or cost-effectively integrate HCB following the closing of the Merger, if it occurs, on a timely basis could have an adverse effect on the revenues, expenses, and operating results of the combined company following the completion of the Merger, which may adversely affect the value of the common stock of the combined company following the completion of the Merger.</w:t>
      </w:r>
    </w:p>
    <w:p>
      <w:pPr>
        <w:spacing w:after="0" w:line="118" w:lineRule="exact"/>
        <w:rPr>
          <w:sz w:val="20"/>
          <w:szCs w:val="20"/>
          <w:color w:val="auto"/>
        </w:rPr>
      </w:pPr>
    </w:p>
    <w:p>
      <w:pPr>
        <w:jc w:val="both"/>
        <w:ind w:left="20" w:hanging="1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IBCP and HCB will be subject to various uncertainties while the Merger is pending that could adversely affect our financial results or the anticipated benefits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20" w:hanging="14"/>
        <w:spacing w:after="0" w:line="248" w:lineRule="auto"/>
        <w:rPr>
          <w:sz w:val="20"/>
          <w:szCs w:val="20"/>
          <w:color w:val="auto"/>
        </w:rPr>
      </w:pPr>
      <w:r>
        <w:rPr>
          <w:rFonts w:ascii="Times New Roman" w:cs="Times New Roman" w:eastAsia="Times New Roman" w:hAnsi="Times New Roman"/>
          <w:sz w:val="17"/>
          <w:szCs w:val="17"/>
          <w:color w:val="auto"/>
        </w:rPr>
        <w:t>Uncertainty about the effect of the Merger on counterparties to contracts, employees, customers, and other parties may have an adverse effect on us or the anticipated benefits of the Merger. These uncertainties could cause contract counterparties, customers, and others who deal with us or HCB to seek to change existing business relationships and may impact our and HCB’s ability to attract, retain, and motivate key personnel until the Merger is completed and for a period of time thereafter.</w:t>
      </w:r>
    </w:p>
    <w:p>
      <w:pPr>
        <w:spacing w:after="0" w:line="120" w:lineRule="exact"/>
        <w:rPr>
          <w:sz w:val="20"/>
          <w:szCs w:val="20"/>
          <w:color w:val="auto"/>
        </w:rPr>
      </w:pPr>
    </w:p>
    <w:p>
      <w:pPr>
        <w:jc w:val="both"/>
        <w:ind w:left="20" w:hanging="14"/>
        <w:spacing w:after="0" w:line="254" w:lineRule="auto"/>
        <w:rPr>
          <w:sz w:val="20"/>
          <w:szCs w:val="20"/>
          <w:color w:val="auto"/>
        </w:rPr>
      </w:pPr>
      <w:r>
        <w:rPr>
          <w:rFonts w:ascii="Times New Roman" w:cs="Times New Roman" w:eastAsia="Times New Roman" w:hAnsi="Times New Roman"/>
          <w:sz w:val="17"/>
          <w:szCs w:val="17"/>
          <w:color w:val="auto"/>
        </w:rPr>
        <w:t>The pursuit of the Merger and the preparation for the integration of the two companies may place a significant burden on our management and internal resources. This could affect our financial results prior to and/or following the completion of the Merger and could limit us from making other changes to our business prior to completion of the Merger or termination of the Merger Agreement.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expect to incur substantial transaction costs in connection with the Merger.</w:t>
      </w:r>
    </w:p>
    <w:p>
      <w:pPr>
        <w:spacing w:after="0" w:line="159" w:lineRule="exact"/>
        <w:rPr>
          <w:sz w:val="20"/>
          <w:szCs w:val="20"/>
          <w:color w:val="auto"/>
        </w:rPr>
      </w:pPr>
    </w:p>
    <w:p>
      <w:pPr>
        <w:jc w:val="both"/>
        <w:ind w:left="20" w:hanging="14"/>
        <w:spacing w:after="0" w:line="248" w:lineRule="auto"/>
        <w:rPr>
          <w:sz w:val="20"/>
          <w:szCs w:val="20"/>
          <w:color w:val="auto"/>
        </w:rPr>
      </w:pPr>
      <w:r>
        <w:rPr>
          <w:rFonts w:ascii="Times New Roman" w:cs="Times New Roman" w:eastAsia="Times New Roman" w:hAnsi="Times New Roman"/>
          <w:sz w:val="17"/>
          <w:szCs w:val="17"/>
          <w:color w:val="auto"/>
        </w:rPr>
        <w:t>We expect to incur a significant amount of non-recurring expenses in connection with the Merger, including investment banking, legal, accounting, consulting, and other expenses. In general, these expenses are payable by us whether or not the Merger is completed. Additional unanticipated costs may be incurred following consummation of the Merger in the course of integrating HCB’s businesses into our business. We cannot be certain the elimination of duplicative costs or the realization of other efficiencies related to the integration of the two businesses will offset the transaction and integration costs in the near term, or at all.</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91"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2026, the Company issued 331 shares of common stock to non-employee directors on a current basis and 1,349 shares of common stock to the trust for distribution to directors on a deferred basis. These shares were issued on January 1, 2026 representing aggregate fees of $0.05 million. The shares on a current basis were issued at a price of $32.53 per share and the shares on a deferred basis were issued at a price of $29.28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following table shows certain information relating to repurchases of common stock for the three-months ended March 31, 2026:</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Average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Purchase</w:t>
            </w:r>
          </w:p>
        </w:tc>
      </w:tr>
      <w:tr>
        <w:trPr>
          <w:trHeight w:val="248"/>
        </w:trPr>
        <w:tc>
          <w:tcPr>
            <w:tcW w:w="514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Paid Per 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Under the Plan</w:t>
            </w:r>
          </w:p>
        </w:tc>
      </w:tr>
      <w:tr>
        <w:trPr>
          <w:trHeight w:val="212"/>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2026</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80" w:type="dxa"/>
            <w:vAlign w:val="bottom"/>
          </w:tcPr>
          <w:p>
            <w:pPr>
              <w:spacing w:after="0"/>
              <w:rPr>
                <w:sz w:val="19"/>
                <w:szCs w:val="19"/>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2026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2"/>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36.39</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40" w:hanging="317"/>
        <w:spacing w:after="0" w:line="248" w:lineRule="auto"/>
        <w:tabs>
          <w:tab w:leader="none" w:pos="27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February and March include 21,364 shares, and 3,361 shares, respectively, withheld from the shares that would otherwise have been issued to certain officers in order to satisfy the tax withholding obligations resulting from the vesting of restricted stock as well as satisfy the tax withholding obligations and stock option exercise price resulting from the exercise of stock options. February also includes 30,928 shares of our common stock purchased in the open market by the Independent Bank Corporation Employee Stock Ownership Trust as part of our employee stock ownership plan.</w:t>
      </w:r>
    </w:p>
    <w:p>
      <w:pPr>
        <w:spacing w:after="0" w:line="198" w:lineRule="exact"/>
        <w:rPr>
          <w:sz w:val="20"/>
          <w:szCs w:val="20"/>
          <w:color w:val="auto"/>
        </w:rPr>
      </w:pPr>
    </w:p>
    <w:p>
      <w:pPr>
        <w:ind w:left="20" w:right="320"/>
        <w:spacing w:after="0" w:line="271" w:lineRule="auto"/>
        <w:rPr>
          <w:sz w:val="20"/>
          <w:szCs w:val="20"/>
          <w:color w:val="auto"/>
        </w:rPr>
      </w:pPr>
      <w:r>
        <w:rPr>
          <w:rFonts w:ascii="Times New Roman" w:cs="Times New Roman" w:eastAsia="Times New Roman" w:hAnsi="Times New Roman"/>
          <w:sz w:val="17"/>
          <w:szCs w:val="17"/>
          <w:color w:val="auto"/>
        </w:rPr>
        <w:t>As announced on December 16, 2025, the Board of Directors of the Company authorized the 2026 share repurchase plan. This plan authorizes the Company to purchase up to 1,100,000 shares through December 31, 2026.</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78"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Trading Arrangement," as each term is defined in Item 408(a) of Regulation S-K.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17" w:lineRule="exact"/>
        <w:rPr>
          <w:sz w:val="20"/>
          <w:szCs w:val="20"/>
          <w:color w:val="auto"/>
        </w:rPr>
      </w:pPr>
    </w:p>
    <w:p>
      <w:pPr>
        <w:ind w:left="920" w:hanging="561"/>
        <w:spacing w:after="0"/>
        <w:tabs>
          <w:tab w:leader="none" w:pos="9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7"/>
          <w:szCs w:val="17"/>
          <w:color w:val="auto"/>
        </w:rPr>
      </w:pPr>
    </w:p>
    <w:p>
      <w:pPr>
        <w:ind w:left="1600" w:right="20" w:hanging="683"/>
        <w:spacing w:after="0" w:line="237" w:lineRule="auto"/>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u w:val="single" w:color="auto"/>
            <w:color w:val="0000FF"/>
          </w:rPr>
          <w:t>2.1</w:t>
        </w:r>
      </w:hyperlink>
      <w:r>
        <w:rPr>
          <w:rFonts w:ascii="Times New Roman" w:cs="Times New Roman" w:eastAsia="Times New Roman" w:hAnsi="Times New Roman"/>
          <w:sz w:val="17"/>
          <w:szCs w:val="17"/>
          <w:color w:val="auto"/>
        </w:rPr>
        <w:t>Agreement and Plan of Merger between Independent Bank Corporation and HCB Financial Corp. dated March 18, 2026 (incorporated by reference to Exhibit 2.1 to the Form 8-K filed March 18, 2026).</w:t>
      </w:r>
    </w:p>
    <w:p>
      <w:pPr>
        <w:spacing w:after="0" w:line="241" w:lineRule="exact"/>
        <w:rPr>
          <w:rFonts w:ascii="Times New Roman" w:cs="Times New Roman" w:eastAsia="Times New Roman" w:hAnsi="Times New Roman"/>
          <w:sz w:val="17"/>
          <w:szCs w:val="17"/>
          <w:color w:val="0000FF"/>
        </w:rPr>
      </w:pPr>
    </w:p>
    <w:p>
      <w:pPr>
        <w:ind w:left="1600" w:right="20" w:hanging="683"/>
        <w:spacing w:after="0" w:line="239" w:lineRule="auto"/>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u w:val="single" w:color="auto"/>
            <w:color w:val="0000FF"/>
          </w:rPr>
          <w:t>10.1</w:t>
        </w:r>
      </w:hyperlink>
      <w:r>
        <w:rPr>
          <w:rFonts w:ascii="Times New Roman" w:cs="Times New Roman" w:eastAsia="Times New Roman" w:hAnsi="Times New Roman"/>
          <w:sz w:val="17"/>
          <w:szCs w:val="17"/>
          <w:color w:val="auto"/>
        </w:rPr>
        <w:t>Form of Voting Agreement entered into between Independent Bank Corporation and each director of HCB Financial Corp. dated March 18, 2026 (incorporated by reference to Exhibit 10.1 to the Form 8-K filed March 18, 2026).</w:t>
      </w:r>
    </w:p>
    <w:p>
      <w:pPr>
        <w:spacing w:after="0" w:line="10" w:lineRule="exact"/>
        <w:rPr>
          <w:rFonts w:ascii="Times New Roman" w:cs="Times New Roman" w:eastAsia="Times New Roman" w:hAnsi="Times New Roman"/>
          <w:sz w:val="17"/>
          <w:szCs w:val="17"/>
          <w:color w:val="0000FF"/>
        </w:rPr>
      </w:pPr>
    </w:p>
    <w:p>
      <w:pPr>
        <w:ind w:left="1600" w:right="20" w:hanging="683"/>
        <w:spacing w:after="0" w:line="239"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 (18 U.S.C. 1350).</w:t>
      </w:r>
    </w:p>
    <w:p>
      <w:pPr>
        <w:spacing w:after="0" w:line="10" w:lineRule="exact"/>
        <w:rPr>
          <w:rFonts w:ascii="Times New Roman" w:cs="Times New Roman" w:eastAsia="Times New Roman" w:hAnsi="Times New Roman"/>
          <w:sz w:val="17"/>
          <w:szCs w:val="17"/>
          <w:color w:val="0000FF"/>
        </w:rPr>
      </w:pPr>
    </w:p>
    <w:p>
      <w:pPr>
        <w:ind w:left="1600" w:right="20" w:hanging="683"/>
        <w:spacing w:after="0" w:line="239"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 (18 U.S.C. 1350).</w:t>
      </w:r>
    </w:p>
    <w:p>
      <w:pPr>
        <w:spacing w:after="0" w:line="10" w:lineRule="exact"/>
        <w:rPr>
          <w:rFonts w:ascii="Times New Roman" w:cs="Times New Roman" w:eastAsia="Times New Roman" w:hAnsi="Times New Roman"/>
          <w:sz w:val="17"/>
          <w:szCs w:val="17"/>
          <w:color w:val="0000FF"/>
        </w:rPr>
      </w:pPr>
    </w:p>
    <w:p>
      <w:pPr>
        <w:ind w:left="1600" w:right="20" w:hanging="683"/>
        <w:spacing w:after="0" w:line="239"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 (18 U.S.C. 1350).</w:t>
      </w:r>
    </w:p>
    <w:p>
      <w:pPr>
        <w:spacing w:after="0" w:line="10" w:lineRule="exact"/>
        <w:rPr>
          <w:rFonts w:ascii="Times New Roman" w:cs="Times New Roman" w:eastAsia="Times New Roman" w:hAnsi="Times New Roman"/>
          <w:sz w:val="17"/>
          <w:szCs w:val="17"/>
          <w:color w:val="0000FF"/>
        </w:rPr>
      </w:pPr>
    </w:p>
    <w:p>
      <w:pPr>
        <w:ind w:left="1600" w:right="20" w:hanging="683"/>
        <w:spacing w:after="0" w:line="239"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 (18 U.S.C. 1350).</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1905</wp:posOffset>
            </wp:positionH>
            <wp:positionV relativeFrom="paragraph">
              <wp:posOffset>-1660525</wp:posOffset>
            </wp:positionV>
            <wp:extent cx="7138670" cy="401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38670" cy="401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-1005840</wp:posOffset>
            </wp:positionV>
            <wp:extent cx="7138670" cy="2540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2540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right="20" w:hanging="677"/>
        <w:spacing w:after="0" w:line="239" w:lineRule="auto"/>
        <w:tabs>
          <w:tab w:leader="none" w:pos="1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Inline XBRL Instance Document (the instance document does not appear in the Interactive Data File because its XBRL tags are embedded within the Inline XBRL document)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tabs>
          <w:tab w:leader="none" w:pos="1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Inline XBRL Taxonomy Extension Schema Document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rFonts w:ascii="Times New Roman" w:cs="Times New Roman" w:eastAsia="Times New Roman" w:hAnsi="Times New Roman"/>
          <w:sz w:val="17"/>
          <w:szCs w:val="17"/>
          <w:color w:val="auto"/>
        </w:rPr>
      </w:pPr>
    </w:p>
    <w:p>
      <w:pPr>
        <w:ind w:left="1600" w:hanging="677"/>
        <w:spacing w:after="0"/>
        <w:tabs>
          <w:tab w:leader="none" w:pos="16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Inline XBRL Taxonomy Extension Calculation Linkbase Document</w:t>
      </w:r>
    </w:p>
    <w:p>
      <w:pPr>
        <w:spacing w:after="0" w:line="24" w:lineRule="exact"/>
        <w:rPr>
          <w:rFonts w:ascii="Times New Roman" w:cs="Times New Roman" w:eastAsia="Times New Roman" w:hAnsi="Times New Roman"/>
          <w:sz w:val="17"/>
          <w:szCs w:val="17"/>
          <w:color w:val="auto"/>
        </w:rPr>
      </w:pPr>
    </w:p>
    <w:p>
      <w:pPr>
        <w:ind w:left="1600" w:hanging="677"/>
        <w:spacing w:after="0"/>
        <w:tabs>
          <w:tab w:leader="none" w:pos="1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Inline XBRL Taxonomy Extension Definition Linkbase Document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rFonts w:ascii="Times New Roman" w:cs="Times New Roman" w:eastAsia="Times New Roman" w:hAnsi="Times New Roman"/>
          <w:sz w:val="17"/>
          <w:szCs w:val="17"/>
          <w:color w:val="auto"/>
        </w:rPr>
      </w:pPr>
    </w:p>
    <w:p>
      <w:pPr>
        <w:ind w:left="1600" w:hanging="677"/>
        <w:spacing w:after="0"/>
        <w:tabs>
          <w:tab w:leader="none" w:pos="1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Inline XBRL Taxonomy Extension Label Linkbase Document</w:t>
      </w:r>
    </w:p>
    <w:p>
      <w:pPr>
        <w:spacing w:after="0" w:line="24" w:lineRule="exact"/>
        <w:rPr>
          <w:rFonts w:ascii="Times New Roman" w:cs="Times New Roman" w:eastAsia="Times New Roman" w:hAnsi="Times New Roman"/>
          <w:sz w:val="17"/>
          <w:szCs w:val="17"/>
          <w:color w:val="auto"/>
        </w:rPr>
      </w:pPr>
    </w:p>
    <w:p>
      <w:pPr>
        <w:ind w:left="1600" w:hanging="677"/>
        <w:spacing w:after="0"/>
        <w:tabs>
          <w:tab w:leader="none" w:pos="16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Inline XBRL Taxonomy Extension Presentation Linkbase Document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rFonts w:ascii="Times New Roman" w:cs="Times New Roman" w:eastAsia="Times New Roman" w:hAnsi="Times New Roman"/>
          <w:sz w:val="17"/>
          <w:szCs w:val="17"/>
          <w:color w:val="auto"/>
        </w:rPr>
      </w:pPr>
    </w:p>
    <w:p>
      <w:pPr>
        <w:ind w:left="1600" w:hanging="677"/>
        <w:spacing w:after="0"/>
        <w:tabs>
          <w:tab w:leader="none" w:pos="1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20"/>
        <w:spacing w:after="0"/>
        <w:tabs>
          <w:tab w:leader="none" w:pos="2480" w:val="left"/>
          <w:tab w:leader="none" w:pos="6000" w:val="left"/>
          <w:tab w:leader="none" w:pos="82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6,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color w:val="auto"/>
        </w:rPr>
        <w:t>Gavin A. Mohr, Principal Financial Officer</w:t>
      </w:r>
    </w:p>
    <w:p>
      <w:pPr>
        <w:spacing w:after="0" w:line="282" w:lineRule="exact"/>
        <w:rPr>
          <w:sz w:val="20"/>
          <w:szCs w:val="20"/>
          <w:color w:val="auto"/>
        </w:rPr>
      </w:pPr>
    </w:p>
    <w:p>
      <w:pPr>
        <w:ind w:left="20"/>
        <w:spacing w:after="0"/>
        <w:tabs>
          <w:tab w:leader="none" w:pos="2480" w:val="left"/>
          <w:tab w:leader="none" w:pos="6000" w:val="left"/>
          <w:tab w:leader="none" w:pos="7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6,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240"/>
          </w:cols>
          <w:pgMar w:left="320" w:top="11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200" w:val="left"/>
        </w:tabs>
        <w:rPr>
          <w:sz w:val="20"/>
          <w:szCs w:val="20"/>
          <w:color w:val="auto"/>
        </w:rPr>
      </w:pPr>
      <w:r>
        <w:rPr>
          <w:rFonts w:ascii="Times New Roman" w:cs="Times New Roman" w:eastAsia="Times New Roman" w:hAnsi="Times New Roman"/>
          <w:sz w:val="17"/>
          <w:szCs w:val="17"/>
          <w:color w:val="auto"/>
        </w:rPr>
        <w:t>Date: May 6, 2026</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33655</wp:posOffset>
            </wp:positionV>
            <wp:extent cx="32251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May 6, 2026</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106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William B. Kessel, President and Chief Executive Officer of Independent Bank Corporation, certify, to the best of my knowledge and belief,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(18 U.S.C. 1350) that:</w:t>
      </w:r>
    </w:p>
    <w:p>
      <w:pPr>
        <w:spacing w:after="0" w:line="174" w:lineRule="exact"/>
        <w:rPr>
          <w:sz w:val="20"/>
          <w:szCs w:val="20"/>
          <w:color w:val="auto"/>
        </w:rPr>
      </w:pPr>
    </w:p>
    <w:p>
      <w:pPr>
        <w:ind w:left="1240" w:hanging="618"/>
        <w:spacing w:after="0" w:line="287" w:lineRule="auto"/>
        <w:tabs>
          <w:tab w:leader="none" w:pos="123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March 31, 2026,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March 31, 2026,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Date: May 6, 2026</w:t>
            </w:r>
          </w:p>
        </w:tc>
        <w:tc>
          <w:tcPr>
            <w:tcW w:w="5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William B. Kessel</w:t>
            </w:r>
          </w:p>
        </w:tc>
      </w:tr>
      <w:tr>
        <w:trPr>
          <w:trHeight w:val="209"/>
        </w:trPr>
        <w:tc>
          <w:tcPr>
            <w:tcW w:w="618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William B. Kessel</w:t>
            </w:r>
          </w:p>
        </w:tc>
      </w:tr>
      <w:tr>
        <w:trPr>
          <w:trHeight w:val="223"/>
        </w:trPr>
        <w:tc>
          <w:tcPr>
            <w:tcW w:w="618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 Gavin A. Mohr, Chief Financial Officer of Independent Bank Corporation, certify, to the best of my knowledge and belief, pursuant to Section 906 of the Sarbanes-Oxley Act of 2002 (18 U.S.C. 1350) that:</w:t>
      </w:r>
    </w:p>
    <w:p>
      <w:pPr>
        <w:spacing w:after="0" w:line="125" w:lineRule="exact"/>
        <w:rPr>
          <w:sz w:val="20"/>
          <w:szCs w:val="20"/>
          <w:color w:val="auto"/>
        </w:rPr>
      </w:pPr>
    </w:p>
    <w:p>
      <w:pPr>
        <w:ind w:left="1240" w:hanging="618"/>
        <w:spacing w:after="0" w:line="287" w:lineRule="auto"/>
        <w:tabs>
          <w:tab w:leader="none" w:pos="123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March 31, 2026,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March 31, 2026,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May 6, 2026</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1."/>
      <w:numFmt w:val="decimal"/>
      <w:start w:val="2"/>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4"/>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5"/>
    </w:lvl>
  </w:abstractNum>
  <w:abstractNum w:abstractNumId="8">
    <w:nsid w:val="5072367"/>
    <w:multiLevelType w:val="hybridMultilevel"/>
    <w:lvl w:ilvl="0">
      <w:lvlJc w:val="left"/>
      <w:lvlText w:val="%1."/>
      <w:numFmt w:val="decimal"/>
      <w:start w:val="6"/>
    </w:lvl>
  </w:abstractNum>
  <w:abstractNum w:abstractNumId="9">
    <w:nsid w:val="3804823E"/>
    <w:multiLevelType w:val="hybridMultilevel"/>
    <w:lvl w:ilvl="0">
      <w:lvlJc w:val="left"/>
      <w:lvlText w:val="\endash "/>
      <w:numFmt w:val="bullet"/>
      <w:start w:val="1"/>
    </w:lvl>
  </w:abstractNum>
  <w:abstractNum w:abstractNumId="10">
    <w:nsid w:val="77465F01"/>
    <w:multiLevelType w:val="hybridMultilevel"/>
    <w:lvl w:ilvl="0">
      <w:lvlJc w:val="left"/>
      <w:lvlText w:val="%1."/>
      <w:numFmt w:val="decimal"/>
      <w:start w:val="8"/>
    </w:lvl>
  </w:abstractNum>
  <w:abstractNum w:abstractNumId="11">
    <w:nsid w:val="7724C67E"/>
    <w:multiLevelType w:val="hybridMultilevel"/>
    <w:lvl w:ilvl="0">
      <w:lvlJc w:val="left"/>
      <w:lvlText w:val="%1."/>
      <w:numFmt w:val="decimal"/>
      <w:start w:val="9"/>
    </w:lvl>
  </w:abstractNum>
  <w:abstractNum w:abstractNumId="12">
    <w:nsid w:val="5C482A97"/>
    <w:multiLevelType w:val="hybridMultilevel"/>
    <w:lvl w:ilvl="0">
      <w:lvlJc w:val="left"/>
      <w:lvlText w:val="%1."/>
      <w:numFmt w:val="decimal"/>
      <w:start w:val="10"/>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2"/>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3"/>
    </w:lvl>
  </w:abstractNum>
  <w:abstractNum w:abstractNumId="23">
    <w:nsid w:val="1D4ED43B"/>
    <w:multiLevelType w:val="hybridMultilevel"/>
    <w:lvl w:ilvl="0">
      <w:lvlJc w:val="left"/>
      <w:lvlText w:val="%1."/>
      <w:numFmt w:val="decimal"/>
      <w:start w:val="14"/>
    </w:lvl>
  </w:abstractNum>
  <w:abstractNum w:abstractNumId="24">
    <w:nsid w:val="725A06FB"/>
    <w:multiLevelType w:val="hybridMultilevel"/>
    <w:lvl w:ilvl="0">
      <w:lvlJc w:val="left"/>
      <w:lvlText w:val="$"/>
      <w:numFmt w:val="bullet"/>
      <w:start w:val="1"/>
    </w:lvl>
    <w:lvl w:ilvl="1">
      <w:lvlJc w:val="left"/>
      <w:lvlText w:val="(%2)"/>
      <w:numFmt w:val="decimal"/>
      <w:start w:val="5"/>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lvl w:ilvl="1">
      <w:lvlJc w:val="left"/>
      <w:lvlText w:val="(%2)"/>
      <w:numFmt w:val="decimal"/>
      <w:start w:val="69"/>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5"/>
    </w:lvl>
  </w:abstractNum>
  <w:abstractNum w:abstractNumId="33">
    <w:nsid w:val="32FFF902"/>
    <w:multiLevelType w:val="hybridMultilevel"/>
    <w:lvl w:ilvl="0">
      <w:lvlJc w:val="left"/>
      <w:lvlText w:val="%1."/>
      <w:numFmt w:val="decimal"/>
      <w:start w:val="16"/>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7"/>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8"/>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2"/>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decimal"/>
      <w:start w:val="101"/>
    </w:lvl>
  </w:abstractNum>
  <w:abstractNum w:abstractNumId="53">
    <w:nsid w:val="47398C89"/>
    <w:multiLevelType w:val="hybridMultilevel"/>
    <w:lvl w:ilvl="0">
      <w:lvlJc w:val="left"/>
      <w:lvlText w:val="%1."/>
      <w:numFmt w:val="decimal"/>
      <w:start w:val="101"/>
    </w:lvl>
  </w:abstractNum>
  <w:abstractNum w:abstractNumId="54">
    <w:nsid w:val="354FE9F9"/>
    <w:multiLevelType w:val="hybridMultilevel"/>
    <w:lvl w:ilvl="0">
      <w:lvlJc w:val="left"/>
      <w:lvlText w:val="%1."/>
      <w:numFmt w:val="decimal"/>
      <w:start w:val="101"/>
    </w:lvl>
  </w:abstractNum>
  <w:abstractNum w:abstractNumId="55">
    <w:nsid w:val="15B5AF5C"/>
    <w:multiLevelType w:val="hybridMultilevel"/>
    <w:lvl w:ilvl="0">
      <w:lvlJc w:val="left"/>
      <w:lvlText w:val="%1."/>
      <w:numFmt w:val="decimal"/>
      <w:start w:val="101"/>
    </w:lvl>
  </w:abstractNum>
  <w:abstractNum w:abstractNumId="56">
    <w:nsid w:val="741226BB"/>
    <w:multiLevelType w:val="hybridMultilevel"/>
    <w:lvl w:ilvl="0">
      <w:lvlJc w:val="left"/>
      <w:lvlText w:val="%1."/>
      <w:numFmt w:val="decimal"/>
      <w:start w:val="101"/>
    </w:lvl>
  </w:abstractNum>
  <w:abstractNum w:abstractNumId="57">
    <w:nsid w:val="D34B6A8"/>
    <w:multiLevelType w:val="hybridMultilevel"/>
    <w:lvl w:ilvl="0">
      <w:lvlJc w:val="left"/>
      <w:lvlText w:val="%1."/>
      <w:numFmt w:val="decimal"/>
      <w:start w:val="101"/>
    </w:lvl>
  </w:abstractNum>
  <w:abstractNum w:abstractNumId="58">
    <w:nsid w:val="10233C99"/>
    <w:multiLevelType w:val="hybridMultilevel"/>
    <w:lvl w:ilvl="0">
      <w:lvlJc w:val="left"/>
      <w:lvlText w:val="%1"/>
      <w:numFmt w:val="decimal"/>
      <w:start w:val="104"/>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198" Type="http://schemas.openxmlformats.org/officeDocument/2006/relationships/hyperlink" Target="https://www.sec.gov/Archives/edgar/data/39311/000003931126000020/ibcp-20260318ex21agreement.htm" TargetMode="External"/><Relationship Id="rId199" Type="http://schemas.openxmlformats.org/officeDocument/2006/relationships/hyperlink" Target="https://www.sec.gov/Archives/edgar/data/39311/000003931126000020/ibcp-20260318ex101voting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2026-05-06T09:59:31Z</dcterms:created>
  <dcterms:modified xsi:type="dcterms:W3CDTF">2026-05-06T09:59:31Z</dcterms:modified>
</cp:coreProperties>
</file>