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-10160</wp:posOffset>
            </wp:positionV>
            <wp:extent cx="40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color w:val="auto"/>
              </w:rPr>
              <w:t>38-2032782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8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which registered</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IBCP</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5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common stock, no par value, 21,055,754 as of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 -</w:t>
            </w:r>
          </w:p>
        </w:tc>
        <w:tc>
          <w:tcPr>
            <w:tcW w:w="9160" w:type="dxa"/>
            <w:vAlign w:val="bottom"/>
            <w:gridSpan w:val="17"/>
            <w:vMerge w:val="restart"/>
          </w:tcPr>
          <w:p>
            <w:pPr>
              <w:spacing w:after="0"/>
              <w:rPr>
                <w:sz w:val="20"/>
                <w:szCs w:val="20"/>
                <w:color w:val="auto"/>
              </w:rPr>
            </w:pPr>
            <w:r>
              <w:rPr>
                <w:rFonts w:ascii="Arial" w:cs="Arial" w:eastAsia="Arial" w:hAnsi="Arial"/>
                <w:sz w:val="18"/>
                <w:szCs w:val="18"/>
                <w:color w:val="auto"/>
              </w:rPr>
              <w:t>Financial Information</w:t>
            </w:r>
          </w:p>
        </w:tc>
        <w:tc>
          <w:tcPr>
            <w:tcW w:w="980" w:type="dxa"/>
            <w:vAlign w:val="bottom"/>
            <w:gridSpan w:val="4"/>
          </w:tcPr>
          <w:p>
            <w:pPr>
              <w:ind w:left="60"/>
              <w:spacing w:after="0"/>
              <w:rPr>
                <w:sz w:val="20"/>
                <w:szCs w:val="20"/>
                <w:color w:val="auto"/>
              </w:rPr>
            </w:pPr>
            <w:r>
              <w:rPr>
                <w:rFonts w:ascii="Arial" w:cs="Arial" w:eastAsia="Arial" w:hAnsi="Arial"/>
                <w:sz w:val="18"/>
                <w:szCs w:val="18"/>
                <w:color w:val="auto"/>
              </w:rPr>
              <w:t>Number(s)</w:t>
            </w: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9160" w:type="dxa"/>
            <w:vAlign w:val="bottom"/>
            <w:gridSpan w:val="17"/>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1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June 30, 2022 and December 31, 2021</w:t>
              </w:r>
            </w:hyperlink>
          </w:p>
        </w:tc>
        <w:tc>
          <w:tcPr>
            <w:tcW w:w="2040" w:type="dxa"/>
            <w:vAlign w:val="bottom"/>
            <w:tcBorders>
              <w:bottom w:val="single" w:sz="8" w:color="CCEEFF"/>
            </w:tcBorders>
            <w:gridSpan w:val="5"/>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916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 and Six-month periods ended June 30, 2022 and 2021</w:t>
              </w:r>
            </w:hyperlink>
          </w:p>
        </w:tc>
        <w:tc>
          <w:tcPr>
            <w:tcW w:w="9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spacing w:after="0"/>
              <w:rPr>
                <w:sz w:val="15"/>
                <w:szCs w:val="15"/>
                <w:color w:val="auto"/>
              </w:rPr>
            </w:pPr>
          </w:p>
        </w:tc>
        <w:tc>
          <w:tcPr>
            <w:tcW w:w="9160" w:type="dxa"/>
            <w:vAlign w:val="bottom"/>
            <w:gridSpan w:val="17"/>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Three- and Six-month periods ended June 30, 2022 and</w:t>
              </w:r>
            </w:hyperlink>
          </w:p>
        </w:tc>
        <w:tc>
          <w:tcPr>
            <w:tcW w:w="9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2021</w:t>
              </w:r>
            </w:hyperlink>
          </w:p>
        </w:tc>
        <w:tc>
          <w:tcPr>
            <w:tcW w:w="8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88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78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tcPr>
          <w:p>
            <w:pPr>
              <w:spacing w:after="0"/>
              <w:rPr>
                <w:sz w:val="15"/>
                <w:szCs w:val="15"/>
                <w:color w:val="auto"/>
              </w:rPr>
            </w:pPr>
          </w:p>
        </w:tc>
        <w:tc>
          <w:tcPr>
            <w:tcW w:w="9160" w:type="dxa"/>
            <w:vAlign w:val="bottom"/>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Six-month periods ended June 30, 2022 and 2021</w:t>
              </w:r>
            </w:hyperlink>
          </w:p>
        </w:tc>
        <w:tc>
          <w:tcPr>
            <w:tcW w:w="9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shd w:val="clear" w:color="auto" w:fill="CCEEFF"/>
          </w:tcPr>
          <w:p>
            <w:pPr>
              <w:spacing w:after="0"/>
              <w:rPr>
                <w:sz w:val="17"/>
                <w:szCs w:val="17"/>
                <w:color w:val="auto"/>
              </w:rPr>
            </w:pPr>
          </w:p>
        </w:tc>
        <w:tc>
          <w:tcPr>
            <w:tcW w:w="9160" w:type="dxa"/>
            <w:vAlign w:val="bottom"/>
            <w:gridSpan w:val="17"/>
            <w:shd w:val="clear" w:color="auto" w:fill="CCEEFF"/>
          </w:tcPr>
          <w:p>
            <w:pPr>
              <w:spacing w:after="0" w:line="17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Shareholders' Equity Three- and Six-month periods ended June 30, 2022 and 2021</w:t>
              </w:r>
            </w:hyperlink>
          </w:p>
        </w:tc>
        <w:tc>
          <w:tcPr>
            <w:tcW w:w="9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tcBorders>
          </w:tcPr>
          <w:p>
            <w:pPr>
              <w:spacing w:after="0"/>
              <w:rPr>
                <w:sz w:val="15"/>
                <w:szCs w:val="15"/>
                <w:color w:val="auto"/>
              </w:rPr>
            </w:pPr>
          </w:p>
        </w:tc>
        <w:tc>
          <w:tcPr>
            <w:tcW w:w="88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360" w:type="dxa"/>
            <w:vAlign w:val="bottom"/>
            <w:tcBorders>
              <w:top w:val="single" w:sz="8" w:color="CCEEFF"/>
            </w:tcBorders>
            <w:gridSpan w:val="2"/>
          </w:tcPr>
          <w:p>
            <w:pPr>
              <w:spacing w:after="0"/>
              <w:rPr>
                <w:sz w:val="15"/>
                <w:szCs w:val="15"/>
                <w:color w:val="auto"/>
              </w:rPr>
            </w:pPr>
          </w:p>
        </w:tc>
        <w:tc>
          <w:tcPr>
            <w:tcW w:w="96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8-63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Management's Discussion and Analysis of Financial Condition and Results of Operations</w:t>
              </w:r>
            </w:hyperlink>
          </w:p>
        </w:tc>
        <w:tc>
          <w:tcPr>
            <w:tcW w:w="2720" w:type="dxa"/>
            <w:vAlign w:val="bottom"/>
            <w:tcBorders>
              <w:bottom w:val="single" w:sz="8" w:color="CCEEFF"/>
            </w:tcBorders>
            <w:gridSpan w:val="6"/>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64-87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160" w:type="dxa"/>
            <w:vAlign w:val="bottom"/>
            <w:gridSpan w:val="17"/>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Quantitative and Qualitative Disclosures about Market Risk</w:t>
              </w:r>
            </w:hyperlink>
          </w:p>
        </w:tc>
        <w:tc>
          <w:tcPr>
            <w:tcW w:w="9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60" w:type="dxa"/>
            <w:vAlign w:val="bottom"/>
            <w:gridSpan w:val="17"/>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9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91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auto"/>
              </w:rPr>
              <w:t>Other Information</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auto"/>
            </w:tcBorders>
            <w:gridSpan w:val="5"/>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Risk Factors</w:t>
              </w:r>
            </w:hyperlink>
          </w:p>
        </w:tc>
        <w:tc>
          <w:tcPr>
            <w:tcW w:w="7860" w:type="dxa"/>
            <w:vAlign w:val="bottom"/>
            <w:tcBorders>
              <w:top w:val="single" w:sz="8" w:color="CCEEFF"/>
            </w:tcBorders>
            <w:gridSpan w:val="12"/>
          </w:tcPr>
          <w:p>
            <w:pPr>
              <w:spacing w:after="0"/>
              <w:rPr>
                <w:sz w:val="15"/>
                <w:szCs w:val="15"/>
                <w:color w:val="auto"/>
              </w:rPr>
            </w:pPr>
          </w:p>
        </w:tc>
        <w:tc>
          <w:tcPr>
            <w:tcW w:w="96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60" w:type="dxa"/>
            <w:vAlign w:val="bottom"/>
            <w:gridSpan w:val="17"/>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Unregistered Sales of Equity Securities and Use of Proceeds</w:t>
              </w:r>
            </w:hyperlink>
          </w:p>
        </w:tc>
        <w:tc>
          <w:tcPr>
            <w:tcW w:w="9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15"/>
                <w:szCs w:val="15"/>
                <w:color w:val="auto"/>
              </w:rPr>
            </w:pPr>
          </w:p>
        </w:tc>
        <w:tc>
          <w:tcPr>
            <w:tcW w:w="4820" w:type="dxa"/>
            <w:vAlign w:val="bottom"/>
            <w:tcBorders>
              <w:top w:val="single" w:sz="8" w:color="CCEEFF"/>
            </w:tcBorders>
            <w:gridSpan w:val="8"/>
          </w:tcPr>
          <w:p>
            <w:pPr>
              <w:spacing w:after="0"/>
              <w:rPr>
                <w:sz w:val="15"/>
                <w:szCs w:val="15"/>
                <w:color w:val="auto"/>
              </w:rPr>
            </w:pPr>
          </w:p>
        </w:tc>
        <w:tc>
          <w:tcPr>
            <w:tcW w:w="96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6"/>
        </w:trPr>
        <w:tc>
          <w:tcPr>
            <w:tcW w:w="1120" w:type="dxa"/>
            <w:vAlign w:val="bottom"/>
          </w:tcPr>
          <w:p>
            <w:pPr>
              <w:spacing w:after="0"/>
              <w:rPr>
                <w:sz w:val="24"/>
                <w:szCs w:val="24"/>
                <w:color w:val="auto"/>
              </w:rPr>
            </w:pPr>
          </w:p>
        </w:tc>
        <w:tc>
          <w:tcPr>
            <w:tcW w:w="4560" w:type="dxa"/>
            <w:vAlign w:val="bottom"/>
            <w:gridSpan w:val="10"/>
          </w:tcPr>
          <w:p>
            <w:pPr>
              <w:ind w:left="4460"/>
              <w:spacing w:after="0"/>
              <w:rPr>
                <w:sz w:val="20"/>
                <w:szCs w:val="20"/>
                <w:color w:val="auto"/>
              </w:rPr>
            </w:pPr>
            <w:r>
              <w:rPr>
                <w:rFonts w:ascii="Arial" w:cs="Arial" w:eastAsia="Arial" w:hAnsi="Arial"/>
                <w:sz w:val="14"/>
                <w:szCs w:val="14"/>
                <w:color w:val="auto"/>
              </w:rPr>
              <w:t>1</w:t>
            </w: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65"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credit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2021,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960" w:type="dxa"/>
            <w:vAlign w:val="bottom"/>
            <w:gridSpan w:val="2"/>
          </w:tcPr>
          <w:p>
            <w:pPr>
              <w:spacing w:after="0"/>
              <w:rPr>
                <w:sz w:val="20"/>
                <w:szCs w:val="20"/>
                <w:color w:val="auto"/>
              </w:rPr>
            </w:pPr>
            <w:r>
              <w:rPr>
                <w:rFonts w:ascii="Arial" w:cs="Arial" w:eastAsia="Arial" w:hAnsi="Arial"/>
                <w:sz w:val="18"/>
                <w:szCs w:val="18"/>
                <w:color w:val="auto"/>
              </w:rPr>
              <w:t>Part I - Item 1.</w:t>
            </w:r>
          </w:p>
        </w:tc>
        <w:tc>
          <w:tcPr>
            <w:tcW w:w="5720" w:type="dxa"/>
            <w:vAlign w:val="bottom"/>
            <w:gridSpan w:val="3"/>
          </w:tcPr>
          <w:p>
            <w:pPr>
              <w:jc w:val="right"/>
              <w:ind w:right="750"/>
              <w:spacing w:after="0"/>
              <w:rPr>
                <w:sz w:val="20"/>
                <w:szCs w:val="20"/>
                <w:color w:val="auto"/>
              </w:rPr>
            </w:pPr>
            <w:r>
              <w:rPr>
                <w:rFonts w:ascii="Arial" w:cs="Arial" w:eastAsia="Arial" w:hAnsi="Arial"/>
                <w:sz w:val="18"/>
                <w:szCs w:val="18"/>
                <w:color w:val="auto"/>
                <w:w w:val="97"/>
              </w:rPr>
              <w:t>INDEPENDENT BANK CORPORATION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720" w:type="dxa"/>
            <w:vAlign w:val="bottom"/>
            <w:gridSpan w:val="3"/>
          </w:tcPr>
          <w:p>
            <w:pPr>
              <w:jc w:val="right"/>
              <w:ind w:right="810"/>
              <w:spacing w:after="0" w:line="190" w:lineRule="exact"/>
              <w:rPr>
                <w:sz w:val="20"/>
                <w:szCs w:val="20"/>
                <w:color w:val="auto"/>
              </w:rPr>
            </w:pPr>
            <w:r>
              <w:rPr>
                <w:rFonts w:ascii="Arial" w:cs="Arial" w:eastAsia="Arial" w:hAnsi="Arial"/>
                <w:sz w:val="18"/>
                <w:szCs w:val="18"/>
                <w:color w:val="auto"/>
              </w:rPr>
              <w:t>Condensed Consolidated Statements of Financial Condition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June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4"/>
          </w:tcPr>
          <w:p>
            <w:pPr>
              <w:jc w:val="center"/>
              <w:ind w:right="9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5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center"/>
              <w:ind w:left="510"/>
              <w:spacing w:after="0"/>
              <w:rPr>
                <w:sz w:val="20"/>
                <w:szCs w:val="20"/>
                <w:color w:val="auto"/>
              </w:rPr>
            </w:pPr>
            <w:r>
              <w:rPr>
                <w:rFonts w:ascii="Arial" w:cs="Arial" w:eastAsia="Arial" w:hAnsi="Arial"/>
                <w:sz w:val="18"/>
                <w:szCs w:val="18"/>
                <w:color w:val="auto"/>
                <w:w w:val="90"/>
              </w:rPr>
              <w:t>amounts)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56,516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51,069</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58,404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59,486</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859,704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1,412,830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Securities held to maturity (fair value of $359,701 at June 30, 2022 and zero at December 31,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17,653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Loans held for sale, carried at fair value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55,470</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Loans held for sale, carried at lower of cost or fair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34,811</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1,329,198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1,203,581</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1,284,169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1,139,659</w:t>
            </w:r>
          </w:p>
        </w:tc>
        <w:tc>
          <w:tcPr>
            <w:tcW w:w="0" w:type="dxa"/>
            <w:vAlign w:val="bottom"/>
          </w:tcPr>
          <w:p>
            <w:pPr>
              <w:spacing w:after="0"/>
              <w:rPr>
                <w:sz w:val="1"/>
                <w:szCs w:val="1"/>
                <w:color w:val="auto"/>
              </w:rPr>
            </w:pPr>
          </w:p>
        </w:tc>
      </w:tr>
      <w:tr>
        <w:trPr>
          <w:trHeight w:val="223"/>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Installment</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645,483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561,805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3,258,850</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2,905,045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losses</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(47,883)</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(47,252)</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Net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3,210,967</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2,857,793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Other real estate and repossessed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36,148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Bank-owned life insurance</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55,088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55,279</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102,999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66,140</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4,826,209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4,704,740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1,321,601</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w w:val="91"/>
              </w:rPr>
              <w:t>Savings and interest-bearing checking</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1,961,124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1,897,487</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Reciprocal</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586,626</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Time</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316,425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308,438</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Brokered time</w:t>
            </w:r>
          </w:p>
        </w:tc>
        <w:tc>
          <w:tcPr>
            <w:tcW w:w="5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4,290,574</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4,117,090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25,507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30,009</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39,395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39,357</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39,592</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w w:val="97"/>
              </w:rPr>
              <w:t>Accrued expenses and other liabilities</w:t>
            </w: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99,973</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80,208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4,495,075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4,306,256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w w:val="95"/>
              </w:rPr>
              <w:t>Commitments and contingent liabilities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4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Common stock, no par value, 500,000,000 shares authorized; issued and outstanding: 21,049,218 shares at June 30,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2022 and 21,171,036 shares at December 31, 2021</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319,885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323,401</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96,252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74,582</w:t>
            </w:r>
          </w:p>
        </w:tc>
        <w:tc>
          <w:tcPr>
            <w:tcW w:w="0" w:type="dxa"/>
            <w:vAlign w:val="bottom"/>
          </w:tcPr>
          <w:p>
            <w:pPr>
              <w:spacing w:after="0"/>
              <w:rPr>
                <w:sz w:val="1"/>
                <w:szCs w:val="1"/>
                <w:color w:val="auto"/>
              </w:rPr>
            </w:pPr>
          </w:p>
        </w:tc>
      </w:tr>
      <w:tr>
        <w:trPr>
          <w:trHeight w:val="223"/>
        </w:trPr>
        <w:tc>
          <w:tcPr>
            <w:tcW w:w="86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(85,003)</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520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331,134</w:t>
            </w: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398,484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4,826,209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4,704,740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1"/>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3"/>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4160" w:type="dxa"/>
            <w:vAlign w:val="bottom"/>
            <w:gridSpan w:val="9"/>
          </w:tcPr>
          <w:p>
            <w:pPr>
              <w:jc w:val="right"/>
              <w:ind w:right="270"/>
              <w:spacing w:after="0"/>
              <w:rPr>
                <w:sz w:val="20"/>
                <w:szCs w:val="20"/>
                <w:color w:val="auto"/>
              </w:rPr>
            </w:pPr>
            <w:r>
              <w:rPr>
                <w:rFonts w:ascii="Arial" w:cs="Arial" w:eastAsia="Arial" w:hAnsi="Arial"/>
                <w:sz w:val="18"/>
                <w:szCs w:val="18"/>
                <w:color w:val="auto"/>
              </w:rPr>
              <w:t>(In thousands, except per share amounts)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59,872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56,196</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Interest on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38,364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33,499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73,105</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1,983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borrowings and subordinated debt and debentures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2,106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4,043</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36,061</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69,062</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(1,425)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 After Provision for Credit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6,053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21,919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13,803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14,632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14,771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33,580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41,177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40,012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38,405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 processing</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Occupancy,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4,620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and collection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related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3,772</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32,434</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Income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15,880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37,952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42,196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13,001</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12,388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30,968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(Unaudited -</w:t>
            </w:r>
          </w:p>
        </w:tc>
        <w:tc>
          <w:tcPr>
            <w:tcW w:w="220" w:type="dxa"/>
            <w:vAlign w:val="bottom"/>
          </w:tcPr>
          <w:p>
            <w:pPr>
              <w:jc w:val="right"/>
              <w:spacing w:after="0"/>
              <w:rPr>
                <w:sz w:val="20"/>
                <w:szCs w:val="20"/>
                <w:color w:val="auto"/>
              </w:rPr>
            </w:pPr>
            <w:r>
              <w:rPr>
                <w:rFonts w:ascii="Arial" w:cs="Arial" w:eastAsia="Arial" w:hAnsi="Arial"/>
                <w:sz w:val="18"/>
                <w:szCs w:val="18"/>
                <w:color w:val="auto"/>
              </w:rPr>
              <w:t>In</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w w:val="89"/>
              </w:rPr>
              <w:t>thousands)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12,388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Unrealized gains (losses) arising during period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(13,916)</w:t>
            </w: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5,162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(83,358)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unrealized loss at time of transfer on securities available for sale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transferred to held to maturity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(26,479)</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Accretion of net unrealized losses on securities transferred to held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46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1,328</w:t>
            </w:r>
          </w:p>
        </w:tc>
        <w:tc>
          <w:tcPr>
            <w:tcW w:w="20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for (gains) losses included in earnings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w:t>
            </w:r>
          </w:p>
        </w:tc>
      </w:tr>
      <w:tr>
        <w:trPr>
          <w:trHeight w:val="202"/>
        </w:trPr>
        <w:tc>
          <w:tcPr>
            <w:tcW w:w="5980" w:type="dxa"/>
            <w:vAlign w:val="bottom"/>
            <w:tcBorders>
              <w:top w:val="single" w:sz="8" w:color="CCEEFF"/>
            </w:tcBorders>
          </w:tcPr>
          <w:p>
            <w:pPr>
              <w:jc w:val="right"/>
              <w:ind w:right="30"/>
              <w:spacing w:after="0" w:line="201" w:lineRule="exact"/>
              <w:rPr>
                <w:sz w:val="20"/>
                <w:szCs w:val="20"/>
                <w:color w:val="auto"/>
              </w:rPr>
            </w:pPr>
            <w:r>
              <w:rPr>
                <w:rFonts w:ascii="Arial" w:cs="Arial" w:eastAsia="Arial" w:hAnsi="Arial"/>
                <w:sz w:val="18"/>
                <w:szCs w:val="18"/>
                <w:color w:val="auto"/>
              </w:rPr>
              <w:t>Unrealized gains (losses) recognized in other comprehensive income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(loss) on securities available for sale</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(38,722)</w:t>
            </w:r>
          </w:p>
        </w:tc>
        <w:tc>
          <w:tcPr>
            <w:tcW w:w="20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5,162</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(108,234)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(2,035)</w:t>
            </w:r>
          </w:p>
        </w:tc>
      </w:tr>
      <w:tr>
        <w:trPr>
          <w:trHeight w:val="223"/>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r>
      <w:tr>
        <w:trPr>
          <w:trHeight w:val="202"/>
        </w:trPr>
        <w:tc>
          <w:tcPr>
            <w:tcW w:w="5980" w:type="dxa"/>
            <w:vAlign w:val="bottom"/>
            <w:tcBorders>
              <w:top w:val="single" w:sz="8" w:color="CCEEFF"/>
            </w:tcBorders>
          </w:tcPr>
          <w:p>
            <w:pPr>
              <w:jc w:val="right"/>
              <w:ind w:right="30"/>
              <w:spacing w:after="0" w:line="201" w:lineRule="exact"/>
              <w:rPr>
                <w:sz w:val="20"/>
                <w:szCs w:val="20"/>
                <w:color w:val="auto"/>
              </w:rPr>
            </w:pPr>
            <w:r>
              <w:rPr>
                <w:rFonts w:ascii="Arial" w:cs="Arial" w:eastAsia="Arial" w:hAnsi="Arial"/>
                <w:sz w:val="18"/>
                <w:szCs w:val="18"/>
                <w:color w:val="auto"/>
                <w:w w:val="93"/>
              </w:rPr>
              <w:t>Unrealized gains (losses) recognized in other comprehensive income (loss) on</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7"/>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securities available for sale, net of tax</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(30,589)</w:t>
            </w:r>
          </w:p>
        </w:tc>
        <w:tc>
          <w:tcPr>
            <w:tcW w:w="20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4,078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(85,504)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r>
      <w:tr>
        <w:trPr>
          <w:trHeight w:val="223"/>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660"/>
              <w:spacing w:after="0"/>
              <w:rPr>
                <w:sz w:val="20"/>
                <w:szCs w:val="20"/>
                <w:color w:val="auto"/>
              </w:rPr>
            </w:pPr>
            <w:r>
              <w:rPr>
                <w:rFonts w:ascii="Arial" w:cs="Arial" w:eastAsia="Arial" w:hAnsi="Arial"/>
                <w:sz w:val="18"/>
                <w:szCs w:val="18"/>
                <w:color w:val="auto"/>
                <w:w w:val="96"/>
              </w:rPr>
              <w:t>Comprehensive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(17,588)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16,466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(54,536)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32,817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8360" w:type="dxa"/>
            <w:vAlign w:val="bottom"/>
            <w:gridSpan w:val="3"/>
          </w:tcPr>
          <w:p>
            <w:pPr>
              <w:jc w:val="right"/>
              <w:ind w:right="660"/>
              <w:spacing w:after="0"/>
              <w:rPr>
                <w:sz w:val="20"/>
                <w:szCs w:val="20"/>
                <w:color w:val="auto"/>
              </w:rPr>
            </w:pPr>
            <w:r>
              <w:rPr>
                <w:rFonts w:ascii="Arial" w:cs="Arial" w:eastAsia="Arial" w:hAnsi="Arial"/>
                <w:sz w:val="18"/>
                <w:szCs w:val="18"/>
                <w:color w:val="auto"/>
              </w:rPr>
              <w:t>INDEPENDENT BANK CORPORATION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920" w:type="dxa"/>
            <w:vAlign w:val="bottom"/>
            <w:gridSpan w:val="2"/>
          </w:tcPr>
          <w:p>
            <w:pPr>
              <w:jc w:val="right"/>
              <w:ind w:right="1200"/>
              <w:spacing w:after="0" w:line="190" w:lineRule="exact"/>
              <w:rPr>
                <w:sz w:val="20"/>
                <w:szCs w:val="20"/>
                <w:color w:val="auto"/>
              </w:rPr>
            </w:pPr>
            <w:r>
              <w:rPr>
                <w:rFonts w:ascii="Arial" w:cs="Arial" w:eastAsia="Arial" w:hAnsi="Arial"/>
                <w:sz w:val="18"/>
                <w:szCs w:val="18"/>
                <w:color w:val="auto"/>
                <w:w w:val="88"/>
              </w:rPr>
              <w:t>Condensed Consolidated Statements of Cash Flows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9"/>
        </w:trPr>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8"/>
                <w:szCs w:val="18"/>
                <w:color w:val="auto"/>
                <w:w w:val="91"/>
              </w:rPr>
              <w:t>Six months ended June 30,</w:t>
            </w:r>
          </w:p>
        </w:tc>
      </w:tr>
      <w:tr>
        <w:trPr>
          <w:trHeight w:val="223"/>
        </w:trPr>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(Unaudited - In thousands)</w:t>
            </w:r>
          </w:p>
        </w:tc>
      </w:tr>
      <w:tr>
        <w:trPr>
          <w:trHeight w:val="223"/>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30,968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34,425</w:t>
            </w:r>
          </w:p>
        </w:tc>
      </w:tr>
      <w:tr>
        <w:trPr>
          <w:trHeight w:val="216"/>
        </w:trPr>
        <w:tc>
          <w:tcPr>
            <w:tcW w:w="86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334,838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708,526</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(309,085)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(653,925)</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deferred loan costs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and loans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6,279</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gains on mortgage loans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(21,919)</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Net (gains) losses on securities available for sale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(1,416)</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Increase in accrued income and other assets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(10,110)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(9,205)</w:t>
            </w: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Increase in 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Total Adjustments</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30,157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32,173</w:t>
            </w:r>
          </w:p>
        </w:tc>
      </w:tr>
      <w:tr>
        <w:trPr>
          <w:trHeight w:val="223"/>
        </w:trPr>
        <w:tc>
          <w:tcPr>
            <w:tcW w:w="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61,125</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66,598</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81,178</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105,288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222,767</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maturities, prepayments and calls of securities held to maturity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(137,550)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(546,621)</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the redemption of Federal Home Loan Bank stock</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(347,921)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(79,241)</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the sale of portfolio loans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Proceeds from bank-owned life insurance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r>
      <w:tr>
        <w:trPr>
          <w:trHeight w:val="223"/>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(2,966)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(3,081)</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(266,226)</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increase in total deposits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225,111</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Net increase (decrease) in other borrowings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Federal Home Loan Bank Advances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(9,166)</w:t>
            </w: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(7,285)</w:t>
            </w:r>
          </w:p>
        </w:tc>
      </w:tr>
      <w:tr>
        <w:trPr>
          <w:trHeight w:val="223"/>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155,114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(49,987)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(49,451)</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920" w:type="dxa"/>
            <w:vAlign w:val="bottom"/>
            <w:gridSpan w:val="2"/>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59,486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69,254</w:t>
            </w:r>
          </w:p>
        </w:tc>
      </w:tr>
      <w:tr>
        <w:trPr>
          <w:trHeight w:val="20"/>
        </w:trPr>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4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3,950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4,393</w:t>
            </w:r>
          </w:p>
        </w:tc>
      </w:tr>
      <w:tr>
        <w:trPr>
          <w:trHeight w:val="216"/>
        </w:trPr>
        <w:tc>
          <w:tcPr>
            <w:tcW w:w="86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8,659</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of securities available for sale to held to maturity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391,618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Shareholders’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Common</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Retained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Shareholders’</w:t>
            </w: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Earnings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0"/>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April 1, 2022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87,882</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355,449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June 30, 2022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13,001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$0.22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122,584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(2,626)</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6,532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 based compensation (issuance of zero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 based compensation withholding obligation (withholding of 1,853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(30,589)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(30,589)</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2022</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319,885</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April 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47,287</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June 30,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$0.21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163,338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(3,684)</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18,400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 based compensation (issuance of 8,871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 based compensation withholding obligation (withholding of 4,755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2021</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332,457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55,101</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74,582</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six months ended June 30, 2022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30,968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$0.44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181,586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(4,010)</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21,632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 based compensation (issuance of 64,354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26,218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(85,504)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(85,504)</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2022</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319,885</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40,145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389,522</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Adoption of ASU 2016-13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2021, as adjusted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379,219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six months ended June 30,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34,425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$0.42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344,005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(7,285)</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(7,285)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37,450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Share based compensation (issuance of 117,946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32,279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(1,608)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2021</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332,457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55,101</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2021 included in our Annual Report on Form 10-K.</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opinion, the accompanying unaudited condensed consolidated financial statements contain all the adjustments necessary to present fairly our consolidated financial condition as of June 30, 2022 and December 31, 2021, and the results of operations for the three and six-month periods ended June 30, 2022 and 2021. The results of operations for the three and six-month periods ended June 30, 2022,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2021 Annual Report on Form 10-K for a disclosure of our accounting policies.</w:t>
      </w:r>
    </w:p>
    <w:p>
      <w:pPr>
        <w:spacing w:after="0" w:line="17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2022, the FASB issued ASU 2022-01, “Derivative and Hedging (Topic 815): Fair Value Hedging – Portfolio Layer Method”. This ASU expands the current “last-of-layer” hedge method to allow multiple hedged layers of a single closed portfolio as well as to include non prepayable financial assets. This ASU also provides additional guidance on the accounting for and disclosure of certain hedge basis adjustments and specifies how hedge basis adjustments should be considered when determining credit losses for assets included in a closed portfolio. This ASU is required in reporting periods beginning after December. 15, 2022, with early adoption permitted. We early adopted this ASU in the second quarter of 2022 with no material impact to our Condensed Consolidated Financial Statements.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formed a cross-functional project team to lead this transition from LIBOR to a planned adoption of reference rates which could include Secured Overnight Financing Rate (“SOFR”), amongst others. We utilized the timeline guidance published by the Alternative Reference Rates Committee to develop and achieve internal milestones during this transitional period. We have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2022. We expect to adopt the LIBOR transition relief allowed under this standard.</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We are currently assessing the impact of this ASU on our Condensed Consolidated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 for sale (“AFS”)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10"/>
              <w:spacing w:after="0"/>
              <w:rPr>
                <w:sz w:val="20"/>
                <w:szCs w:val="20"/>
                <w:color w:val="auto"/>
              </w:rPr>
            </w:pPr>
            <w:r>
              <w:rPr>
                <w:rFonts w:ascii="Arial" w:cs="Arial" w:eastAsia="Arial" w:hAnsi="Arial"/>
                <w:sz w:val="18"/>
                <w:szCs w:val="18"/>
                <w:color w:val="auto"/>
                <w:w w:val="96"/>
              </w:rPr>
              <w:t>Amortized</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2"/>
              </w:rPr>
              <w:t>Unrealized</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9"/>
                <w:szCs w:val="19"/>
                <w:color w:val="auto"/>
              </w:rPr>
            </w:pPr>
          </w:p>
        </w:tc>
        <w:tc>
          <w:tcPr>
            <w:tcW w:w="11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Gains</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6"/>
          </w:tcPr>
          <w:p>
            <w:pPr>
              <w:jc w:val="right"/>
              <w:ind w:right="18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14,549</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w w:val="99"/>
              </w:rPr>
              <w:t>U.S. agency residential mortgage-backed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108,141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100,689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U.S. agency commercial mortgage-backed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16,873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106,549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99,839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240,479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234,235</w:t>
            </w:r>
          </w:p>
        </w:tc>
        <w:tc>
          <w:tcPr>
            <w:tcW w:w="0" w:type="dxa"/>
            <w:vAlign w:val="bottom"/>
          </w:tcPr>
          <w:p>
            <w:pPr>
              <w:spacing w:after="0"/>
              <w:rPr>
                <w:sz w:val="1"/>
                <w:szCs w:val="1"/>
                <w:color w:val="auto"/>
              </w:rPr>
            </w:pPr>
          </w:p>
        </w:tc>
      </w:tr>
      <w:tr>
        <w:trPr>
          <w:trHeight w:val="216"/>
        </w:trPr>
        <w:tc>
          <w:tcPr>
            <w:tcW w:w="3580" w:type="dxa"/>
            <w:vAlign w:val="bottom"/>
            <w:gridSpan w:val="2"/>
          </w:tcPr>
          <w:p>
            <w:pPr>
              <w:ind w:left="140"/>
              <w:spacing w:after="0"/>
              <w:rPr>
                <w:sz w:val="20"/>
                <w:szCs w:val="20"/>
                <w:color w:val="auto"/>
              </w:rPr>
            </w:pPr>
            <w:r>
              <w:rPr>
                <w:rFonts w:ascii="Arial" w:cs="Arial" w:eastAsia="Arial" w:hAnsi="Arial"/>
                <w:sz w:val="18"/>
                <w:szCs w:val="18"/>
                <w:color w:val="auto"/>
                <w:w w:val="93"/>
              </w:rPr>
              <w:t>Obligations of states and political subdivisions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358,103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45,230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312,915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88,644</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81,009</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934,815</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75,520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859,704</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34,634</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34,674</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w w:val="99"/>
              </w:rPr>
              <w:t>U.S. agency residential mortgage-backed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309,907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307,985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U.S. agency commercial mortgage-backed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23,066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22,926</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102,480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102,615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215,235</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216,170</w:t>
            </w:r>
          </w:p>
        </w:tc>
        <w:tc>
          <w:tcPr>
            <w:tcW w:w="0" w:type="dxa"/>
            <w:vAlign w:val="bottom"/>
          </w:tcPr>
          <w:p>
            <w:pPr>
              <w:spacing w:after="0"/>
              <w:rPr>
                <w:sz w:val="1"/>
                <w:szCs w:val="1"/>
                <w:color w:val="auto"/>
              </w:rPr>
            </w:pPr>
          </w:p>
        </w:tc>
      </w:tr>
      <w:tr>
        <w:trPr>
          <w:trHeight w:val="216"/>
        </w:trPr>
        <w:tc>
          <w:tcPr>
            <w:tcW w:w="3580" w:type="dxa"/>
            <w:vAlign w:val="bottom"/>
            <w:gridSpan w:val="2"/>
          </w:tcPr>
          <w:p>
            <w:pPr>
              <w:ind w:left="140"/>
              <w:spacing w:after="0"/>
              <w:rPr>
                <w:sz w:val="20"/>
                <w:szCs w:val="20"/>
                <w:color w:val="auto"/>
              </w:rPr>
            </w:pPr>
            <w:r>
              <w:rPr>
                <w:rFonts w:ascii="Arial" w:cs="Arial" w:eastAsia="Arial" w:hAnsi="Arial"/>
                <w:sz w:val="18"/>
                <w:szCs w:val="18"/>
                <w:color w:val="auto"/>
                <w:w w:val="93"/>
              </w:rPr>
              <w:t>Obligations of states and political subdivisions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568,355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576,076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148,707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149,959</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1,404,858</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16,594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8,622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1,412,830</w:t>
            </w: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w w:val="97"/>
              </w:rPr>
              <w:t>Securities held to maturity (“HTM”) consist of the following:</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5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Transferred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Unrealized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color w:val="auto"/>
                <w:w w:val="97"/>
              </w:rPr>
              <w:t>Unrealized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Loss (1)</w:t>
            </w:r>
          </w:p>
        </w:tc>
        <w:tc>
          <w:tcPr>
            <w:tcW w:w="180" w:type="dxa"/>
            <w:vAlign w:val="bottom"/>
          </w:tcPr>
          <w:p>
            <w:pPr>
              <w:spacing w:after="0"/>
              <w:rPr>
                <w:sz w:val="19"/>
                <w:szCs w:val="19"/>
                <w:color w:val="auto"/>
              </w:rPr>
            </w:pPr>
          </w:p>
        </w:tc>
        <w:tc>
          <w:tcPr>
            <w:tcW w:w="740" w:type="dxa"/>
            <w:vAlign w:val="bottom"/>
            <w:gridSpan w:val="3"/>
          </w:tcPr>
          <w:p>
            <w:pPr>
              <w:jc w:val="right"/>
              <w:ind w:right="210"/>
              <w:spacing w:after="0"/>
              <w:rPr>
                <w:sz w:val="20"/>
                <w:szCs w:val="20"/>
                <w:color w:val="auto"/>
              </w:rPr>
            </w:pPr>
            <w:r>
              <w:rPr>
                <w:rFonts w:ascii="Arial" w:cs="Arial" w:eastAsia="Arial" w:hAnsi="Arial"/>
                <w:sz w:val="18"/>
                <w:szCs w:val="18"/>
                <w:color w:val="auto"/>
              </w:rPr>
              <w:t>ACL</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980" w:type="dxa"/>
            <w:vAlign w:val="bottom"/>
            <w:gridSpan w:val="4"/>
          </w:tcPr>
          <w:p>
            <w:pPr>
              <w:ind w:left="240"/>
              <w:spacing w:after="0"/>
              <w:rPr>
                <w:sz w:val="20"/>
                <w:szCs w:val="20"/>
                <w:color w:val="auto"/>
              </w:rPr>
            </w:pPr>
            <w:r>
              <w:rPr>
                <w:rFonts w:ascii="Arial" w:cs="Arial" w:eastAsia="Arial" w:hAnsi="Arial"/>
                <w:sz w:val="18"/>
                <w:szCs w:val="18"/>
                <w:color w:val="auto"/>
              </w:rPr>
              <w:t>Gains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Losses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346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30,391</w:t>
            </w:r>
          </w:p>
        </w:tc>
        <w:tc>
          <w:tcPr>
            <w:tcW w:w="640" w:type="dxa"/>
            <w:vAlign w:val="bottom"/>
            <w:tcBorders>
              <w:right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26,858</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w w:val="99"/>
              </w:rPr>
              <w:t>U.S. agency residential mortgage-backed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11,556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135,039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115,769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U.S. agency commercial mortgage-backed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5,344</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subdivisions</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168,189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177,761</w:t>
            </w:r>
          </w:p>
        </w:tc>
        <w:tc>
          <w:tcPr>
            <w:tcW w:w="12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157,633</w:t>
            </w:r>
          </w:p>
        </w:tc>
        <w:tc>
          <w:tcPr>
            <w:tcW w:w="0" w:type="dxa"/>
            <w:vAlign w:val="bottom"/>
          </w:tcPr>
          <w:p>
            <w:pPr>
              <w:spacing w:after="0"/>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48,283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49,696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preferred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381,608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25,151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406,917</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47,267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359,701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remaining unrealized loss to be accreted on securities that were transferred from AFS to HTM on April 1,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expect to receive full value for these securities.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unrealized losses and fair values for securities available for sale aggregated by investment type and length of time that individual securities have been at a continuous unrealized loss position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color w:val="auto"/>
                <w:w w:val="97"/>
              </w:rPr>
              <w:t>Less Than Twelve Months</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1"/>
              <w:spacing w:after="0" w:line="201" w:lineRule="exact"/>
              <w:rPr>
                <w:sz w:val="20"/>
                <w:szCs w:val="20"/>
                <w:color w:val="auto"/>
              </w:rPr>
            </w:pPr>
            <w:r>
              <w:rPr>
                <w:rFonts w:ascii="Arial" w:cs="Arial" w:eastAsia="Arial" w:hAnsi="Arial"/>
                <w:sz w:val="18"/>
                <w:szCs w:val="18"/>
                <w:color w:val="auto"/>
                <w:w w:val="95"/>
              </w:rPr>
              <w:t>Unrealized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jc w:val="center"/>
              <w:ind w:right="2170"/>
              <w:spacing w:after="0"/>
              <w:rPr>
                <w:sz w:val="20"/>
                <w:szCs w:val="20"/>
                <w:color w:val="auto"/>
              </w:rPr>
            </w:pPr>
            <w:r>
              <w:rPr>
                <w:rFonts w:ascii="Arial" w:cs="Arial" w:eastAsia="Arial" w:hAnsi="Arial"/>
                <w:sz w:val="18"/>
                <w:szCs w:val="18"/>
                <w:color w:val="auto"/>
                <w:w w:val="89"/>
              </w:rPr>
              <w:t>June 30, 2022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78,099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6,344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96,641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89"/>
              </w:rPr>
              <w:t>backed</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15,156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97,269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6,863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99,219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91"/>
              </w:rPr>
              <w:t>subdivisions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277,070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39,550</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28,336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5,680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305,406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jc w:val="center"/>
              <w:ind w:right="2150"/>
              <w:spacing w:after="0"/>
              <w:rPr>
                <w:sz w:val="20"/>
                <w:szCs w:val="20"/>
                <w:color w:val="auto"/>
              </w:rPr>
            </w:pPr>
            <w:r>
              <w:rPr>
                <w:rFonts w:ascii="Arial" w:cs="Arial" w:eastAsia="Arial" w:hAnsi="Arial"/>
                <w:sz w:val="18"/>
                <w:szCs w:val="18"/>
                <w:color w:val="auto"/>
                <w:w w:val="89"/>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785,382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68,153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54,206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839,588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75,520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89"/>
              </w:rPr>
              <w:t>December 31, 2021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171,398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3,555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19,024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190,422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64,408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66,588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86,581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91"/>
              </w:rPr>
              <w:t>subdivisions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2,151</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7,093</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185,577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jc w:val="center"/>
              <w:ind w:right="2150"/>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607,923</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2022. Accrued interest receivable on securities AFS totaled $4.5 million and $6.0 million at June 30, 2022 and December 31, 2021, respectively, and is excluded from the estimate of credit losses and is included in accrued income and other assets in the Condensed Consolidated Statements of Financial Condition.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agency, U.S. agency residential mortgage-backed and U.S. agency commercial mortgage-backed securities — at June 30, 2022, we had 27 U.S. agency, 162 U.S. agency residential mortgage-backed and 16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Private label mortgage backed, other asset backed, corporate and foreign securities — at June 30, 2022, we had 96 private label mortgage backed, 145 other asset backed, 81 corporate and one foreign securities whose fair value is less than amortized cost. The unrealized losses are primarily due to credit spread widening and/or an increase in interest rates since acquisition.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of states and political subdivisions — at June 30, 2022, we had 339 municipal securities whose fair value is less than amortized cost. The unrealized losses are primarily due to an increase in interest rates since acquisition.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Trust preferred securities — at June 30, 2022,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2022 management does not intend to liquidate any of the securities discussed above and it is more likely than not that we will not be required to sell these securities prior to recovery of these unrealized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charges in our Condensed Consolidated Statements of Operations related to securities AFS during the three and six month periods ended June 30, 2022 and 2021,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Accrued interest receivable on securities HTM totaled $1.7 million at June 30, 2022,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Furthermore, as of June 30, 2022, there were no past due principal and interest payments associated with these securities. An allowance for credit losses of $158,000 was recorded on non U.S. agency securities HTM based on applying the long-term historical credit loss rate, as published by Moody’s, for similarly rated securities.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 quarterly basis, we monitor the credit quality of securities HTM through the use of credit ratings. The carrying value of securities HTM at June 30, 2022, aggregated by credit quality follow: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Private</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Label</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of States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Mortgage-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and Political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Trust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Backed</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Subdivisions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Corporate</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Preferred</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Credit rating:</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AAA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41,809</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109,674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109,674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38,515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39,689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Non-rated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7,211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168,189</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48,283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224,622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8"/>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security HTM type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89"/>
              </w:rPr>
              <w:t>Private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5"/>
              </w:rPr>
              <w:t>Label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of States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92"/>
              </w:rPr>
              <w:t>Mortgage-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and Political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Trust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89"/>
              </w:rPr>
              <w:t>Backed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Subdivisions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Corporate</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Preferred</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Three months ended June 30, 2022</w:t>
            </w: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Additions (deductions)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HTM charged against the allowance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Six months ended June 30, 2022</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Additions (deductions)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HTM charged against the allowance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AFS and securities HTM at June 30, 2022, by contractual maturity,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8"/>
                <w:szCs w:val="18"/>
                <w:color w:val="auto"/>
              </w:rPr>
              <w:t>Securities AFS</w:t>
            </w:r>
          </w:p>
        </w:tc>
        <w:tc>
          <w:tcPr>
            <w:tcW w:w="140" w:type="dxa"/>
            <w:vAlign w:val="bottom"/>
          </w:tcPr>
          <w:p>
            <w:pPr>
              <w:spacing w:after="0"/>
              <w:rPr>
                <w:sz w:val="20"/>
                <w:szCs w:val="20"/>
                <w:color w:val="auto"/>
              </w:rPr>
            </w:pPr>
          </w:p>
        </w:tc>
        <w:tc>
          <w:tcPr>
            <w:tcW w:w="2400" w:type="dxa"/>
            <w:vAlign w:val="bottom"/>
            <w:gridSpan w:val="5"/>
          </w:tcPr>
          <w:p>
            <w:pPr>
              <w:ind w:left="500"/>
              <w:spacing w:after="0"/>
              <w:rPr>
                <w:sz w:val="20"/>
                <w:szCs w:val="20"/>
                <w:color w:val="auto"/>
              </w:rPr>
            </w:pPr>
            <w:r>
              <w:rPr>
                <w:rFonts w:ascii="Arial" w:cs="Arial" w:eastAsia="Arial" w:hAnsi="Arial"/>
                <w:sz w:val="18"/>
                <w:szCs w:val="18"/>
                <w:color w:val="auto"/>
              </w:rPr>
              <w:t>Securities HTM</w:t>
            </w:r>
          </w:p>
        </w:tc>
      </w:tr>
      <w:tr>
        <w:trPr>
          <w:trHeight w:val="202"/>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6"/>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6"/>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94,331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41,546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39,085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108,172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217,638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186,395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94,039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80,632</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462,773</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409,350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258,848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100,689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135,039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115,769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99,839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934,815</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859,704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406,917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359,701</w:t>
            </w:r>
          </w:p>
        </w:tc>
      </w:tr>
      <w:tr>
        <w:trPr>
          <w:trHeight w:val="21"/>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six month periods ending June 30,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84"/>
              </w:rPr>
              <w:t>2022</w:t>
            </w: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70,523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30"/>
        </w:trPr>
        <w:tc>
          <w:tcPr>
            <w:tcW w:w="2960" w:type="dxa"/>
            <w:vAlign w:val="bottom"/>
          </w:tcPr>
          <w:p>
            <w:pPr>
              <w:jc w:val="right"/>
              <w:ind w:right="2510"/>
              <w:spacing w:after="0"/>
              <w:rPr>
                <w:sz w:val="20"/>
                <w:szCs w:val="20"/>
                <w:color w:val="auto"/>
              </w:rPr>
            </w:pPr>
            <w:r>
              <w:rPr>
                <w:rFonts w:ascii="Arial" w:cs="Arial" w:eastAsia="Arial" w:hAnsi="Arial"/>
                <w:sz w:val="18"/>
                <w:szCs w:val="18"/>
                <w:color w:val="auto"/>
                <w:w w:val="84"/>
              </w:rPr>
              <w:t>2021</w:t>
            </w: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81,178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554"/>
        </w:trPr>
        <w:tc>
          <w:tcPr>
            <w:tcW w:w="2960" w:type="dxa"/>
            <w:vAlign w:val="bottom"/>
          </w:tcPr>
          <w:p>
            <w:pPr>
              <w:spacing w:after="0"/>
              <w:rPr>
                <w:sz w:val="24"/>
                <w:szCs w:val="24"/>
                <w:color w:val="auto"/>
              </w:rPr>
            </w:pPr>
          </w:p>
        </w:tc>
        <w:tc>
          <w:tcPr>
            <w:tcW w:w="4360" w:type="dxa"/>
            <w:vAlign w:val="bottom"/>
          </w:tcPr>
          <w:p>
            <w:pPr>
              <w:jc w:val="right"/>
              <w:ind w:right="1539"/>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96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TDR;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troubled debt restructuring (“TDR”) status and balance size. Commercial classes are additionally segmented by risk rating, and mortgage and installment loan classes by credit score tier, which are updated at least semi-annually.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the entity is able to make or obtain R&amp;S forecasts of expected credit losses, we revert to the long term average on a straight line or immediate basis, as determined by the CECL Forecast Committee, and which may vary depending on the economic outlook and uncertainty.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our CECL Forecast Committee and as calculated through the Bank’s Asset and Liability Management program.</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portfolio segment for the three months ended June 30,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45,627</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11,059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20,313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46,755</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18,933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45,926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portfolio segment for the six months ended June 30,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47,252</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11,059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20,313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Impact of adoption of ASC 326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Initial allowance on loans purchased with credit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deterioration</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18,933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45,926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Non-</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Non-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Accrual</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Accrual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with no</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with an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Allowance</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Allowance</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90+ and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Non-</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for Credit</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for Credit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Non-</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rPr>
              <w:t>Still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Performing</w:t>
            </w: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Loss</w:t>
            </w:r>
          </w:p>
        </w:tc>
        <w:tc>
          <w:tcPr>
            <w:tcW w:w="1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Accrual</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Accruing</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June 30, 2022</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 (2)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23"/>
        </w:trPr>
        <w:tc>
          <w:tcPr>
            <w:tcW w:w="462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56"/>
        </w:trPr>
        <w:tc>
          <w:tcPr>
            <w:tcW w:w="4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 (2)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56"/>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$0.042 million and $0.047 million of government guaranteed loans at June 30, 2022 and December 31, 2021, respectively.</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$1.318 million and $0.388 million of government guaranteed loans at June 30, 2022 and December 31, 2021,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8"/>
              </w:rPr>
              <w:t>The amortized cost of collateral-dependent loans by class follows:</w:t>
            </w: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rPr>
              <w:t>Collateral Type</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Allowance</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6"/>
              </w:rPr>
              <w:t>Real</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Estate</w:t>
            </w:r>
          </w:p>
        </w:tc>
        <w:tc>
          <w:tcPr>
            <w:tcW w:w="140" w:type="dxa"/>
            <w:vAlign w:val="bottom"/>
          </w:tcPr>
          <w:p>
            <w:pPr>
              <w:spacing w:after="0"/>
              <w:rPr>
                <w:sz w:val="20"/>
                <w:szCs w:val="20"/>
                <w:color w:val="auto"/>
              </w:rPr>
            </w:pPr>
          </w:p>
        </w:tc>
        <w:tc>
          <w:tcPr>
            <w:tcW w:w="680" w:type="dxa"/>
            <w:vAlign w:val="bottom"/>
          </w:tcPr>
          <w:p>
            <w:pPr>
              <w:jc w:val="center"/>
              <w:ind w:left="110"/>
              <w:spacing w:after="0"/>
              <w:rPr>
                <w:sz w:val="20"/>
                <w:szCs w:val="20"/>
                <w:color w:val="auto"/>
              </w:rPr>
            </w:pPr>
            <w:r>
              <w:rPr>
                <w:rFonts w:ascii="Arial" w:cs="Arial" w:eastAsia="Arial" w:hAnsi="Arial"/>
                <w:sz w:val="18"/>
                <w:szCs w:val="18"/>
                <w:color w:val="auto"/>
                <w:w w:val="88"/>
              </w:rPr>
              <w:t>Other</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Credit Losses</w:t>
            </w:r>
          </w:p>
        </w:tc>
        <w:tc>
          <w:tcPr>
            <w:tcW w:w="0" w:type="dxa"/>
            <w:vAlign w:val="bottom"/>
          </w:tcPr>
          <w:p>
            <w:pPr>
              <w:spacing w:after="0"/>
              <w:rPr>
                <w:sz w:val="1"/>
                <w:szCs w:val="1"/>
                <w:color w:val="auto"/>
              </w:rPr>
            </w:pPr>
          </w:p>
        </w:tc>
      </w:tr>
      <w:tr>
        <w:trPr>
          <w:trHeight w:val="230"/>
        </w:trPr>
        <w:tc>
          <w:tcPr>
            <w:tcW w:w="516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2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December 31, 2021</w:t>
            </w:r>
          </w:p>
        </w:tc>
        <w:tc>
          <w:tcPr>
            <w:tcW w:w="2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78"/>
        </w:trPr>
        <w:tc>
          <w:tcPr>
            <w:tcW w:w="516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jc w:val="right"/>
              <w:ind w:right="1513"/>
              <w:spacing w:after="0"/>
              <w:rPr>
                <w:sz w:val="20"/>
                <w:szCs w:val="20"/>
                <w:color w:val="auto"/>
              </w:rPr>
            </w:pPr>
            <w:r>
              <w:rPr>
                <w:rFonts w:ascii="Arial" w:cs="Arial" w:eastAsia="Arial" w:hAnsi="Arial"/>
                <w:sz w:val="14"/>
                <w:szCs w:val="14"/>
                <w:color w:val="auto"/>
              </w:rPr>
              <w:t>19</w:t>
            </w: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aging analysis of loans by class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Loans Past Due</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Loans not</w:t>
            </w: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30-59 days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2"/>
              </w:rPr>
              <w:t>60-89 days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Past Due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687,923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688,022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641,176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641,176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657,142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657,698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303,043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306,109</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180,787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181,263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95,251</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43,692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43,848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258,077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258,385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279,678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280,074</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106,491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107,024</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3,252,994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7,695</w:t>
            </w:r>
          </w:p>
        </w:tc>
        <w:tc>
          <w:tcPr>
            <w:tcW w:w="0" w:type="dxa"/>
            <w:vAlign w:val="bottom"/>
          </w:tcPr>
          <w:p>
            <w:pPr>
              <w:spacing w:after="0"/>
              <w:rPr>
                <w:sz w:val="1"/>
                <w:szCs w:val="1"/>
                <w:color w:val="auto"/>
              </w:rPr>
            </w:pPr>
          </w:p>
        </w:tc>
      </w:tr>
      <w:tr>
        <w:trPr>
          <w:trHeight w:val="411"/>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593,048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593,112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610,469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610,469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540,416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541,023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264,571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266,410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194,277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194,852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88,729</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48,408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227,622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228,140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234,183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234,745</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98,562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98,920</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2,899,514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2,905,045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allocated $2.7 million and $3.6 million of reserves to customers whose loan terms have been modified as TDRs at June 30, 2022 and December 31, 2021,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TDRs follow:</w:t>
            </w: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7"/>
              </w:rPr>
              <w:t>June 30, 2022</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(In thousands)</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Non-performing TDRs(2)</w:t>
            </w: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1,164(3)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29,744</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4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(In thousands)</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36,070</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Non-performing TDRs(2)</w:t>
            </w: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1,016(3)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32,605</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2022, the terms of one loan was modified as a TDR. The modification of the terms of this loan included a reduction of the stated interest rate of the loan and a 34 month extension of the maturity date. The pre- and post-modification outstanding loan balances were both $0.3 million at June 30, 2022. This TDR increased the ACL by $0.03 million and resulted in zero charge-offs during the six months ended June 30, 2022. There were no TDR modifications during the six months ended June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TDRs that subsequently defaulted within twelve months following the modification during the three and six months periods ended June 30,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Non-TDR Loan Modifications and Paycheck Protection Program (“PPP”) due to COVID-19 - </w:t>
      </w:r>
      <w:r>
        <w:rPr>
          <w:rFonts w:ascii="Arial" w:cs="Arial" w:eastAsia="Arial" w:hAnsi="Arial"/>
          <w:sz w:val="18"/>
          <w:szCs w:val="18"/>
          <w:color w:val="auto"/>
        </w:rPr>
        <w:t>Section 4013 of the 2020 CARES Act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relief from the accounting and reporting requirements for TDRs regarding certain loan modifications for our customers. Section 4013 specified that COVID-19 related modifications on loans that were current (less than 30 days past due) as of December 31, 2019 were not TDRs. While the provisions of Section 4013 were in place, we assisted both commercial and retail (mortgage and installment) borrowers with accommodations that included reduced or suspended payments. While these loans were in accommodation plans (prior to the expiration of Section 4013) they were not being reported as past due in keeping with the guidance in Section 4013. Since the expiration of Section 4013 on January 1, 2022, we moved certain accommodation loans to non-accrual which totaled $0.4 million at June 30, 2022. Total remaining accommodation loans were $1.2 million and $2.3 million at June 30, 2022 and December 31, 2021, respectively.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CARES Act also included a loan program administered through the U.S. Small Business Administration (‘‘SBA’’) referred to as the PPP. Under the PPP, small businesses and other entities and individuals could apply for loans, subject to numerous limitations and eligibility criteria. We were a participating lender in the PPP. The PPP opened on April 3, 2020 providing American small businesses with cash-flow assistance through 100% federally guaranteed loans through the SBA. The PPP initially closed on August 8, 2020 (“Round 1”). In December, 2020, additional funding was allocated for the</w:t>
      </w:r>
    </w:p>
    <w:p>
      <w:pPr>
        <w:spacing w:after="0" w:line="1" w:lineRule="exact"/>
        <w:rPr>
          <w:sz w:val="20"/>
          <w:szCs w:val="20"/>
          <w:color w:val="auto"/>
        </w:rPr>
      </w:pPr>
    </w:p>
    <w:p>
      <w:pPr>
        <w:ind w:right="4000" w:firstLine="8"/>
        <w:spacing w:after="0" w:line="551" w:lineRule="auto"/>
        <w:tabs>
          <w:tab w:leader="none" w:pos="345" w:val="left"/>
        </w:tabs>
        <w:numPr>
          <w:ilvl w:val="0"/>
          <w:numId w:val="8"/>
        </w:numPr>
        <w:rPr>
          <w:rFonts w:ascii="Arial" w:cs="Arial" w:eastAsia="Arial" w:hAnsi="Arial"/>
          <w:sz w:val="16"/>
          <w:szCs w:val="16"/>
          <w:color w:val="auto"/>
        </w:rPr>
      </w:pPr>
      <w:r>
        <w:rPr>
          <w:rFonts w:ascii="Arial" w:cs="Arial" w:eastAsia="Arial" w:hAnsi="Arial"/>
          <w:sz w:val="16"/>
          <w:szCs w:val="16"/>
          <w:color w:val="auto"/>
        </w:rPr>
        <w:t>(“Round 2”), whose loans were also eligible for forgiveness. Round 2 closed on May 31, 2021. The following table summarizes PPP loans outstanding: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Paycheck Protection Program</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240" w:type="dxa"/>
            <w:vAlign w:val="bottom"/>
            <w:gridSpan w:val="4"/>
          </w:tcPr>
          <w:p>
            <w:pPr>
              <w:jc w:val="right"/>
              <w:ind w:right="180"/>
              <w:spacing w:after="0"/>
              <w:rPr>
                <w:sz w:val="20"/>
                <w:szCs w:val="20"/>
                <w:color w:val="auto"/>
              </w:rPr>
            </w:pPr>
            <w:r>
              <w:rPr>
                <w:rFonts w:ascii="Arial" w:cs="Arial" w:eastAsia="Arial" w:hAnsi="Arial"/>
                <w:sz w:val="18"/>
                <w:szCs w:val="18"/>
                <w:color w:val="auto"/>
              </w:rPr>
              <w:t>As of June 30, 2022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As of December 31, 2021</w:t>
            </w:r>
          </w:p>
        </w:tc>
      </w:tr>
      <w:tr>
        <w:trPr>
          <w:trHeight w:val="202"/>
        </w:trPr>
        <w:tc>
          <w:tcPr>
            <w:tcW w:w="59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Amount</w:t>
            </w: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Amount (#)</w:t>
            </w:r>
          </w:p>
        </w:tc>
        <w:tc>
          <w:tcPr>
            <w:tcW w:w="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 (#)</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Amount ($)</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240" w:type="dxa"/>
            <w:vAlign w:val="bottom"/>
            <w:gridSpan w:val="4"/>
          </w:tcPr>
          <w:p>
            <w:pPr>
              <w:jc w:val="right"/>
              <w:ind w:right="100"/>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(Dollars in thousands)</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Closed and outstanding - Round 1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Closed and outstanding - Round 2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258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26,167</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closed and outstanding</w:t>
            </w: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Unaccreted net fees remaining at period end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r>
      <w:tr>
        <w:trPr>
          <w:trHeight w:val="20"/>
        </w:trPr>
        <w:tc>
          <w:tcPr>
            <w:tcW w:w="5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6" w:lineRule="auto"/>
        <w:tabs>
          <w:tab w:leader="none" w:pos="355" w:val="left"/>
        </w:tabs>
        <w:numPr>
          <w:ilvl w:val="0"/>
          <w:numId w:val="9"/>
        </w:numPr>
        <w:rPr>
          <w:rFonts w:ascii="Arial" w:cs="Arial" w:eastAsia="Arial" w:hAnsi="Arial"/>
          <w:sz w:val="16"/>
          <w:szCs w:val="16"/>
          <w:color w:val="auto"/>
        </w:rPr>
      </w:pPr>
      <w:r>
        <w:rPr>
          <w:rFonts w:ascii="Arial" w:cs="Arial" w:eastAsia="Arial" w:hAnsi="Arial"/>
          <w:sz w:val="16"/>
          <w:szCs w:val="16"/>
          <w:color w:val="auto"/>
        </w:rPr>
        <w:t>loans are included in the commercial and industrial class of the commercial loan portfolio segment. As these loans are 100% guaranteed through the SBA the allowance for credit losses recorded on these loans is zero. PPP loans funded totaled $6.9 million and $135.5 million during the three and six months ended June 30 2021, respectively. There were no PPP loans funded during 2022. Interest and fees on loans in our condensed consolidated statement of operations includes $0.2 million and $0.8 million during the three and six month periods ended June 30, 2022, related to the accretion of net loan fees on PPP loans. Accretion of PPP net loan fees was $1.8 million and $3.9 million during the three and six month periods ended June 30, 2021.</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Our doubtful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loan ratings by loan class for our commercial portfolio loan segment at June 30, 2022 and December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5"/>
          </w:tcPr>
          <w:p>
            <w:pPr>
              <w:jc w:val="center"/>
              <w:ind w:right="200"/>
              <w:spacing w:after="0" w:line="201" w:lineRule="exact"/>
              <w:rPr>
                <w:sz w:val="20"/>
                <w:szCs w:val="20"/>
                <w:color w:val="auto"/>
              </w:rPr>
            </w:pPr>
            <w:r>
              <w:rPr>
                <w:rFonts w:ascii="Arial" w:cs="Arial" w:eastAsia="Arial" w:hAnsi="Arial"/>
                <w:sz w:val="18"/>
                <w:szCs w:val="18"/>
                <w:color w:val="auto"/>
                <w:w w:val="93"/>
              </w:rPr>
              <w:t>Revolving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20"/>
            <w:vMerge w:val="restart"/>
          </w:tcPr>
          <w:p>
            <w:pPr>
              <w:ind w:left="80"/>
              <w:spacing w:after="0"/>
              <w:rPr>
                <w:sz w:val="20"/>
                <w:szCs w:val="20"/>
                <w:color w:val="auto"/>
              </w:rPr>
            </w:pPr>
            <w:r>
              <w:rPr>
                <w:rFonts w:ascii="Arial" w:cs="Arial" w:eastAsia="Arial" w:hAnsi="Arial"/>
                <w:sz w:val="18"/>
                <w:szCs w:val="18"/>
                <w:color w:val="auto"/>
                <w:w w:val="96"/>
              </w:rPr>
              <w:t>Term Loans Amortized Cost Basis by Origination Year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20"/>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5"/>
          </w:tcPr>
          <w:p>
            <w:pPr>
              <w:jc w:val="center"/>
              <w:ind w:right="200"/>
              <w:spacing w:after="0" w:line="203" w:lineRule="exact"/>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Cost Basis</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Total</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080" w:type="dxa"/>
            <w:vAlign w:val="bottom"/>
            <w:gridSpan w:val="5"/>
          </w:tcPr>
          <w:p>
            <w:pPr>
              <w:jc w:val="center"/>
              <w:ind w:right="290"/>
              <w:spacing w:after="0"/>
              <w:rPr>
                <w:sz w:val="20"/>
                <w:szCs w:val="20"/>
                <w:color w:val="auto"/>
              </w:rPr>
            </w:pPr>
            <w:r>
              <w:rPr>
                <w:rFonts w:ascii="Arial" w:cs="Arial" w:eastAsia="Arial" w:hAnsi="Arial"/>
                <w:sz w:val="18"/>
                <w:szCs w:val="18"/>
                <w:color w:val="auto"/>
                <w:w w:val="78"/>
              </w:rPr>
              <w:t>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95,350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103,647</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67,402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52,393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121,179</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672,941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95,388</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126,918</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688,022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200" w:type="dxa"/>
            <w:vAlign w:val="bottom"/>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67,200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129,499</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39,157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69,987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185,974</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626,917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67,200</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102,440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186,816</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641,176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200" w:type="dxa"/>
            <w:vAlign w:val="bottom"/>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233,146</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106,559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152,265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106,414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307,153</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231,771</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$ 1,299,858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5,372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162,588</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238,679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107,174</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156,826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118,123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313,734</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232,074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$ 1,329,198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200" w:type="dxa"/>
            <w:vAlign w:val="bottom"/>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Revolving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19"/>
          </w:tcPr>
          <w:p>
            <w:pPr>
              <w:ind w:left="20"/>
              <w:spacing w:after="0"/>
              <w:rPr>
                <w:sz w:val="20"/>
                <w:szCs w:val="20"/>
                <w:color w:val="auto"/>
              </w:rPr>
            </w:pPr>
            <w:r>
              <w:rPr>
                <w:rFonts w:ascii="Arial" w:cs="Arial" w:eastAsia="Arial" w:hAnsi="Arial"/>
                <w:sz w:val="18"/>
                <w:szCs w:val="18"/>
                <w:color w:val="auto"/>
                <w:w w:val="95"/>
              </w:rPr>
              <w:t>Term Loans Amortized Cost Basis by Origination Year</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Prior</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Cost Basis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(In</w:t>
            </w:r>
          </w:p>
        </w:tc>
        <w:tc>
          <w:tcPr>
            <w:tcW w:w="1080" w:type="dxa"/>
            <w:vAlign w:val="bottom"/>
            <w:gridSpan w:val="5"/>
          </w:tcPr>
          <w:p>
            <w:pPr>
              <w:jc w:val="right"/>
              <w:ind w:right="420"/>
              <w:spacing w:after="0"/>
              <w:rPr>
                <w:sz w:val="20"/>
                <w:szCs w:val="20"/>
                <w:color w:val="auto"/>
              </w:rPr>
            </w:pPr>
            <w:r>
              <w:rPr>
                <w:rFonts w:ascii="Arial" w:cs="Arial" w:eastAsia="Arial" w:hAnsi="Arial"/>
                <w:sz w:val="18"/>
                <w:szCs w:val="18"/>
                <w:color w:val="auto"/>
                <w:w w:val="71"/>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121,917</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69,856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56,984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44,827</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38,307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96,261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144,579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6,274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123,567</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69,858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58,675</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104,127</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151,848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153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229</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240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123,330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55,479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108,056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75,828</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160,199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3,028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7,678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1,708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123,771</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55,803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111,084</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84,699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41,939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161,622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31,551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610,469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81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203</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325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245,247</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125,335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165,040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120,655</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77,430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256,460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176,130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$ 1,166,297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3,560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8,972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2,070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7,697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247,338</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125,661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169,759</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131,067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80,608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265,749</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183,399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$ 1,203,581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432</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565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portfolio segment classes, we generally monitor credit quality based on the credit scores of the borrowers. These credit scores are generally updated semi-annually.</w:t>
      </w:r>
    </w:p>
    <w:p>
      <w:pPr>
        <w:sectPr>
          <w:pgSz w:w="11900" w:h="16838" w:orient="portrait"/>
          <w:cols w:equalWidth="0" w:num="1">
            <w:col w:w="11240"/>
          </w:cols>
          <w:pgMar w:left="320" w:top="121" w:right="339" w:bottom="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June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color w:val="auto"/>
              </w:rPr>
              <w:t>Mortgage (1)</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140"/>
              <w:spacing w:after="0" w:line="201" w:lineRule="exact"/>
              <w:rPr>
                <w:sz w:val="20"/>
                <w:szCs w:val="20"/>
                <w:color w:val="auto"/>
              </w:rPr>
            </w:pPr>
            <w:r>
              <w:rPr>
                <w:rFonts w:ascii="Arial" w:cs="Arial" w:eastAsia="Arial" w:hAnsi="Arial"/>
                <w:sz w:val="18"/>
                <w:szCs w:val="18"/>
                <w:color w:val="auto"/>
                <w:w w:val="93"/>
              </w:rPr>
              <w:t>Revolving</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00" w:type="dxa"/>
            <w:vAlign w:val="bottom"/>
            <w:gridSpan w:val="14"/>
            <w:vMerge w:val="restart"/>
          </w:tcPr>
          <w:p>
            <w:pPr>
              <w:ind w:left="60"/>
              <w:spacing w:after="0"/>
              <w:rPr>
                <w:sz w:val="20"/>
                <w:szCs w:val="20"/>
                <w:color w:val="auto"/>
              </w:rPr>
            </w:pPr>
            <w:r>
              <w:rPr>
                <w:rFonts w:ascii="Arial" w:cs="Arial" w:eastAsia="Arial" w:hAnsi="Arial"/>
                <w:sz w:val="18"/>
                <w:szCs w:val="18"/>
                <w:color w:val="auto"/>
                <w:w w:val="93"/>
              </w:rPr>
              <w:t>Term Loans Amortized Cost Basis by Origination Year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14"/>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140"/>
              <w:spacing w:after="0" w:line="203" w:lineRule="exact"/>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Prior</w:t>
            </w:r>
          </w:p>
        </w:tc>
        <w:tc>
          <w:tcPr>
            <w:tcW w:w="160" w:type="dxa"/>
            <w:vAlign w:val="bottom"/>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980" w:type="dxa"/>
            <w:vAlign w:val="bottom"/>
            <w:gridSpan w:val="3"/>
          </w:tcPr>
          <w:p>
            <w:pPr>
              <w:jc w:val="right"/>
              <w:ind w:right="230"/>
              <w:spacing w:after="0"/>
              <w:rPr>
                <w:sz w:val="20"/>
                <w:szCs w:val="20"/>
                <w:color w:val="auto"/>
              </w:rPr>
            </w:pPr>
            <w:r>
              <w:rPr>
                <w:rFonts w:ascii="Arial" w:cs="Arial" w:eastAsia="Arial" w:hAnsi="Arial"/>
                <w:sz w:val="18"/>
                <w:szCs w:val="18"/>
                <w:color w:val="auto"/>
                <w:w w:val="71"/>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65,317</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204,172</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75,666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24,735</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5,479</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19,208</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387,828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69,946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133,601</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22,462</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6,135</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4,112</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5,446</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58,203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92,943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329,544</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135,956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42,638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12,906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41,640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657,698</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1-4 family owner occupied - non-jumbo</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11,364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2,594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1,923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7,397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35,434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9,041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19,462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126,320</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21,607</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3,001</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3,193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22,438</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4,832</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80,411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3,312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2,078</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1,804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8,663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15,590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3,037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3"/>
        </w:trPr>
        <w:tc>
          <w:tcPr>
            <w:tcW w:w="3300" w:type="dxa"/>
            <w:vAlign w:val="bottom"/>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81,574</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306,109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28,758</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41,754</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6,510</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2,735</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13,374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4,049</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99,888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34,620</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2,201</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4,974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13,172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300" w:type="dxa"/>
            <w:vAlign w:val="bottom"/>
          </w:tcPr>
          <w:p>
            <w:pPr>
              <w:ind w:left="32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26,267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62,486</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13,512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6,037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35,665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181,263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9,075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11,293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32,283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44,290</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1,556</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18,710</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3300" w:type="dxa"/>
            <w:vAlign w:val="bottom"/>
          </w:tcPr>
          <w:p>
            <w:pPr>
              <w:ind w:left="32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69,294</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868"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8"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color w:val="auto"/>
                <w:w w:val="89"/>
              </w:rPr>
              <w:t>Mortgage - continued (1)</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80"/>
              <w:spacing w:after="0" w:line="201" w:lineRule="exact"/>
              <w:rPr>
                <w:sz w:val="20"/>
                <w:szCs w:val="20"/>
                <w:color w:val="auto"/>
              </w:rPr>
            </w:pPr>
            <w:r>
              <w:rPr>
                <w:rFonts w:ascii="Arial" w:cs="Arial" w:eastAsia="Arial" w:hAnsi="Arial"/>
                <w:sz w:val="18"/>
                <w:szCs w:val="18"/>
                <w:color w:val="auto"/>
                <w:w w:val="96"/>
              </w:rPr>
              <w:t>Revolving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18"/>
            <w:vMerge w:val="restart"/>
          </w:tcPr>
          <w:p>
            <w:pPr>
              <w:jc w:val="right"/>
              <w:ind w:right="160"/>
              <w:spacing w:after="0"/>
              <w:rPr>
                <w:sz w:val="20"/>
                <w:szCs w:val="20"/>
                <w:color w:val="auto"/>
              </w:rPr>
            </w:pPr>
            <w:r>
              <w:rPr>
                <w:rFonts w:ascii="Arial" w:cs="Arial" w:eastAsia="Arial" w:hAnsi="Arial"/>
                <w:sz w:val="18"/>
                <w:szCs w:val="18"/>
                <w:color w:val="auto"/>
                <w:w w:val="93"/>
              </w:rPr>
              <w:t>Term Loans Amortized Cost Basis by Origination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18"/>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line="203" w:lineRule="exact"/>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4"/>
              </w:rPr>
              <w:t>2020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vMerge w:val="restart"/>
          </w:tcPr>
          <w:p>
            <w:pPr>
              <w:spacing w:after="0"/>
              <w:rPr>
                <w:sz w:val="20"/>
                <w:szCs w:val="20"/>
                <w:color w:val="auto"/>
              </w:rPr>
            </w:pPr>
            <w:r>
              <w:rPr>
                <w:rFonts w:ascii="Arial" w:cs="Arial" w:eastAsia="Arial" w:hAnsi="Arial"/>
                <w:sz w:val="18"/>
                <w:szCs w:val="18"/>
                <w:color w:val="auto"/>
              </w:rPr>
              <w:t>June 30, 2022 - continued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Resort lending</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19,005</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120" w:type="dxa"/>
            <w:vAlign w:val="bottom"/>
          </w:tcPr>
          <w:p>
            <w:pPr>
              <w:ind w:left="32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1,499</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43,848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Mortgage</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2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14,792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50,146</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26,468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11,129</w:t>
            </w:r>
          </w:p>
        </w:tc>
        <w:tc>
          <w:tcPr>
            <w:tcW w:w="16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27,115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14,637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148,336</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99,890</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287,324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113,966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677,331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47,605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104,251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37,518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281,506</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8,753</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34,598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19,517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123,425</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32,028</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3"/>
        </w:trPr>
        <w:tc>
          <w:tcPr>
            <w:tcW w:w="3120" w:type="dxa"/>
            <w:vAlign w:val="bottom"/>
          </w:tcPr>
          <w:p>
            <w:pPr>
              <w:ind w:left="32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173,870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480,197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203,979</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80,308</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209,154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99,776</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1,284,169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1,038</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Revolving</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17"/>
            <w:vMerge w:val="restart"/>
          </w:tcPr>
          <w:p>
            <w:pPr>
              <w:jc w:val="right"/>
              <w:ind w:right="20"/>
              <w:spacing w:after="0"/>
              <w:rPr>
                <w:sz w:val="20"/>
                <w:szCs w:val="20"/>
                <w:color w:val="auto"/>
              </w:rPr>
            </w:pPr>
            <w:r>
              <w:rPr>
                <w:rFonts w:ascii="Arial" w:cs="Arial" w:eastAsia="Arial" w:hAnsi="Arial"/>
                <w:sz w:val="18"/>
                <w:szCs w:val="18"/>
                <w:color w:val="auto"/>
                <w:w w:val="93"/>
              </w:rPr>
              <w:t>Term Loans Amortized Cost Basis by Origination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17"/>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line="203" w:lineRule="exact"/>
              <w:rPr>
                <w:sz w:val="20"/>
                <w:szCs w:val="20"/>
                <w:color w:val="auto"/>
              </w:rPr>
            </w:pPr>
            <w:r>
              <w:rPr>
                <w:rFonts w:ascii="Arial" w:cs="Arial" w:eastAsia="Arial" w:hAnsi="Arial"/>
                <w:sz w:val="18"/>
                <w:szCs w:val="18"/>
                <w:color w:val="auto"/>
                <w:w w:val="96"/>
              </w:rPr>
              <w:t>Amortized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vMerge w:val="restart"/>
          </w:tcPr>
          <w:p>
            <w:pPr>
              <w:spacing w:after="0"/>
              <w:rPr>
                <w:sz w:val="20"/>
                <w:szCs w:val="20"/>
                <w:color w:val="auto"/>
              </w:rPr>
            </w:pPr>
            <w:r>
              <w:rPr>
                <w:rFonts w:ascii="Arial" w:cs="Arial" w:eastAsia="Arial" w:hAnsi="Arial"/>
                <w:sz w:val="18"/>
                <w:szCs w:val="18"/>
                <w:color w:val="auto"/>
              </w:rPr>
              <w:t>December 31, 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940" w:type="dxa"/>
            <w:vAlign w:val="bottom"/>
            <w:gridSpan w:val="3"/>
          </w:tcPr>
          <w:p>
            <w:pPr>
              <w:jc w:val="right"/>
              <w:ind w:right="170"/>
              <w:spacing w:after="0"/>
              <w:rPr>
                <w:sz w:val="20"/>
                <w:szCs w:val="20"/>
                <w:color w:val="auto"/>
              </w:rPr>
            </w:pPr>
            <w:r>
              <w:rPr>
                <w:rFonts w:ascii="Arial" w:cs="Arial" w:eastAsia="Arial" w:hAnsi="Arial"/>
                <w:sz w:val="18"/>
                <w:szCs w:val="18"/>
                <w:color w:val="auto"/>
                <w:w w:val="74"/>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31,137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17,652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135,292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92,590</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7,118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9,469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34,665</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4,421</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7,748</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10,313</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5,285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Pr>
          <w:p>
            <w:pPr>
              <w:ind w:left="5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255,101</w:t>
            </w:r>
          </w:p>
        </w:tc>
        <w:tc>
          <w:tcPr>
            <w:tcW w:w="140" w:type="dxa"/>
            <w:vAlign w:val="bottom"/>
          </w:tcPr>
          <w:p>
            <w:pPr>
              <w:spacing w:after="0"/>
              <w:rPr>
                <w:sz w:val="18"/>
                <w:szCs w:val="18"/>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159,738</w:t>
            </w:r>
          </w:p>
        </w:tc>
        <w:tc>
          <w:tcPr>
            <w:tcW w:w="160" w:type="dxa"/>
            <w:vAlign w:val="bottom"/>
          </w:tcPr>
          <w:p>
            <w:pPr>
              <w:spacing w:after="0"/>
              <w:rPr>
                <w:sz w:val="18"/>
                <w:szCs w:val="18"/>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58,281</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20,402</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33,038</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12,092</w:t>
            </w:r>
          </w:p>
        </w:tc>
        <w:tc>
          <w:tcPr>
            <w:tcW w:w="2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2,371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541,023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right w:val="single" w:sz="8" w:color="CCEEFF"/>
            </w:tcBorders>
            <w:shd w:val="clear" w:color="auto" w:fill="CCEEFF"/>
          </w:tcPr>
          <w:p>
            <w:pPr>
              <w:spacing w:after="0"/>
              <w:rPr>
                <w:sz w:val="21"/>
                <w:szCs w:val="21"/>
                <w:color w:val="auto"/>
              </w:rPr>
            </w:pPr>
          </w:p>
        </w:tc>
        <w:tc>
          <w:tcPr>
            <w:tcW w:w="300" w:type="dxa"/>
            <w:vAlign w:val="bottom"/>
            <w:tcBorders>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557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370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1-4 family owner occupied - non-jumbo</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6,185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5,534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2,514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20,300</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5,664</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8,887</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8,341</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10,572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4,035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5,637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4,233</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3,135</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2,812</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1,660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right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67,441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42,689</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24,306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17,251</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24,039</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69,614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21,070</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266,410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spacing w:after="0"/>
              <w:rPr>
                <w:sz w:val="18"/>
                <w:szCs w:val="18"/>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208</w:t>
            </w:r>
          </w:p>
        </w:tc>
        <w:tc>
          <w:tcPr>
            <w:tcW w:w="24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8"/>
                <w:szCs w:val="18"/>
                <w:color w:val="auto"/>
              </w:rPr>
            </w:pPr>
          </w:p>
        </w:tc>
        <w:tc>
          <w:tcPr>
            <w:tcW w:w="36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w w:val="89"/>
              </w:rPr>
              <w:t>97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84</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58</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68</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c>
          <w:tcPr>
            <w:tcW w:w="2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color w:val="auto"/>
                <w:w w:val="95"/>
              </w:rPr>
              <w:t>Mortgage - continued (1)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60"/>
              <w:spacing w:after="0" w:line="201" w:lineRule="exact"/>
              <w:rPr>
                <w:sz w:val="20"/>
                <w:szCs w:val="20"/>
                <w:color w:val="auto"/>
              </w:rPr>
            </w:pPr>
            <w:r>
              <w:rPr>
                <w:rFonts w:ascii="Arial" w:cs="Arial" w:eastAsia="Arial" w:hAnsi="Arial"/>
                <w:sz w:val="18"/>
                <w:szCs w:val="18"/>
                <w:color w:val="auto"/>
                <w:w w:val="96"/>
              </w:rPr>
              <w:t>Revolving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Loans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6"/>
          </w:tcPr>
          <w:p>
            <w:pPr>
              <w:jc w:val="right"/>
              <w:ind w:right="60"/>
              <w:spacing w:after="0"/>
              <w:rPr>
                <w:sz w:val="20"/>
                <w:szCs w:val="20"/>
                <w:color w:val="auto"/>
              </w:rPr>
            </w:pPr>
            <w:r>
              <w:rPr>
                <w:rFonts w:ascii="Arial" w:cs="Arial" w:eastAsia="Arial" w:hAnsi="Arial"/>
                <w:sz w:val="18"/>
                <w:szCs w:val="18"/>
                <w:color w:val="auto"/>
                <w:w w:val="93"/>
              </w:rPr>
              <w:t>Term Loans Amortized Cost Basis by Origination Year</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Prior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vMerge w:val="restart"/>
          </w:tcPr>
          <w:p>
            <w:pPr>
              <w:spacing w:after="0"/>
              <w:rPr>
                <w:sz w:val="20"/>
                <w:szCs w:val="20"/>
                <w:color w:val="auto"/>
              </w:rPr>
            </w:pPr>
            <w:r>
              <w:rPr>
                <w:rFonts w:ascii="Arial" w:cs="Arial" w:eastAsia="Arial" w:hAnsi="Arial"/>
                <w:sz w:val="18"/>
                <w:szCs w:val="18"/>
                <w:color w:val="auto"/>
              </w:rPr>
              <w:t>December 31, 2021 (continued)</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6"/>
          </w:tcPr>
          <w:p>
            <w:pPr>
              <w:jc w:val="right"/>
              <w:ind w:right="48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2,857</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30,832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5,117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102,347</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38,752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9"/>
              </w:rPr>
              <w:t>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82,835</w:t>
            </w:r>
          </w:p>
        </w:tc>
        <w:tc>
          <w:tcPr>
            <w:tcW w:w="34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34,655</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16,503</w:t>
            </w:r>
          </w:p>
        </w:tc>
        <w:tc>
          <w:tcPr>
            <w:tcW w:w="28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7,832</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10,971</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31,158</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10,898</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194,852</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16,316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3120" w:type="dxa"/>
            <w:vAlign w:val="bottom"/>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right w:val="single" w:sz="8" w:color="CCEEFF"/>
            </w:tcBorders>
            <w:shd w:val="clear" w:color="auto" w:fill="CCEEFF"/>
          </w:tcPr>
          <w:p>
            <w:pPr>
              <w:jc w:val="center"/>
              <w:ind w:right="1670"/>
              <w:spacing w:after="0" w:line="196" w:lineRule="exact"/>
              <w:rPr>
                <w:sz w:val="20"/>
                <w:szCs w:val="20"/>
                <w:color w:val="auto"/>
              </w:rPr>
            </w:pPr>
            <w:r>
              <w:rPr>
                <w:rFonts w:ascii="Arial" w:cs="Arial" w:eastAsia="Arial" w:hAnsi="Arial"/>
                <w:sz w:val="18"/>
                <w:szCs w:val="18"/>
                <w:color w:val="auto"/>
                <w:w w:val="89"/>
              </w:rPr>
              <w:t>Total</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8,597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62,176</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88,729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34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w:t>
            </w:r>
          </w:p>
        </w:tc>
        <w:tc>
          <w:tcPr>
            <w:tcW w:w="28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8</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34</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211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jc w:val="center"/>
              <w:ind w:right="1630"/>
              <w:spacing w:after="0"/>
              <w:rPr>
                <w:sz w:val="20"/>
                <w:szCs w:val="20"/>
                <w:color w:val="auto"/>
              </w:rPr>
            </w:pPr>
            <w:r>
              <w:rPr>
                <w:rFonts w:ascii="Arial" w:cs="Arial" w:eastAsia="Arial" w:hAnsi="Arial"/>
                <w:sz w:val="18"/>
                <w:szCs w:val="18"/>
                <w:color w:val="auto"/>
                <w:w w:val="89"/>
              </w:rPr>
              <w:t>Resort lending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22,300</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Pr>
          <w:p>
            <w:pPr>
              <w:jc w:val="center"/>
              <w:ind w:right="1670"/>
              <w:spacing w:after="0" w:line="196" w:lineRule="exact"/>
              <w:rPr>
                <w:sz w:val="20"/>
                <w:szCs w:val="20"/>
                <w:color w:val="auto"/>
              </w:rPr>
            </w:pPr>
            <w:r>
              <w:rPr>
                <w:rFonts w:ascii="Arial" w:cs="Arial" w:eastAsia="Arial" w:hAnsi="Arial"/>
                <w:sz w:val="18"/>
                <w:szCs w:val="18"/>
                <w:color w:val="auto"/>
                <w:w w:val="89"/>
              </w:rPr>
              <w:t>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1,551</w:t>
            </w:r>
          </w:p>
        </w:tc>
        <w:tc>
          <w:tcPr>
            <w:tcW w:w="34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1,420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250</w:t>
            </w:r>
          </w:p>
        </w:tc>
        <w:tc>
          <w:tcPr>
            <w:tcW w:w="28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1,086</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130</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44,208</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48,645</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Mortgage</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53,143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15,530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13,975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17,854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14,130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147,475</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45,935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546,207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104,365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54,267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44,174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24,709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275,987</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114,464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32,212</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12,534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16"/>
        </w:trPr>
        <w:tc>
          <w:tcPr>
            <w:tcW w:w="3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23"/>
        </w:trPr>
        <w:tc>
          <w:tcPr>
            <w:tcW w:w="3120" w:type="dxa"/>
            <w:vAlign w:val="bottom"/>
          </w:tcPr>
          <w:p>
            <w:pPr>
              <w:ind w:left="34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right w:val="single" w:sz="8" w:color="CCEEFF"/>
            </w:tcBorders>
            <w:shd w:val="clear" w:color="auto" w:fill="CCEEFF"/>
          </w:tcPr>
          <w:p>
            <w:pPr>
              <w:jc w:val="center"/>
              <w:ind w:right="1670"/>
              <w:spacing w:after="0" w:line="196" w:lineRule="exact"/>
              <w:rPr>
                <w:sz w:val="20"/>
                <w:szCs w:val="20"/>
                <w:color w:val="auto"/>
              </w:rPr>
            </w:pPr>
            <w:r>
              <w:rPr>
                <w:rFonts w:ascii="Arial" w:cs="Arial" w:eastAsia="Arial" w:hAnsi="Arial"/>
                <w:sz w:val="18"/>
                <w:szCs w:val="18"/>
                <w:color w:val="auto"/>
                <w:w w:val="89"/>
              </w:rPr>
              <w:t>Total</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410,933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243,414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101,997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72,058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165,669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96,515</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1,139,659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945</w:t>
            </w:r>
          </w:p>
        </w:tc>
        <w:tc>
          <w:tcPr>
            <w:tcW w:w="34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574</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302</w:t>
            </w:r>
          </w:p>
        </w:tc>
        <w:tc>
          <w:tcPr>
            <w:tcW w:w="280" w:type="dxa"/>
            <w:vAlign w:val="bottom"/>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166</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196</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506</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309</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ectPr>
          <w:pgSz w:w="11900" w:h="16838" w:orient="portrait"/>
          <w:cols w:equalWidth="0" w:num="1">
            <w:col w:w="11240"/>
          </w:cols>
          <w:pgMar w:left="320" w:top="121" w:right="339" w:bottom="1057"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57"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Installment (1)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2"/>
          </w:tcPr>
          <w:p>
            <w:pPr>
              <w:jc w:val="right"/>
              <w:ind w:right="67"/>
              <w:spacing w:after="0"/>
              <w:rPr>
                <w:sz w:val="20"/>
                <w:szCs w:val="20"/>
                <w:color w:val="auto"/>
              </w:rPr>
            </w:pPr>
            <w:r>
              <w:rPr>
                <w:rFonts w:ascii="Arial" w:cs="Arial" w:eastAsia="Arial" w:hAnsi="Arial"/>
                <w:sz w:val="18"/>
                <w:szCs w:val="18"/>
                <w:color w:val="auto"/>
                <w:w w:val="91"/>
              </w:rPr>
              <w:t>Term Loans Amortized Cost Basis by Origination Year</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Prior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83"/>
              </w:rPr>
              <w:t>(In 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Boat lending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6,478</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35,995</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21,681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18,994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149,972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8,563</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12,954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58,489</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70,701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37,311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32,851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25,299</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33,734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258,385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Recreational vehicle lending</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9,586</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7,967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3,712</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4,934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36,477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18,792</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158,854</w:t>
            </w:r>
          </w:p>
        </w:tc>
        <w:tc>
          <w:tcPr>
            <w:tcW w:w="0" w:type="dxa"/>
            <w:vAlign w:val="bottom"/>
          </w:tcPr>
          <w:p>
            <w:pPr>
              <w:spacing w:after="0"/>
              <w:rPr>
                <w:sz w:val="1"/>
                <w:szCs w:val="1"/>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8,234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5,702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66,078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740" w:type="dxa"/>
            <w:vAlign w:val="bottom"/>
          </w:tcPr>
          <w:p>
            <w:pPr>
              <w:ind w:left="32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76,481</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103,687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interest excluded from total $</w:t>
            </w: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6,882</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4,327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39,463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4,288</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30,328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41,150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26,914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9,413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5,066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9,966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107,024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installment</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18,721</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17,395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11,871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11,257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8,578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12,250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80,072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47,355</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37,527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348,289</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21,085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15,372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147,179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4,793</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58,217</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176,120</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201,302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69,201</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interest excluded from total $</w:t>
            </w:r>
          </w:p>
        </w:tc>
        <w:tc>
          <w:tcPr>
            <w:tcW w:w="820" w:type="dxa"/>
            <w:vAlign w:val="bottom"/>
          </w:tcPr>
          <w:p>
            <w:pPr>
              <w:jc w:val="right"/>
              <w:spacing w:after="0"/>
              <w:rPr>
                <w:sz w:val="20"/>
                <w:szCs w:val="20"/>
                <w:color w:val="auto"/>
              </w:rPr>
            </w:pPr>
            <w:r>
              <w:rPr>
                <w:rFonts w:ascii="Arial" w:cs="Arial" w:eastAsia="Arial" w:hAnsi="Arial"/>
                <w:sz w:val="18"/>
                <w:szCs w:val="18"/>
                <w:color w:val="auto"/>
              </w:rPr>
              <w:t>358</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center"/>
              <w:ind w:left="350"/>
              <w:spacing w:after="0"/>
              <w:rPr>
                <w:sz w:val="20"/>
                <w:szCs w:val="20"/>
                <w:color w:val="auto"/>
              </w:rPr>
            </w:pPr>
            <w:r>
              <w:rPr>
                <w:rFonts w:ascii="Arial" w:cs="Arial" w:eastAsia="Arial" w:hAnsi="Arial"/>
                <w:sz w:val="18"/>
                <w:szCs w:val="18"/>
                <w:color w:val="auto"/>
                <w:w w:val="92"/>
              </w:rPr>
              <w:t>Installment - continued (1)</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16"/>
          </w:tcPr>
          <w:p>
            <w:pPr>
              <w:jc w:val="center"/>
              <w:ind w:left="410"/>
              <w:spacing w:after="0"/>
              <w:rPr>
                <w:sz w:val="20"/>
                <w:szCs w:val="20"/>
                <w:color w:val="auto"/>
              </w:rPr>
            </w:pPr>
            <w:r>
              <w:rPr>
                <w:rFonts w:ascii="Arial" w:cs="Arial" w:eastAsia="Arial" w:hAnsi="Arial"/>
                <w:sz w:val="18"/>
                <w:szCs w:val="18"/>
                <w:color w:val="auto"/>
                <w:w w:val="91"/>
              </w:rPr>
              <w:t>Term Loans Amortized Cost Basis by Origination Year</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200" w:type="dxa"/>
            <w:vAlign w:val="bottom"/>
            <w:vMerge w:val="restart"/>
          </w:tcPr>
          <w:p>
            <w:pPr>
              <w:spacing w:after="0"/>
              <w:rPr>
                <w:sz w:val="20"/>
                <w:szCs w:val="20"/>
                <w:color w:val="auto"/>
              </w:rPr>
            </w:pPr>
            <w:r>
              <w:rPr>
                <w:rFonts w:ascii="Arial" w:cs="Arial" w:eastAsia="Arial" w:hAnsi="Arial"/>
                <w:sz w:val="18"/>
                <w:szCs w:val="18"/>
                <w:color w:val="auto"/>
              </w:rPr>
              <w:t>December 31, 2021</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8"/>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Boat lending</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6,015</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4,906</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24,968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21,052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15,681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129,903</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Pr>
          <w:p>
            <w:pPr>
              <w:ind w:left="50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78,582</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42,706</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37,931</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28,812</w:t>
            </w:r>
          </w:p>
        </w:tc>
        <w:tc>
          <w:tcPr>
            <w:tcW w:w="36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17,508</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22,601</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228,140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Recreational vehicle lending</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5,121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5,837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4,627</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3,594</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130,762</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right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116,701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31,591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22,029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234,745</w:t>
            </w:r>
          </w:p>
        </w:tc>
        <w:tc>
          <w:tcPr>
            <w:tcW w:w="0" w:type="dxa"/>
            <w:vAlign w:val="bottom"/>
          </w:tcPr>
          <w:p>
            <w:pPr>
              <w:spacing w:after="0"/>
              <w:rPr>
                <w:sz w:val="1"/>
                <w:szCs w:val="1"/>
                <w:color w:val="auto"/>
              </w:rPr>
            </w:pPr>
          </w:p>
        </w:tc>
      </w:tr>
      <w:tr>
        <w:trPr>
          <w:trHeight w:val="210"/>
        </w:trPr>
        <w:tc>
          <w:tcPr>
            <w:tcW w:w="3200" w:type="dxa"/>
            <w:vAlign w:val="bottom"/>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93</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78</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56</w:t>
            </w:r>
          </w:p>
        </w:tc>
        <w:tc>
          <w:tcPr>
            <w:tcW w:w="36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37,179</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24,517</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25,681</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Pr>
          <w:p>
            <w:pPr>
              <w:ind w:left="50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49,118</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18,183</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12,614</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7,039</w:t>
            </w:r>
          </w:p>
        </w:tc>
        <w:tc>
          <w:tcPr>
            <w:tcW w:w="36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4,387</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7,579</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98,920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installment</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18,316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12,331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13,345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10,415</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8,722</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68,910</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297,844</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24,650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17,733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12,134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132,352</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51,430</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right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244,401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82,136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57,880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561,805</w:t>
            </w:r>
          </w:p>
        </w:tc>
        <w:tc>
          <w:tcPr>
            <w:tcW w:w="0" w:type="dxa"/>
            <w:vAlign w:val="bottom"/>
          </w:tcPr>
          <w:p>
            <w:pPr>
              <w:spacing w:after="0"/>
              <w:rPr>
                <w:sz w:val="1"/>
                <w:szCs w:val="1"/>
                <w:color w:val="auto"/>
              </w:rPr>
            </w:pPr>
          </w:p>
        </w:tc>
      </w:tr>
      <w:tr>
        <w:trPr>
          <w:trHeight w:val="210"/>
        </w:trPr>
        <w:tc>
          <w:tcPr>
            <w:tcW w:w="3200" w:type="dxa"/>
            <w:vAlign w:val="bottom"/>
          </w:tcPr>
          <w:p>
            <w:pPr>
              <w:spacing w:after="0" w:line="196" w:lineRule="exact"/>
              <w:rPr>
                <w:sz w:val="20"/>
                <w:szCs w:val="20"/>
                <w:color w:val="auto"/>
              </w:rPr>
            </w:pPr>
            <w:r>
              <w:rPr>
                <w:rFonts w:ascii="Arial" w:cs="Arial" w:eastAsia="Arial" w:hAnsi="Arial"/>
                <w:sz w:val="18"/>
                <w:szCs w:val="18"/>
                <w:color w:val="auto"/>
              </w:rPr>
              <w:t>Accrued interest excluded from 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507</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235</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220</w:t>
            </w:r>
          </w:p>
        </w:tc>
        <w:tc>
          <w:tcPr>
            <w:tcW w:w="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144</w:t>
            </w:r>
          </w:p>
        </w:tc>
        <w:tc>
          <w:tcPr>
            <w:tcW w:w="36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81</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113</w:t>
            </w:r>
          </w:p>
        </w:tc>
        <w:tc>
          <w:tcPr>
            <w:tcW w:w="3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$0.5 million and $0.2 million at June 30, 2022 and December 31, 2021, respectively. Retail mortgage loans secured by residential real estate properties for which formal foreclosure proceedings are in process according to local requirements totaled $0.4 million and $0.6 million at June 30, 2022 and December 31, 2021,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2022, we sold $33.4 million of portfolio residential fixed rate mortgage loans servicing retained to private investors and recognized a gain on sale of $0.41 million. This transaction was done primarily for asset/liability management purposes.</w:t>
      </w:r>
    </w:p>
    <w:p>
      <w:pPr>
        <w:spacing w:after="0" w:line="17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17, 2021, our Board of Directors authorized a share repurchase plan (the “Repurchase Plan”) to buy back up to 1,100,000 shares of our outstanding common stock through December 31, 2022.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six month periods ended June 30, 2022 and 2021 repurchases were made totaling 181,586 shares and 344,005 shares of common stock, respectively, for an aggregate purchase price of $4.0 million and $7.3 million,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right"/>
              <w:ind w:right="700"/>
              <w:spacing w:after="0" w:line="201" w:lineRule="exact"/>
              <w:rPr>
                <w:sz w:val="20"/>
                <w:szCs w:val="20"/>
                <w:color w:val="auto"/>
              </w:rPr>
            </w:pPr>
            <w:r>
              <w:rPr>
                <w:rFonts w:ascii="Arial" w:cs="Arial" w:eastAsia="Arial" w:hAnsi="Arial"/>
                <w:sz w:val="18"/>
                <w:szCs w:val="18"/>
                <w:color w:val="auto"/>
                <w:w w:val="96"/>
              </w:rPr>
              <w:t>(In thousands, except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right"/>
              <w:ind w:right="940"/>
              <w:spacing w:after="0"/>
              <w:rPr>
                <w:sz w:val="20"/>
                <w:szCs w:val="20"/>
                <w:color w:val="auto"/>
              </w:rPr>
            </w:pPr>
            <w:r>
              <w:rPr>
                <w:rFonts w:ascii="Arial" w:cs="Arial" w:eastAsia="Arial" w:hAnsi="Arial"/>
                <w:sz w:val="18"/>
                <w:szCs w:val="18"/>
                <w:color w:val="auto"/>
              </w:rPr>
              <w:t>per share data)</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34,425</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Weighted average shares outstanding for calculation of diluted earnings per</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21,266</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21,967</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21,334</w:t>
            </w: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Basic (1)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the three and six month periods ended June 30, 2022 and 2021,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June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w w:val="92"/>
              </w:rPr>
              <w:t>Pay-fixed interest rate swap agreements - securities available for sale</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148,895</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15,460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155,474</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Rate-lock mortgage loan commitments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96,536</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98,986</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Pay-fixed interest rate swap agreements - mortgage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31,000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217,503</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217,503</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661,528</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534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December 31, 2021</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6,753</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Pay-fixed interest rate swap agreements - securities available for sale</w:t>
            </w:r>
          </w:p>
        </w:tc>
        <w:tc>
          <w:tcPr>
            <w:tcW w:w="1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148,895</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40"/>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155,648</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129,846</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97,737</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swaption agreement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207,080</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207,080</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rPr>
              <w:t>Interest rate cap agreements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90,000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741,743</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534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jc w:val="right"/>
              <w:ind w:right="1533"/>
              <w:spacing w:after="0"/>
              <w:rPr>
                <w:sz w:val="20"/>
                <w:szCs w:val="20"/>
                <w:color w:val="auto"/>
              </w:rPr>
            </w:pPr>
            <w:r>
              <w:rPr>
                <w:rFonts w:ascii="Arial" w:cs="Arial" w:eastAsia="Arial" w:hAnsi="Arial"/>
                <w:sz w:val="14"/>
                <w:szCs w:val="14"/>
                <w:color w:val="auto"/>
              </w:rPr>
              <w:t>31</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Condensed Consolidated Statements of Financial Condition. The hedged item (fixed rate commercial loan) is also recorded at fair value which offsets the adjustment to the Fair Value Hedge – Commercial Loan. On an ongoing basis, we adjust our Condensed Consolidated Statements of Financial Condition to reflect the then current fair value of both the Fair Value Hedge – Commercial Loan and the hedged item. The related gains or losses are reported in interest income – interest and fees on loans in our Condensed Consolidated Statements of Operations.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pay-fixed interest rate swaps to protect a portion of the fair value of certain securities AFS (‘‘Fair Value Hedge – AFS Securities’’). As a result, the change in the fair value of the pay-fixed interest rate swaps is expected to offset a portion of the change in the fair value of the fixed rate securities AFS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AFS)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tax-exempt in our Condensed Consolidated Statements of Operations.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purchased swaption and pay-fixed interest rate swap agreements in an attempt to reduce the impact of price fluctuations of certain mortgage construction loans held for sale. The pay-fixed interest rate swap agreements are presented as “Interest rate swap agreements – mortgage” in the table above. The swaption agreement terminated during the first quarter of 2022. The changes in the fair value of the swaption and pay fixed interest rate swap agreements are recognized currently as part of net gains on mortgage loans in our Condensed Consolidated Statements of Operations.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 hedge designation interest rate cap agreements in the table above had previously qualified for cash flow hedge accounting but were classified to a no hedge designation during 2020 and any changes in fair value since the transfers to the no hedge designation have been recognized in interest expense – other borrowings and subordinated debt and debentures in our Condensed Consolidated Statements of Operations. Also in 2020 it became probable that the forecasted transactions being hedged by these interest rate cap agreements would not occur by the end of the originally specified time period and all remaining unrealized losses included as a component of accumulated other comprehensive income (loss) were reclassified into earnings at that time. During the second quarter of 2022 we terminated $75.0 million of interest rate caps while $15.0 million matured.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Fair Values of Derivative Instruments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Asset Derivatives</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Liability Derivatives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400" w:type="dxa"/>
            <w:vAlign w:val="bottom"/>
            <w:gridSpan w:val="3"/>
          </w:tcPr>
          <w:p>
            <w:pPr>
              <w:ind w:left="760"/>
              <w:spacing w:after="0" w:line="201" w:lineRule="exact"/>
              <w:rPr>
                <w:sz w:val="20"/>
                <w:szCs w:val="20"/>
                <w:color w:val="auto"/>
              </w:rPr>
            </w:pPr>
            <w:r>
              <w:rPr>
                <w:rFonts w:ascii="Arial" w:cs="Arial" w:eastAsia="Arial" w:hAnsi="Arial"/>
                <w:sz w:val="18"/>
                <w:szCs w:val="18"/>
                <w:color w:val="auto"/>
                <w:w w:val="89"/>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480" w:type="dxa"/>
            <w:vAlign w:val="bottom"/>
            <w:gridSpan w:val="4"/>
          </w:tcPr>
          <w:p>
            <w:pPr>
              <w:ind w:left="820"/>
              <w:spacing w:after="0" w:line="201" w:lineRule="exact"/>
              <w:rPr>
                <w:sz w:val="20"/>
                <w:szCs w:val="20"/>
                <w:color w:val="auto"/>
              </w:rPr>
            </w:pPr>
            <w:r>
              <w:rPr>
                <w:rFonts w:ascii="Arial" w:cs="Arial" w:eastAsia="Arial" w:hAnsi="Arial"/>
                <w:sz w:val="18"/>
                <w:szCs w:val="18"/>
                <w:color w:val="auto"/>
                <w:w w:val="92"/>
              </w:rPr>
              <w:t>June 30,</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400" w:type="dxa"/>
            <w:vAlign w:val="bottom"/>
            <w:gridSpan w:val="3"/>
          </w:tcPr>
          <w:p>
            <w:pPr>
              <w:ind w:left="88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0"/>
                <w:szCs w:val="20"/>
                <w:color w:val="auto"/>
              </w:rPr>
            </w:pPr>
          </w:p>
        </w:tc>
        <w:tc>
          <w:tcPr>
            <w:tcW w:w="1500" w:type="dxa"/>
            <w:vAlign w:val="bottom"/>
            <w:gridSpan w:val="4"/>
          </w:tcPr>
          <w:p>
            <w:pPr>
              <w:jc w:val="right"/>
              <w:ind w:right="70"/>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180"/>
              <w:spacing w:after="0" w:line="201" w:lineRule="exact"/>
              <w:rPr>
                <w:sz w:val="20"/>
                <w:szCs w:val="20"/>
                <w:color w:val="auto"/>
              </w:rPr>
            </w:pPr>
            <w:r>
              <w:rPr>
                <w:rFonts w:ascii="Arial" w:cs="Arial" w:eastAsia="Arial" w:hAnsi="Arial"/>
                <w:sz w:val="18"/>
                <w:szCs w:val="18"/>
                <w:color w:val="auto"/>
                <w:w w:val="89"/>
              </w:rPr>
              <w:t>Balance</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89"/>
              </w:rPr>
              <w:t>Balance</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Fair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Fair</w:t>
            </w:r>
          </w:p>
        </w:tc>
        <w:tc>
          <w:tcPr>
            <w:tcW w:w="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Sheet</w:t>
            </w: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5"/>
              </w:rPr>
              <w:t>Value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Location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Location</w:t>
            </w: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2160" w:type="dxa"/>
            <w:vAlign w:val="bottom"/>
            <w:vMerge w:val="restart"/>
          </w:tcPr>
          <w:p>
            <w:pPr>
              <w:spacing w:after="0"/>
              <w:rPr>
                <w:sz w:val="20"/>
                <w:szCs w:val="20"/>
                <w:color w:val="auto"/>
              </w:rPr>
            </w:pPr>
            <w:r>
              <w:rPr>
                <w:rFonts w:ascii="Arial" w:cs="Arial" w:eastAsia="Arial" w:hAnsi="Arial"/>
                <w:sz w:val="18"/>
                <w:szCs w:val="18"/>
                <w:color w:val="auto"/>
              </w:rPr>
              <w:t>Derivatives designated as</w:t>
            </w: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(In</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Other assets</w:t>
            </w:r>
          </w:p>
        </w:tc>
        <w:tc>
          <w:tcPr>
            <w:tcW w:w="40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Derivatives not designated as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140"/>
              <w:spacing w:after="0" w:line="201" w:lineRule="exact"/>
              <w:rPr>
                <w:sz w:val="20"/>
                <w:szCs w:val="20"/>
                <w:color w:val="auto"/>
              </w:rPr>
            </w:pPr>
            <w:r>
              <w:rPr>
                <w:rFonts w:ascii="Arial" w:cs="Arial" w:eastAsia="Arial" w:hAnsi="Arial"/>
                <w:sz w:val="18"/>
                <w:szCs w:val="18"/>
                <w:color w:val="auto"/>
              </w:rPr>
              <w:t>Rate-lock mortgage loan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2,140</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5,072</w:t>
            </w:r>
          </w:p>
        </w:tc>
        <w:tc>
          <w:tcPr>
            <w:tcW w:w="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Mandatory commitments to</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 mortgage loans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6"/>
              </w:rPr>
              <w:t>Pay-fixed interest rate swap</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agreements - mortgage</w:t>
            </w: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rate swaption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w w:val="92"/>
              </w:rPr>
              <w:t>agreements - commercial</w:t>
            </w: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9,735</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Pay-variable interest rate</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swap agreements -</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w:t>
            </w: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9,735</w:t>
            </w:r>
          </w:p>
        </w:tc>
        <w:tc>
          <w:tcPr>
            <w:tcW w:w="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60" w:type="dxa"/>
            <w:vAlign w:val="bottom"/>
            <w:gridSpan w:val="2"/>
          </w:tcPr>
          <w:p>
            <w:pPr>
              <w:ind w:left="140"/>
              <w:spacing w:after="0"/>
              <w:rPr>
                <w:sz w:val="20"/>
                <w:szCs w:val="20"/>
                <w:color w:val="auto"/>
              </w:rPr>
            </w:pPr>
            <w:r>
              <w:rPr>
                <w:rFonts w:ascii="Arial" w:cs="Arial" w:eastAsia="Arial" w:hAnsi="Arial"/>
                <w:sz w:val="18"/>
                <w:szCs w:val="18"/>
                <w:color w:val="auto"/>
                <w:w w:val="90"/>
              </w:rPr>
              <w:t>Interest rate cap agreementsOther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5"/>
              </w:rPr>
              <w:t>Other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12,283</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14,997</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gridSpan w:val="2"/>
          </w:tcPr>
          <w:p>
            <w:pPr>
              <w:jc w:val="center"/>
              <w:ind w:left="59"/>
              <w:spacing w:after="0"/>
              <w:rPr>
                <w:sz w:val="20"/>
                <w:szCs w:val="20"/>
                <w:color w:val="auto"/>
              </w:rPr>
            </w:pPr>
            <w:r>
              <w:rPr>
                <w:rFonts w:ascii="Arial" w:cs="Arial" w:eastAsia="Arial" w:hAnsi="Arial"/>
                <w:sz w:val="14"/>
                <w:szCs w:val="14"/>
                <w:color w:val="auto"/>
                <w:w w:val="89"/>
              </w:rPr>
              <w:t>34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Gain (Loss)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Recognized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2"/>
              </w:rPr>
              <w:t>in Income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40" w:type="dxa"/>
            <w:vAlign w:val="bottom"/>
            <w:gridSpan w:val="2"/>
          </w:tcPr>
          <w:p>
            <w:pPr>
              <w:ind w:left="1440"/>
              <w:spacing w:after="0" w:line="201" w:lineRule="exact"/>
              <w:rPr>
                <w:sz w:val="20"/>
                <w:szCs w:val="20"/>
                <w:color w:val="auto"/>
              </w:rPr>
            </w:pPr>
            <w:r>
              <w:rPr>
                <w:rFonts w:ascii="Arial" w:cs="Arial" w:eastAsia="Arial" w:hAnsi="Arial"/>
                <w:sz w:val="18"/>
                <w:szCs w:val="18"/>
                <w:color w:val="auto"/>
              </w:rPr>
              <w:t>Location of</w:t>
            </w:r>
          </w:p>
        </w:tc>
        <w:tc>
          <w:tcPr>
            <w:tcW w:w="240" w:type="dxa"/>
            <w:vAlign w:val="bottom"/>
          </w:tcPr>
          <w:p>
            <w:pPr>
              <w:spacing w:after="0"/>
              <w:rPr>
                <w:sz w:val="17"/>
                <w:szCs w:val="17"/>
                <w:color w:val="auto"/>
              </w:rPr>
            </w:pPr>
          </w:p>
        </w:tc>
        <w:tc>
          <w:tcPr>
            <w:tcW w:w="1600" w:type="dxa"/>
            <w:vAlign w:val="bottom"/>
            <w:gridSpan w:val="3"/>
          </w:tcPr>
          <w:p>
            <w:pPr>
              <w:jc w:val="center"/>
              <w:ind w:left="450"/>
              <w:spacing w:after="0" w:line="201" w:lineRule="exact"/>
              <w:rPr>
                <w:sz w:val="20"/>
                <w:szCs w:val="20"/>
                <w:color w:val="auto"/>
              </w:rPr>
            </w:pPr>
            <w:r>
              <w:rPr>
                <w:rFonts w:ascii="Arial" w:cs="Arial" w:eastAsia="Arial" w:hAnsi="Arial"/>
                <w:sz w:val="18"/>
                <w:szCs w:val="18"/>
                <w:color w:val="auto"/>
                <w:w w:val="92"/>
              </w:rPr>
              <w:t>Three Month</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40" w:type="dxa"/>
            <w:vAlign w:val="bottom"/>
            <w:gridSpan w:val="2"/>
          </w:tcPr>
          <w:p>
            <w:pPr>
              <w:ind w:left="1440"/>
              <w:spacing w:after="0"/>
              <w:rPr>
                <w:sz w:val="20"/>
                <w:szCs w:val="20"/>
                <w:color w:val="auto"/>
              </w:rPr>
            </w:pPr>
            <w:r>
              <w:rPr>
                <w:rFonts w:ascii="Arial" w:cs="Arial" w:eastAsia="Arial" w:hAnsi="Arial"/>
                <w:sz w:val="18"/>
                <w:szCs w:val="18"/>
                <w:color w:val="auto"/>
              </w:rPr>
              <w:t>Gain (Loss)</w:t>
            </w:r>
          </w:p>
        </w:tc>
        <w:tc>
          <w:tcPr>
            <w:tcW w:w="240" w:type="dxa"/>
            <w:vAlign w:val="bottom"/>
          </w:tcPr>
          <w:p>
            <w:pPr>
              <w:spacing w:after="0"/>
              <w:rPr>
                <w:sz w:val="18"/>
                <w:szCs w:val="18"/>
                <w:color w:val="auto"/>
              </w:rPr>
            </w:pPr>
          </w:p>
        </w:tc>
        <w:tc>
          <w:tcPr>
            <w:tcW w:w="160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Periods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40" w:type="dxa"/>
            <w:vAlign w:val="bottom"/>
            <w:gridSpan w:val="2"/>
          </w:tcPr>
          <w:p>
            <w:pPr>
              <w:ind w:left="1440"/>
              <w:spacing w:after="0"/>
              <w:rPr>
                <w:sz w:val="20"/>
                <w:szCs w:val="20"/>
                <w:color w:val="auto"/>
              </w:rPr>
            </w:pPr>
            <w:r>
              <w:rPr>
                <w:rFonts w:ascii="Arial" w:cs="Arial" w:eastAsia="Arial" w:hAnsi="Arial"/>
                <w:sz w:val="18"/>
                <w:szCs w:val="18"/>
                <w:color w:val="auto"/>
              </w:rPr>
              <w:t>Recognized</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in Income</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9"/>
                <w:szCs w:val="19"/>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Fair Value Hedges</w:t>
            </w:r>
          </w:p>
        </w:tc>
        <w:tc>
          <w:tcPr>
            <w:tcW w:w="1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73"/>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 - commercial</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02"/>
        </w:trPr>
        <w:tc>
          <w:tcPr>
            <w:tcW w:w="46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Pay-fixed interest rate swap agreement - securities available</w:t>
            </w:r>
          </w:p>
        </w:tc>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Interest on securities available for sale - tax -</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180" w:type="dxa"/>
            <w:vAlign w:val="bottom"/>
          </w:tcPr>
          <w:p>
            <w:pPr>
              <w:ind w:left="260"/>
              <w:spacing w:after="0"/>
              <w:rPr>
                <w:sz w:val="20"/>
                <w:szCs w:val="20"/>
                <w:color w:val="auto"/>
              </w:rPr>
            </w:pPr>
            <w:r>
              <w:rPr>
                <w:rFonts w:ascii="Arial" w:cs="Arial" w:eastAsia="Arial" w:hAnsi="Arial"/>
                <w:sz w:val="18"/>
                <w:szCs w:val="18"/>
                <w:color w:val="auto"/>
              </w:rPr>
              <w:t>for sale</w:t>
            </w:r>
          </w:p>
        </w:tc>
        <w:tc>
          <w:tcPr>
            <w:tcW w:w="150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exempt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(2,234)</w:t>
            </w:r>
          </w:p>
        </w:tc>
      </w:tr>
      <w:tr>
        <w:trPr>
          <w:trHeight w:val="257"/>
        </w:trPr>
        <w:tc>
          <w:tcPr>
            <w:tcW w:w="3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No hedge designation</w:t>
            </w:r>
          </w:p>
        </w:tc>
        <w:tc>
          <w:tcPr>
            <w:tcW w:w="1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Rate-lock mortgage loan commitments</w:t>
            </w:r>
          </w:p>
        </w:tc>
        <w:tc>
          <w:tcPr>
            <w:tcW w:w="15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(1,842)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4680" w:type="dxa"/>
            <w:vAlign w:val="bottom"/>
            <w:gridSpan w:val="2"/>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3840" w:type="dxa"/>
            <w:vAlign w:val="bottom"/>
            <w:gridSpan w:val="2"/>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tcPr>
          <w:p>
            <w:pPr>
              <w:spacing w:after="0"/>
              <w:rPr>
                <w:sz w:val="18"/>
                <w:szCs w:val="18"/>
                <w:color w:val="auto"/>
              </w:rPr>
            </w:pPr>
          </w:p>
        </w:tc>
        <w:tc>
          <w:tcPr>
            <w:tcW w:w="1180" w:type="dxa"/>
            <w:vAlign w:val="bottom"/>
            <w:gridSpan w:val="2"/>
          </w:tcPr>
          <w:p>
            <w:pPr>
              <w:jc w:val="right"/>
              <w:ind w:right="96"/>
              <w:spacing w:after="0"/>
              <w:rPr>
                <w:sz w:val="20"/>
                <w:szCs w:val="20"/>
                <w:color w:val="auto"/>
              </w:rPr>
            </w:pPr>
            <w:r>
              <w:rPr>
                <w:rFonts w:ascii="Arial" w:cs="Arial" w:eastAsia="Arial" w:hAnsi="Arial"/>
                <w:sz w:val="18"/>
                <w:szCs w:val="18"/>
                <w:color w:val="auto"/>
              </w:rPr>
              <w:t>(1,350)</w:t>
            </w: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(1,027)</w:t>
            </w: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Pay-fixed interest rate swap agreements -</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mortgage</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656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ind w:left="140"/>
              <w:spacing w:after="0"/>
              <w:rPr>
                <w:sz w:val="20"/>
                <w:szCs w:val="20"/>
                <w:color w:val="auto"/>
              </w:rPr>
            </w:pPr>
            <w:r>
              <w:rPr>
                <w:rFonts w:ascii="Arial" w:cs="Arial" w:eastAsia="Arial" w:hAnsi="Arial"/>
                <w:sz w:val="18"/>
                <w:szCs w:val="18"/>
                <w:color w:val="auto"/>
              </w:rPr>
              <w:t>Interest rate swaption agreement</w:t>
            </w:r>
          </w:p>
        </w:tc>
        <w:tc>
          <w:tcPr>
            <w:tcW w:w="15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Pay-fixed interest rate swap agreements -</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r>
      <w:tr>
        <w:trPr>
          <w:trHeight w:val="216"/>
        </w:trPr>
        <w:tc>
          <w:tcPr>
            <w:tcW w:w="4680" w:type="dxa"/>
            <w:vAlign w:val="bottom"/>
            <w:gridSpan w:val="2"/>
          </w:tcPr>
          <w:p>
            <w:pPr>
              <w:ind w:left="140"/>
              <w:spacing w:after="0"/>
              <w:rPr>
                <w:sz w:val="20"/>
                <w:szCs w:val="20"/>
                <w:color w:val="auto"/>
              </w:rPr>
            </w:pPr>
            <w:r>
              <w:rPr>
                <w:rFonts w:ascii="Arial" w:cs="Arial" w:eastAsia="Arial" w:hAnsi="Arial"/>
                <w:sz w:val="18"/>
                <w:szCs w:val="18"/>
                <w:color w:val="auto"/>
                <w:w w:val="99"/>
              </w:rPr>
              <w:t>Pay-variable interest rate swap agreements - commercial</w:t>
            </w:r>
          </w:p>
        </w:tc>
        <w:tc>
          <w:tcPr>
            <w:tcW w:w="3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80" w:type="dxa"/>
            <w:vAlign w:val="bottom"/>
            <w:gridSpan w:val="2"/>
          </w:tcPr>
          <w:p>
            <w:pPr>
              <w:jc w:val="right"/>
              <w:ind w:right="96"/>
              <w:spacing w:after="0"/>
              <w:rPr>
                <w:sz w:val="20"/>
                <w:szCs w:val="20"/>
                <w:color w:val="auto"/>
              </w:rPr>
            </w:pPr>
            <w:r>
              <w:rPr>
                <w:rFonts w:ascii="Arial" w:cs="Arial" w:eastAsia="Arial" w:hAnsi="Arial"/>
                <w:sz w:val="18"/>
                <w:szCs w:val="18"/>
                <w:color w:val="auto"/>
              </w:rPr>
              <w:t>(5,147)</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Pay-fixed interest rate swap agreements</w:t>
            </w:r>
          </w:p>
        </w:tc>
        <w:tc>
          <w:tcPr>
            <w:tcW w:w="15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3180" w:type="dxa"/>
            <w:vAlign w:val="bottom"/>
          </w:tcPr>
          <w:p>
            <w:pPr>
              <w:ind w:left="140"/>
              <w:spacing w:after="0"/>
              <w:rPr>
                <w:sz w:val="20"/>
                <w:szCs w:val="20"/>
                <w:color w:val="auto"/>
              </w:rPr>
            </w:pPr>
            <w:r>
              <w:rPr>
                <w:rFonts w:ascii="Arial" w:cs="Arial" w:eastAsia="Arial" w:hAnsi="Arial"/>
                <w:sz w:val="18"/>
                <w:szCs w:val="18"/>
                <w:color w:val="auto"/>
              </w:rPr>
              <w:t>Interest rate cap agreements</w:t>
            </w:r>
          </w:p>
        </w:tc>
        <w:tc>
          <w:tcPr>
            <w:tcW w:w="15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15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318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15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56"/>
        </w:trPr>
        <w:tc>
          <w:tcPr>
            <w:tcW w:w="3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Gain (Loss)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Recognized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2"/>
              </w:rPr>
              <w:t>in Income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93"/>
              </w:rPr>
              <w:t>Location of</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Six Month</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Gain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Periods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Recognized</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in Income</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73"/>
              </w:rPr>
              <w:t>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80" w:type="dxa"/>
            <w:vAlign w:val="bottom"/>
            <w:vMerge w:val="continue"/>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 - commercial</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loans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576</w:t>
            </w:r>
          </w:p>
        </w:tc>
        <w:tc>
          <w:tcPr>
            <w:tcW w:w="3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2"/>
        </w:trPr>
        <w:tc>
          <w:tcPr>
            <w:tcW w:w="4680" w:type="dxa"/>
            <w:vAlign w:val="bottom"/>
          </w:tcPr>
          <w:p>
            <w:pPr>
              <w:ind w:left="180"/>
              <w:spacing w:after="0" w:line="201" w:lineRule="exact"/>
              <w:rPr>
                <w:sz w:val="20"/>
                <w:szCs w:val="20"/>
                <w:color w:val="auto"/>
              </w:rPr>
            </w:pPr>
            <w:r>
              <w:rPr>
                <w:rFonts w:ascii="Arial" w:cs="Arial" w:eastAsia="Arial" w:hAnsi="Arial"/>
                <w:sz w:val="18"/>
                <w:szCs w:val="18"/>
                <w:color w:val="auto"/>
                <w:w w:val="93"/>
              </w:rPr>
              <w:t>Pay-fixed interest rate swap agreement - securities available</w:t>
            </w: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Interest on securities available for sale - tax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340"/>
              <w:spacing w:after="0"/>
              <w:rPr>
                <w:sz w:val="20"/>
                <w:szCs w:val="20"/>
                <w:color w:val="auto"/>
              </w:rPr>
            </w:pPr>
            <w:r>
              <w:rPr>
                <w:rFonts w:ascii="Arial" w:cs="Arial" w:eastAsia="Arial" w:hAnsi="Arial"/>
                <w:sz w:val="18"/>
                <w:szCs w:val="18"/>
                <w:color w:val="auto"/>
              </w:rPr>
              <w:t>for sale</w:t>
            </w:r>
          </w:p>
        </w:tc>
        <w:tc>
          <w:tcPr>
            <w:tcW w:w="3740" w:type="dxa"/>
            <w:vAlign w:val="bottom"/>
          </w:tcPr>
          <w:p>
            <w:pPr>
              <w:spacing w:after="0"/>
              <w:rPr>
                <w:sz w:val="20"/>
                <w:szCs w:val="20"/>
                <w:color w:val="auto"/>
              </w:rPr>
            </w:pPr>
            <w:r>
              <w:rPr>
                <w:rFonts w:ascii="Arial" w:cs="Arial" w:eastAsia="Arial" w:hAnsi="Arial"/>
                <w:sz w:val="18"/>
                <w:szCs w:val="18"/>
                <w:color w:val="auto"/>
              </w:rPr>
              <w:t>exempt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No hedge designation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(7,212)</w:t>
            </w:r>
          </w:p>
        </w:tc>
        <w:tc>
          <w:tcPr>
            <w:tcW w:w="3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3740" w:type="dxa"/>
            <w:vAlign w:val="bottom"/>
          </w:tcPr>
          <w:p>
            <w:pPr>
              <w:spacing w:after="0"/>
              <w:rPr>
                <w:sz w:val="20"/>
                <w:szCs w:val="20"/>
                <w:color w:val="auto"/>
              </w:rPr>
            </w:pPr>
            <w:r>
              <w:rPr>
                <w:rFonts w:ascii="Arial" w:cs="Arial" w:eastAsia="Arial" w:hAnsi="Arial"/>
                <w:sz w:val="18"/>
                <w:szCs w:val="18"/>
                <w:color w:val="auto"/>
              </w:rPr>
              <w:t>Net gains on mortgage loans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76"/>
              <w:spacing w:after="0"/>
              <w:rPr>
                <w:sz w:val="20"/>
                <w:szCs w:val="20"/>
                <w:color w:val="auto"/>
              </w:rPr>
            </w:pPr>
            <w:r>
              <w:rPr>
                <w:rFonts w:ascii="Arial" w:cs="Arial" w:eastAsia="Arial" w:hAnsi="Arial"/>
                <w:sz w:val="18"/>
                <w:szCs w:val="18"/>
                <w:color w:val="auto"/>
              </w:rPr>
              <w:t>624</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mortgage</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Interest rate swaption agreement</w:t>
            </w:r>
          </w:p>
        </w:tc>
        <w:tc>
          <w:tcPr>
            <w:tcW w:w="3740" w:type="dxa"/>
            <w:vAlign w:val="bottom"/>
          </w:tcPr>
          <w:p>
            <w:pPr>
              <w:spacing w:after="0"/>
              <w:rPr>
                <w:sz w:val="20"/>
                <w:szCs w:val="20"/>
                <w:color w:val="auto"/>
              </w:rPr>
            </w:pPr>
            <w:r>
              <w:rPr>
                <w:rFonts w:ascii="Arial" w:cs="Arial" w:eastAsia="Arial" w:hAnsi="Arial"/>
                <w:sz w:val="18"/>
                <w:szCs w:val="18"/>
                <w:color w:val="auto"/>
              </w:rPr>
              <w:t>Net gains on mortgage loans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16"/>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14,724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w w:val="98"/>
              </w:rPr>
              <w:t>Pay-variable interest rate swap agreements - commercial</w:t>
            </w:r>
          </w:p>
        </w:tc>
        <w:tc>
          <w:tcPr>
            <w:tcW w:w="37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16"/>
              <w:spacing w:after="0"/>
              <w:rPr>
                <w:sz w:val="20"/>
                <w:szCs w:val="20"/>
                <w:color w:val="auto"/>
              </w:rPr>
            </w:pPr>
            <w:r>
              <w:rPr>
                <w:rFonts w:ascii="Arial" w:cs="Arial" w:eastAsia="Arial" w:hAnsi="Arial"/>
                <w:sz w:val="18"/>
                <w:szCs w:val="18"/>
                <w:color w:val="auto"/>
              </w:rPr>
              <w:t>(14,724)</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Interest rate cap agreements</w:t>
            </w:r>
          </w:p>
        </w:tc>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76"/>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68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4680" w:type="dxa"/>
            <w:vAlign w:val="bottom"/>
          </w:tcPr>
          <w:p>
            <w:pPr>
              <w:spacing w:after="0"/>
              <w:rPr>
                <w:sz w:val="24"/>
                <w:szCs w:val="24"/>
                <w:color w:val="auto"/>
              </w:rPr>
            </w:pPr>
          </w:p>
        </w:tc>
        <w:tc>
          <w:tcPr>
            <w:tcW w:w="3740" w:type="dxa"/>
            <w:vAlign w:val="bottom"/>
          </w:tcPr>
          <w:p>
            <w:pPr>
              <w:ind w:left="88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8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color w:val="auto"/>
              </w:rPr>
              <w:t>7.  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980" w:type="dxa"/>
            <w:vAlign w:val="bottom"/>
            <w:gridSpan w:val="3"/>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8"/>
                <w:szCs w:val="18"/>
                <w:color w:val="auto"/>
              </w:rPr>
              <w:t>June 30, 2022</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 2021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7"/>
              </w:rPr>
              <w:t>Gross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r>
      <w:tr>
        <w:trPr>
          <w:trHeight w:val="237"/>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20"/>
                <w:szCs w:val="20"/>
                <w:color w:val="auto"/>
              </w:rPr>
            </w:pPr>
          </w:p>
        </w:tc>
      </w:tr>
      <w:tr>
        <w:trPr>
          <w:trHeight w:val="230"/>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11,916</w:t>
            </w: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8,580</w:t>
            </w:r>
          </w:p>
        </w:tc>
        <w:tc>
          <w:tcPr>
            <w:tcW w:w="100" w:type="dxa"/>
            <w:vAlign w:val="bottom"/>
            <w:shd w:val="clear" w:color="auto" w:fill="CCEEFF"/>
          </w:tcPr>
          <w:p>
            <w:pPr>
              <w:spacing w:after="0"/>
              <w:rPr>
                <w:sz w:val="20"/>
                <w:szCs w:val="20"/>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gridSpan w:val="3"/>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28,300</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60" w:type="dxa"/>
            <w:vAlign w:val="bottom"/>
            <w:gridSpan w:val="6"/>
          </w:tcPr>
          <w:p>
            <w:pPr>
              <w:spacing w:after="0"/>
              <w:rPr>
                <w:sz w:val="20"/>
                <w:szCs w:val="20"/>
                <w:color w:val="auto"/>
              </w:rPr>
            </w:pPr>
            <w:r>
              <w:rPr>
                <w:rFonts w:ascii="Arial" w:cs="Arial" w:eastAsia="Arial" w:hAnsi="Arial"/>
                <w:sz w:val="18"/>
                <w:szCs w:val="18"/>
                <w:color w:val="auto"/>
              </w:rPr>
              <w:t>A summary of estimated core deposits intangible amortization at June 30, 2022 follows: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(In thousands)</w:t>
            </w: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Six months ending December 31, 2022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2023</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2025</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2027 and thereafter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56"/>
        </w:trPr>
        <w:tc>
          <w:tcPr>
            <w:tcW w:w="5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June 30, 2022. The non-employee director stock purchase plan permits the issuance of additional share based payments for up to 0.1 million shares of common stock as of June 30, 2022. Share based awards and payments are measured at fair value at the date of grant and are expensed over the requisite service period. Common shares issued upon exercise of stock options come from currently authorized but unissued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performance stock units (“PSU”) granted pursuant to our long-term incentive plan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0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26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58,787</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85,584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PSU</w:t>
            </w:r>
          </w:p>
        </w:tc>
        <w:tc>
          <w:tcPr>
            <w:tcW w:w="26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19,748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23,981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20" w:type="dxa"/>
            <w:vAlign w:val="bottom"/>
            <w:vMerge w:val="restart"/>
          </w:tcPr>
          <w:p>
            <w:pPr>
              <w:jc w:val="right"/>
              <w:ind w:right="208"/>
              <w:spacing w:after="0"/>
              <w:rPr>
                <w:sz w:val="20"/>
                <w:szCs w:val="20"/>
                <w:color w:val="auto"/>
              </w:rPr>
            </w:pPr>
            <w:r>
              <w:rPr>
                <w:rFonts w:ascii="Arial" w:cs="Arial" w:eastAsia="Arial" w:hAnsi="Arial"/>
                <w:sz w:val="14"/>
                <w:szCs w:val="14"/>
                <w:color w:val="auto"/>
              </w:rPr>
              <w:t>37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3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3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six month periods ended June 30, 2022 and 2021 we issued 0.008 million and 0.009 million shares, respectively and expensed their value during those same periods.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$0.9 million during the three and six month periods ended June 30, 2022, respectively, and was $0.5 million and $0.8 million during the same periods in 2021, respectively. The corresponding tax benefit relating to this expense was $0.1 million and $0.2 million for the three and six month periods ended June 30, 2022, respectively and $0.1 million and $0.2 million for the same periods in 2021. Total expense recognized for non-employee director share based payments was $0.09 million and $0.19 million during the three and six month periods ended June 30, 2022, respectively, and was $0.09 million and $0.19 million during the same periods in 2021, respectively. The corresponding tax benefit relating to this expense was $0.02 million and $0.04 million for the three and six month periods ended June 30, 2022, respectively and $0.02 million and $0.04 million during the same periods in 2021.</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2022, the total expected compensation cost related to non-vested restricted stock and PSUs not yet recognized was $3.22 million. The weighted-average period over which this amount will be recognized is 2.1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Aggregated</w:t>
            </w: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7"/>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80,839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(21,632)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Outstanding at June 30, 2022</w:t>
            </w:r>
          </w:p>
        </w:tc>
        <w:tc>
          <w:tcPr>
            <w:tcW w:w="16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59,207</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Vested and expected to vest at June 30, 2022</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59,207</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2022</w:t>
            </w:r>
          </w:p>
        </w:tc>
        <w:tc>
          <w:tcPr>
            <w:tcW w:w="1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59,207</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46"/>
        </w:trPr>
        <w:tc>
          <w:tcPr>
            <w:tcW w:w="4380" w:type="dxa"/>
            <w:vAlign w:val="bottom"/>
          </w:tcPr>
          <w:p>
            <w:pPr>
              <w:spacing w:after="0"/>
              <w:rPr>
                <w:sz w:val="24"/>
                <w:szCs w:val="24"/>
                <w:color w:val="auto"/>
              </w:rPr>
            </w:pPr>
          </w:p>
        </w:tc>
        <w:tc>
          <w:tcPr>
            <w:tcW w:w="1600" w:type="dxa"/>
            <w:vAlign w:val="bottom"/>
          </w:tcPr>
          <w:p>
            <w:pPr>
              <w:jc w:val="right"/>
              <w:ind w:right="193"/>
              <w:spacing w:after="0"/>
              <w:rPr>
                <w:sz w:val="20"/>
                <w:szCs w:val="20"/>
                <w:color w:val="auto"/>
              </w:rPr>
            </w:pPr>
            <w:r>
              <w:rPr>
                <w:rFonts w:ascii="Arial" w:cs="Arial" w:eastAsia="Arial" w:hAnsi="Arial"/>
                <w:sz w:val="14"/>
                <w:szCs w:val="14"/>
                <w:color w:val="auto"/>
              </w:rPr>
              <w:t>38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234,226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78,535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w w:val="95"/>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Cash proceeds received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was $2.9 million and $2.7 million during the three month periods ended June 30, 2022 and 2021, respectively and $7.0 million and $7.8 million during the six months ended June 30, 2022 and 2021,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2022 include reductions of $0.02 million and $0.08 million, respectively, of income tax expense related to the impact of the excess value of stock awards that vested and stock options that were exercised as compared to the initial fair values that were expensed. These amounts during the same periods in 2021 were $0.07 million and $0.17 million, respectively.</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2022, June 30, 2021 and December 31, 2021 that the realization of substantially all of our deferred tax assets continues to be more likely than not.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both June 30, 2022 and December 31, 2021, we had approximately $0.2 million, respectively, of gross unrecognized tax benefits. We do not expect the total amount of unrecognized tax benefits to significantly increase or decrease during the remainder of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2022, the Bank had positive undivided profits of $116.5 million. It is not our intent to have dividends paid in amounts that would reduce the capital of our Bank to levels below those which we consider prudent or that would not be in accordance with guidelines of regulatory authorities.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June 30, 2022 and December 31, 2021, categorized our Bank as well capitalized. Management is not aware of any conditions or events that would have changed the most recent Federal Deposit Insurance Corporation (“FDIC”) categorization.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Our actual capital amounts and ratios follow (1):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color w:val="auto"/>
                <w:w w:val="98"/>
              </w:rPr>
              <w:t>Minimum for</w:t>
            </w:r>
          </w:p>
        </w:tc>
        <w:tc>
          <w:tcPr>
            <w:tcW w:w="180" w:type="dxa"/>
            <w:vAlign w:val="bottom"/>
          </w:tcPr>
          <w:p>
            <w:pPr>
              <w:spacing w:after="0"/>
              <w:rPr>
                <w:sz w:val="24"/>
                <w:szCs w:val="2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Adequately Capitalized</w:t>
            </w:r>
          </w:p>
        </w:tc>
        <w:tc>
          <w:tcPr>
            <w:tcW w:w="180" w:type="dxa"/>
            <w:vAlign w:val="bottom"/>
          </w:tcPr>
          <w:p>
            <w:pPr>
              <w:spacing w:after="0"/>
              <w:rPr>
                <w:sz w:val="18"/>
                <w:szCs w:val="18"/>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rPr>
              <w:t>Actual</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5"/>
              </w:rPr>
              <w:t>Institutions</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Institutions</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Amount</w:t>
            </w:r>
          </w:p>
        </w:tc>
        <w:tc>
          <w:tcPr>
            <w:tcW w:w="760" w:type="dxa"/>
            <w:vAlign w:val="bottom"/>
          </w:tcPr>
          <w:p>
            <w:pPr>
              <w:ind w:left="8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Amount</w:t>
            </w:r>
          </w:p>
        </w:tc>
        <w:tc>
          <w:tcPr>
            <w:tcW w:w="700" w:type="dxa"/>
            <w:vAlign w:val="bottom"/>
          </w:tcPr>
          <w:p>
            <w:pPr>
              <w:ind w:left="2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Amount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20" w:type="dxa"/>
            <w:vAlign w:val="bottom"/>
          </w:tcPr>
          <w:p>
            <w:pPr>
              <w:spacing w:after="0"/>
              <w:rPr>
                <w:sz w:val="20"/>
                <w:szCs w:val="20"/>
                <w:color w:val="auto"/>
              </w:rPr>
            </w:pPr>
            <w:r>
              <w:rPr>
                <w:rFonts w:ascii="Arial" w:cs="Arial" w:eastAsia="Arial" w:hAnsi="Arial"/>
                <w:sz w:val="18"/>
                <w:szCs w:val="18"/>
                <w:color w:val="auto"/>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508,950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298,424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456,878</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298,219</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372,774</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422,723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223,818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410,651</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223,664</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298,219</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w w:val="91"/>
              </w:rPr>
              <w:t>Common equity tier 1 capital to risk-weighted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384,321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167,864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410,651</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167,748</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4.50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242,303</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422,723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193,472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410,651</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193,575</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241,969</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December 31, 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488,495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14.53%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268,991</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268,808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336,011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406,645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201,743</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396,351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201,606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268,808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equity tier 1 capital to risk-weighted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368,277</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151,307</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396,351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151,205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218,407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406,645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185,034</w:t>
            </w:r>
          </w:p>
        </w:tc>
        <w:tc>
          <w:tcPr>
            <w:tcW w:w="2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396,351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185,077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231,347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1431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8" w:lineRule="exact"/>
        <w:rPr>
          <w:sz w:val="20"/>
          <w:szCs w:val="20"/>
          <w:color w:val="auto"/>
        </w:rPr>
      </w:pPr>
    </w:p>
    <w:p>
      <w:pPr>
        <w:ind w:right="3200" w:firstLine="8"/>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ratios do not reflect a capital conservation buffer of 2.50% at June 30, 2022 and December 31, 2021. NA - Not applicable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8"/>
                <w:szCs w:val="18"/>
                <w:color w:val="auto"/>
              </w:rPr>
              <w:t>Independent Bank</w:t>
            </w:r>
          </w:p>
        </w:tc>
      </w:tr>
      <w:tr>
        <w:trPr>
          <w:trHeight w:val="202"/>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w w:val="95"/>
              </w:rPr>
              <w:t>June 30,</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95"/>
              </w:rPr>
              <w:t>June 30,</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331,134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426,558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 (deduct)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Accumulated other comprehensive income (loss) for regulatory purposes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79,206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(31,171)</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(31,636)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(31,171)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(31,636)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CECL (1)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7,727</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384,321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368,277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410,651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396,351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38,402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60"/>
              <w:spacing w:after="0"/>
              <w:rPr>
                <w:sz w:val="20"/>
                <w:szCs w:val="20"/>
                <w:color w:val="auto"/>
              </w:rPr>
            </w:pPr>
            <w:r>
              <w:rPr>
                <w:rFonts w:ascii="Arial" w:cs="Arial" w:eastAsia="Arial" w:hAnsi="Arial"/>
                <w:sz w:val="18"/>
                <w:szCs w:val="18"/>
                <w:color w:val="auto"/>
              </w:rPr>
              <w:t>Tier 1 capital</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422,723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406,645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410,651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396,351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Allowance for credit losses and allowance for unfunded lending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80" w:type="dxa"/>
            <w:vAlign w:val="bottom"/>
          </w:tcPr>
          <w:p>
            <w:pPr>
              <w:ind w:left="460"/>
              <w:spacing w:after="0"/>
              <w:rPr>
                <w:sz w:val="20"/>
                <w:szCs w:val="20"/>
                <w:color w:val="auto"/>
              </w:rPr>
            </w:pPr>
            <w:r>
              <w:rPr>
                <w:rFonts w:ascii="Arial" w:cs="Arial" w:eastAsia="Arial" w:hAnsi="Arial"/>
                <w:sz w:val="18"/>
                <w:szCs w:val="18"/>
                <w:color w:val="auto"/>
              </w:rPr>
              <w:t>commitments limited to 1.25% of total risk-weighted assets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46,227</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41,850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42,001</w:t>
            </w:r>
          </w:p>
        </w:tc>
      </w:tr>
      <w:tr>
        <w:trPr>
          <w:trHeight w:val="257"/>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risk-based capital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508,950</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488,495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elected the three year CECL transition method for regulatory purposes.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w:t>
      </w:r>
    </w:p>
    <w:p>
      <w:pPr>
        <w:spacing w:after="0" w:line="1" w:lineRule="exact"/>
        <w:rPr>
          <w:sz w:val="20"/>
          <w:szCs w:val="20"/>
          <w:color w:val="auto"/>
        </w:rPr>
      </w:pPr>
    </w:p>
    <w:p>
      <w:pPr>
        <w:jc w:val="both"/>
        <w:ind w:firstLine="8"/>
        <w:spacing w:after="0" w:line="302"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The fair value of mortgage loans held for sale, carried at fair value is based on agency cash window loan pricing for comparable assets (recurring Level 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Collateral dependent loans with specific loss allocations based on collateral value</w:t>
      </w:r>
      <w:r>
        <w:rPr>
          <w:rFonts w:ascii="Arial" w:cs="Arial" w:eastAsia="Arial" w:hAnsi="Arial"/>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Other real estate</w:t>
      </w:r>
      <w:r>
        <w:rPr>
          <w:rFonts w:ascii="Arial" w:cs="Arial" w:eastAsia="Arial" w:hAnsi="Arial"/>
          <w:sz w:val="17"/>
          <w:szCs w:val="17"/>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ments</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13,991</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100,689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100,689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15,591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15,591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99,839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99,839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234,235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234,235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312,915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312,915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81,009</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81,009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31,400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31,400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39,477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39,477</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Derivatives (1)</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27,417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27,417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Derivatives (2)</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14,997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14,997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Collateral dependent loans (3)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980" w:type="dxa"/>
            <w:vAlign w:val="bottom"/>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includes individually evaluated loans with specific loss allocations based on collateral value.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ments</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vMerge w:val="restart"/>
          </w:tcPr>
          <w:p>
            <w:pPr>
              <w:spacing w:after="0"/>
              <w:rPr>
                <w:sz w:val="20"/>
                <w:szCs w:val="20"/>
                <w:color w:val="auto"/>
              </w:rPr>
            </w:pPr>
            <w:r>
              <w:rPr>
                <w:rFonts w:ascii="Arial" w:cs="Arial" w:eastAsia="Arial" w:hAnsi="Arial"/>
                <w:sz w:val="18"/>
                <w:szCs w:val="18"/>
                <w:color w:val="auto"/>
              </w:rPr>
              <w:t>December 31, 2021:</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34,674</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307,985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307,985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22,926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22,926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102,615</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102,615</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216,170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216,170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576,076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576,076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149,959</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149,959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1,919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1,919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55,470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55,470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26,232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26,232</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12,283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12,283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5,961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5,961</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Collateral dependent loans (3)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8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860" w:type="dxa"/>
            <w:vAlign w:val="bottom"/>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854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7"/>
          </w:tcPr>
          <w:p>
            <w:pPr>
              <w:jc w:val="center"/>
              <w:ind w:right="260"/>
              <w:spacing w:after="0"/>
              <w:rPr>
                <w:sz w:val="20"/>
                <w:szCs w:val="20"/>
                <w:color w:val="auto"/>
              </w:rPr>
            </w:pPr>
            <w:r>
              <w:rPr>
                <w:rFonts w:ascii="Arial" w:cs="Arial" w:eastAsia="Arial" w:hAnsi="Arial"/>
                <w:sz w:val="18"/>
                <w:szCs w:val="18"/>
                <w:color w:val="auto"/>
                <w:w w:val="90"/>
              </w:rPr>
              <w:t>Changes in Fair Values for the Six-</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7"/>
          </w:tcPr>
          <w:p>
            <w:pPr>
              <w:jc w:val="center"/>
              <w:ind w:right="260"/>
              <w:spacing w:after="0"/>
              <w:rPr>
                <w:sz w:val="20"/>
                <w:szCs w:val="20"/>
                <w:color w:val="auto"/>
              </w:rPr>
            </w:pPr>
            <w:r>
              <w:rPr>
                <w:rFonts w:ascii="Arial" w:cs="Arial" w:eastAsia="Arial" w:hAnsi="Arial"/>
                <w:sz w:val="18"/>
                <w:szCs w:val="18"/>
                <w:color w:val="auto"/>
                <w:w w:val="90"/>
              </w:rPr>
              <w:t>Month Periods Ended June 30 for</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7"/>
          </w:tcPr>
          <w:p>
            <w:pPr>
              <w:jc w:val="center"/>
              <w:ind w:right="260"/>
              <w:spacing w:after="0"/>
              <w:rPr>
                <w:sz w:val="20"/>
                <w:szCs w:val="20"/>
                <w:color w:val="auto"/>
              </w:rPr>
            </w:pPr>
            <w:r>
              <w:rPr>
                <w:rFonts w:ascii="Arial" w:cs="Arial" w:eastAsia="Arial" w:hAnsi="Arial"/>
                <w:sz w:val="18"/>
                <w:szCs w:val="18"/>
                <w:color w:val="auto"/>
                <w:w w:val="89"/>
              </w:rPr>
              <w:t>items Measured at Fair Value Pursuant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7"/>
          </w:tcPr>
          <w:p>
            <w:pPr>
              <w:jc w:val="center"/>
              <w:ind w:right="260"/>
              <w:spacing w:after="0"/>
              <w:rPr>
                <w:sz w:val="20"/>
                <w:szCs w:val="20"/>
                <w:color w:val="auto"/>
              </w:rPr>
            </w:pPr>
            <w:r>
              <w:rPr>
                <w:rFonts w:ascii="Arial" w:cs="Arial" w:eastAsia="Arial" w:hAnsi="Arial"/>
                <w:sz w:val="18"/>
                <w:szCs w:val="18"/>
                <w:color w:val="auto"/>
                <w:w w:val="92"/>
              </w:rPr>
              <w:t>to Election of the Fair Value Option</w:t>
            </w: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2"/>
              </w:rPr>
              <w:t>Net Gains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Assets</w:t>
            </w:r>
          </w:p>
        </w:tc>
        <w:tc>
          <w:tcPr>
            <w:tcW w:w="220" w:type="dxa"/>
            <w:vAlign w:val="bottom"/>
          </w:tcPr>
          <w:p>
            <w:pPr>
              <w:spacing w:after="0"/>
              <w:rPr>
                <w:sz w:val="20"/>
                <w:szCs w:val="20"/>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92"/>
              </w:rPr>
              <w:t>Mortgage</w:t>
            </w:r>
          </w:p>
        </w:tc>
        <w:tc>
          <w:tcPr>
            <w:tcW w:w="2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 Current</w:t>
            </w: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2"/>
              </w:rPr>
              <w:t>Mortgage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9"/>
              </w:rPr>
              <w:t>Loan</w:t>
            </w:r>
          </w:p>
        </w:tc>
        <w:tc>
          <w:tcPr>
            <w:tcW w:w="220" w:type="dxa"/>
            <w:vAlign w:val="bottom"/>
          </w:tcPr>
          <w:p>
            <w:pPr>
              <w:spacing w:after="0"/>
              <w:rPr>
                <w:sz w:val="17"/>
                <w:szCs w:val="17"/>
                <w:color w:val="auto"/>
              </w:rPr>
            </w:pPr>
          </w:p>
        </w:tc>
        <w:tc>
          <w:tcPr>
            <w:tcW w:w="10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Loans</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30"/>
        </w:trPr>
        <w:tc>
          <w:tcPr>
            <w:tcW w:w="732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8"/>
              </w:rPr>
              <w:t>(In thousands)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9,596</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represent impairment charges recognized during the three and six month periods ended June 30, 2022 and 2021 relating to assets measured at fair value on a non-recurring basis:</w:t>
      </w:r>
    </w:p>
    <w:p>
      <w:pPr>
        <w:spacing w:after="0" w:line="1" w:lineRule="exact"/>
        <w:rPr>
          <w:sz w:val="20"/>
          <w:szCs w:val="20"/>
          <w:color w:val="auto"/>
        </w:rPr>
      </w:pPr>
    </w:p>
    <w:p>
      <w:pPr>
        <w:jc w:val="both"/>
        <w:ind w:lef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Loans that are individually evaluated using the fair value of collateral for collateral dependent loans had a carrying amount of $1.0 million, which is net of a valuation allowance of $0.4 million at June 30, 2022, and had a carrying amount of $1.4 million, which is net of a valuation allowance of $0.6 million at December 31, 2021. The provision for credit losses included in our results of operations relating to collateral dependent loans was a net expense of $0.1 million and $0.1 million for the three month periods ending June 30, 2022 and 2021, respectively, and a net expense of $0.2 million and $0.1 million for the six month periods ending June 30, 2022 and 2021, respectively.</w:t>
      </w:r>
    </w:p>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zero which is net of a valuation allowance of $0.03 million at June 30, 2022, and a carrying amount of zero which is net of a valuation allowance of $0.03 million, at December 31, 2021. Charges included in our results of operations relating to other real estate measured at fair value were all zero during the three and six month periods ended June 30, 2022 and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measured at fair value on a recurring basis using significant unobservable inputs (Level 3)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color w:val="auto"/>
              </w:rPr>
              <w:t>Capitalized Mortgage Loan Servicing Rights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700"/>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470"/>
              <w:spacing w:after="0" w:line="201"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35,933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26,232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Total gains (losses) realized and 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9,596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Included in other comprehensive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issuances, settlements, maturities and calls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3,649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Transfers in and/or out of Level 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Amount of total gains (losses) for the period included in earnings attributable 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the change in unrealized gains (losses) relating to assets and liabilities still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at June 30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9,596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Asset</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Fair</w:t>
            </w:r>
          </w:p>
        </w:tc>
        <w:tc>
          <w:tcPr>
            <w:tcW w:w="1660" w:type="dxa"/>
            <w:vAlign w:val="bottom"/>
          </w:tcPr>
          <w:p>
            <w:pPr>
              <w:ind w:left="660"/>
              <w:spacing w:after="0"/>
              <w:rPr>
                <w:sz w:val="20"/>
                <w:szCs w:val="20"/>
                <w:color w:val="auto"/>
              </w:rPr>
            </w:pPr>
            <w:r>
              <w:rPr>
                <w:rFonts w:ascii="Arial" w:cs="Arial" w:eastAsia="Arial" w:hAnsi="Arial"/>
                <w:sz w:val="18"/>
                <w:szCs w:val="18"/>
                <w:color w:val="auto"/>
              </w:rPr>
              <w:t>Valuation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Value</w:t>
            </w:r>
          </w:p>
        </w:tc>
        <w:tc>
          <w:tcPr>
            <w:tcW w:w="1660" w:type="dxa"/>
            <w:vAlign w:val="bottom"/>
          </w:tcPr>
          <w:p>
            <w:pPr>
              <w:ind w:left="640"/>
              <w:spacing w:after="0"/>
              <w:rPr>
                <w:sz w:val="20"/>
                <w:szCs w:val="20"/>
                <w:color w:val="auto"/>
              </w:rPr>
            </w:pPr>
            <w:r>
              <w:rPr>
                <w:rFonts w:ascii="Arial" w:cs="Arial" w:eastAsia="Arial" w:hAnsi="Arial"/>
                <w:sz w:val="18"/>
                <w:szCs w:val="18"/>
                <w:color w:val="auto"/>
              </w:rPr>
              <w:t>Technique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Range</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Present value of net</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servicing rights</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39,477</w:t>
            </w: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servicing revenue</w:t>
            </w:r>
          </w:p>
        </w:tc>
        <w:tc>
          <w:tcPr>
            <w:tcW w:w="3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 to 14.11%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Cost to service</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67 to $194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Ancillary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Prepayment rate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 to 31.92%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December 31, 2021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Present value of net</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servicing rights</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26,232</w:t>
            </w: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servicing revenue</w:t>
            </w:r>
          </w:p>
        </w:tc>
        <w:tc>
          <w:tcPr>
            <w:tcW w:w="3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 to 13.00%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Cost to service</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67 to $281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Ancillary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Prepayment rate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 to 44.21%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568"/>
        </w:trPr>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4"/>
                <w:szCs w:val="14"/>
                <w:color w:val="auto"/>
              </w:rPr>
              <w:t>48</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Asset</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Fair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220" w:type="dxa"/>
            <w:vAlign w:val="bottom"/>
          </w:tcPr>
          <w:p>
            <w:pPr>
              <w:spacing w:after="0"/>
              <w:rPr>
                <w:sz w:val="18"/>
                <w:szCs w:val="18"/>
                <w:color w:val="auto"/>
              </w:rPr>
            </w:pPr>
          </w:p>
        </w:tc>
        <w:tc>
          <w:tcPr>
            <w:tcW w:w="2000" w:type="dxa"/>
            <w:vAlign w:val="bottom"/>
          </w:tcPr>
          <w:p>
            <w:pPr>
              <w:ind w:left="500"/>
              <w:spacing w:after="0"/>
              <w:rPr>
                <w:sz w:val="20"/>
                <w:szCs w:val="20"/>
                <w:color w:val="auto"/>
              </w:rPr>
            </w:pPr>
            <w:r>
              <w:rPr>
                <w:rFonts w:ascii="Arial" w:cs="Arial" w:eastAsia="Arial" w:hAnsi="Arial"/>
                <w:sz w:val="18"/>
                <w:szCs w:val="18"/>
                <w:color w:val="auto"/>
              </w:rPr>
              <w:t>Unobservable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220" w:type="dxa"/>
            <w:vAlign w:val="bottom"/>
          </w:tcPr>
          <w:p>
            <w:pPr>
              <w:spacing w:after="0"/>
              <w:rPr>
                <w:sz w:val="20"/>
                <w:szCs w:val="20"/>
                <w:color w:val="auto"/>
              </w:rPr>
            </w:pPr>
          </w:p>
        </w:tc>
        <w:tc>
          <w:tcPr>
            <w:tcW w:w="2000" w:type="dxa"/>
            <w:vAlign w:val="bottom"/>
          </w:tcPr>
          <w:p>
            <w:pPr>
              <w:ind w:left="78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20"/>
                <w:szCs w:val="20"/>
                <w:color w:val="auto"/>
              </w:rPr>
            </w:pPr>
          </w:p>
        </w:tc>
        <w:tc>
          <w:tcPr>
            <w:tcW w:w="1740" w:type="dxa"/>
            <w:vAlign w:val="bottom"/>
            <w:gridSpan w:val="2"/>
          </w:tcPr>
          <w:p>
            <w:pPr>
              <w:ind w:left="500"/>
              <w:spacing w:after="0"/>
              <w:rPr>
                <w:sz w:val="20"/>
                <w:szCs w:val="20"/>
                <w:color w:val="auto"/>
              </w:rPr>
            </w:pPr>
            <w:r>
              <w:rPr>
                <w:rFonts w:ascii="Arial" w:cs="Arial" w:eastAsia="Arial" w:hAnsi="Arial"/>
                <w:sz w:val="18"/>
                <w:szCs w:val="18"/>
                <w:color w:val="auto"/>
              </w:rPr>
              <w:t>Range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46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Collateral dependent loans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Adjustment for differences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comparable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Sales comparison approach</w:t>
            </w: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(12.5)% to 12.0%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4"/>
              </w:rPr>
              <w:t>Adjustment for differences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340"/>
              <w:spacing w:after="0"/>
              <w:rPr>
                <w:sz w:val="20"/>
                <w:szCs w:val="20"/>
                <w:color w:val="auto"/>
              </w:rPr>
            </w:pPr>
            <w:r>
              <w:rPr>
                <w:rFonts w:ascii="Arial" w:cs="Arial" w:eastAsia="Arial" w:hAnsi="Arial"/>
                <w:sz w:val="18"/>
                <w:szCs w:val="18"/>
                <w:color w:val="auto"/>
              </w:rPr>
              <w:t>Mortgage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between comparable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460"/>
              <w:spacing w:after="0"/>
              <w:rPr>
                <w:sz w:val="20"/>
                <w:szCs w:val="20"/>
                <w:color w:val="auto"/>
              </w:rPr>
            </w:pPr>
            <w:r>
              <w:rPr>
                <w:rFonts w:ascii="Arial" w:cs="Arial" w:eastAsia="Arial" w:hAnsi="Arial"/>
                <w:sz w:val="18"/>
                <w:szCs w:val="18"/>
                <w:color w:val="auto"/>
              </w:rPr>
              <w:t>Installment(1)</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Sales comparison approach</w:t>
            </w:r>
          </w:p>
        </w:tc>
        <w:tc>
          <w:tcPr>
            <w:tcW w:w="220" w:type="dxa"/>
            <w:vAlign w:val="bottom"/>
          </w:tcPr>
          <w:p>
            <w:pPr>
              <w:spacing w:after="0"/>
              <w:rPr>
                <w:sz w:val="20"/>
                <w:szCs w:val="20"/>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(25.5) to 20.5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December 31, 2021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Collateral dependent loans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4"/>
              </w:rPr>
              <w:t>Adjustment for differences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between comparable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Sales comparison approach</w:t>
            </w:r>
          </w:p>
        </w:tc>
        <w:tc>
          <w:tcPr>
            <w:tcW w:w="220" w:type="dxa"/>
            <w:vAlign w:val="bottom"/>
          </w:tcPr>
          <w:p>
            <w:pPr>
              <w:spacing w:after="0"/>
              <w:rPr>
                <w:sz w:val="20"/>
                <w:szCs w:val="20"/>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74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(12.5)% to 12.0%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Adjustment for differences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comparable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Installment(1)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Sales comparison approach</w:t>
            </w: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(30.1) to 29.3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June 30, 2022 and December 31, 2021 certain collateral dependent installment loans totaling approximately $0.20 million and $0.17 million, respectively, are secured by collateral other than real estate. For the majority of these loans, we apply internal discount rates to industry valuation guides.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Difference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356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2022</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32,155</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December 31, 2021</w:t>
            </w: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55,470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54,419</w:t>
            </w:r>
          </w:p>
        </w:tc>
        <w:tc>
          <w:tcPr>
            <w:tcW w:w="0" w:type="dxa"/>
            <w:vAlign w:val="bottom"/>
          </w:tcPr>
          <w:p>
            <w:pPr>
              <w:spacing w:after="0"/>
              <w:rPr>
                <w:sz w:val="1"/>
                <w:szCs w:val="1"/>
                <w:color w:val="auto"/>
              </w:rPr>
            </w:pPr>
          </w:p>
        </w:tc>
      </w:tr>
      <w:tr>
        <w:trPr>
          <w:trHeight w:val="554"/>
        </w:trPr>
        <w:tc>
          <w:tcPr>
            <w:tcW w:w="3560" w:type="dxa"/>
            <w:vAlign w:val="bottom"/>
          </w:tcPr>
          <w:p>
            <w:pPr>
              <w:spacing w:after="0"/>
              <w:rPr>
                <w:sz w:val="24"/>
                <w:szCs w:val="24"/>
                <w:color w:val="auto"/>
              </w:rPr>
            </w:pPr>
          </w:p>
        </w:tc>
        <w:tc>
          <w:tcPr>
            <w:tcW w:w="3760" w:type="dxa"/>
            <w:vAlign w:val="bottom"/>
          </w:tcPr>
          <w:p>
            <w:pPr>
              <w:jc w:val="right"/>
              <w:ind w:right="1539"/>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6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4"/>
              </w:rPr>
              <w:t>The estimated recorded book balances and fair values follow:</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Fair Value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Quoted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Book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2,970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859,704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859,704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Securities held to maturity</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381,608</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359,701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359,701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and Federal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Reserve Bank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17,653</w:t>
            </w: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3,242,367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2,991,614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2,960,214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13,923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13,923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Deposits with no stated maturity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3,904,324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3,904,324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3,904,324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stated maturity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386,250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381,095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381,095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25,507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25,506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25,506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39,626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38,034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38,034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14,997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14,997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14,997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2021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51,069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51,069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51,069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1,412,830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1,412,830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1,412,830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and Federal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Reserve Bank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18,427</w:t>
            </w: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2,948,074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2,931,079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2,840,376</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12,865</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12,865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Deposits with no stated maturity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3,781,298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3,781,298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3,781,298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stated maturity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336,006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336,006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30,009</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30,155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39,592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33,866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33,866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5,961</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5,961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$585.376 million and $562.210 million at June 30, 2022 and December 31, 2021, respectively. Deposits with a stated maturity include reciprocal deposits with a recorded book balance of $29.828 million and $24.416 million at June 30, 2022 and December 31, 2021, respectively.</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7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Pandemic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has created and may continue to create and contribute to significant economic uncertainty and market disruptions. Throughout 2020 and 2021, the volatility created by the pandemic and responses to the pandemic impacted our performance, customers, and the markets we serve. These effects continued to decline into the second quarter of 2022, but there remains a great deal of uncertainty with respect to whether and the degree to which they will have an impact on future conditions and performance.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uncertainty, it is difficult to predict the extent to which the pandemic may continue to adversely impact our business, results of operations, financial condition, and customers. The potential impacts may include, but are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encountered by our business customers in addressing the effects of the pandemic may cause increases in loan delinquencies, foreclosures and defaults;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Given the ongoing uncertainty with respect to the pandemic, these risk factors may continue to some degree for an unknown period of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Economic uncertainty also arises as a result of pressures from rising energy prices, heightened inflation, and concerns over the Russia-Ukraine war. Inflation remains elevated, reflecting supply and demand imbalances related to, among other pressures, the pandemic and higher energy prices, and it exceeded an annual rate of 8.0% in the second quarter of 2022, well above the Federal Reserve Board’s target inflation rate. In June 2022, the Federal Reserve Board also increased short-term interest rates by 75 basis points and indicated that ongoing increases will continue to occur in 2022 in order to combat inflation. Further, the Russia-Ukraine war and related events are likely to create additional pressure on inflation and economic activity. The resulting responses by the U.S. and other countries (including the imposition of economic sanctions), and the potential for wider conflict has increased volatility and uncertainty in global financial markets, and could result in significant market disruptions, including in our customers’ industries or sectors.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impacts on global economic conditions caused by higher inflation, rising energy prices, the Russia-Ukraine war, and the COVID-19 pandemic have created significant uncertainty about the future economic environment, which will continue to evolve and may continue to impact our business and results in 2022 and in future periods.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loans, capitalized mortgage loan servicing rights or deferred tax assets.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consumer-driven industries (including restaurants, hotels, retail, fitness, and other industries) have experienced increased stress and have been more adversely impacted by the COVID-19 pandemic and related consumer trends, labor shortages and supply chain disruptions. We believe that the following concentrations within our commercial loan portfolio represent higher potential risk in the current economic environment. The balances below are as of 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4420" w:type="dxa"/>
            <w:vAlign w:val="bottom"/>
            <w:vMerge w:val="restart"/>
          </w:tcPr>
          <w:p>
            <w:pPr>
              <w:spacing w:after="0"/>
              <w:rPr>
                <w:sz w:val="20"/>
                <w:szCs w:val="20"/>
                <w:color w:val="auto"/>
              </w:rPr>
            </w:pPr>
            <w:r>
              <w:rPr>
                <w:rFonts w:ascii="Arial" w:cs="Arial" w:eastAsia="Arial" w:hAnsi="Arial"/>
                <w:sz w:val="18"/>
                <w:szCs w:val="18"/>
                <w:color w:val="auto"/>
              </w:rPr>
              <w:t>Commercial and industrial portfolio segment:</w:t>
            </w:r>
          </w:p>
        </w:tc>
        <w:tc>
          <w:tcPr>
            <w:tcW w:w="4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20" w:type="dxa"/>
            <w:vAlign w:val="bottom"/>
          </w:tcPr>
          <w:p>
            <w:pPr>
              <w:spacing w:after="0"/>
              <w:rPr>
                <w:sz w:val="20"/>
                <w:szCs w:val="20"/>
                <w:color w:val="auto"/>
              </w:rPr>
            </w:pPr>
            <w:r>
              <w:rPr>
                <w:rFonts w:ascii="Arial" w:cs="Arial" w:eastAsia="Arial" w:hAnsi="Arial"/>
                <w:sz w:val="18"/>
                <w:szCs w:val="18"/>
                <w:color w:val="auto"/>
              </w:rPr>
              <w:t>in</w:t>
            </w: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0"/>
              </w:rPr>
              <w:t>millions)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2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4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Hotel</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Food service</w:t>
            </w:r>
          </w:p>
        </w:tc>
        <w:tc>
          <w:tcPr>
            <w:tcW w:w="4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159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Commercial real estate portfolio segment:</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Office</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74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4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241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Total</w:t>
            </w:r>
          </w:p>
        </w:tc>
        <w:tc>
          <w:tcPr>
            <w:tcW w:w="4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4220" w:type="dxa"/>
            <w:vAlign w:val="bottom"/>
            <w:vMerge w:val="restart"/>
          </w:tcPr>
          <w:p>
            <w:pPr>
              <w:jc w:val="right"/>
              <w:ind w:right="2856"/>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2022, we had no commercial loans in forbearance. We continue to closely monitor and analyze the higher risk segments within our portfolio, and senior management is cautiously optimistic that the Company is positioned to continue managing the impact of the varied set of risks and uncertainties currently impacting the global economy. However, a high degree of uncertainty still exists with respect to the impact of the fluid global economic conditions on the future performance of our loan portfolio, including these higher risk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1.6059 Class A shares for every 1 Class B share and the closing price of VISA Class A shares on July 18, 2022 of $207.21 per share, our 12,566 Class B shares would have a current “value” of approximately $4.2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right="6360" w:firstLine="8"/>
        <w:spacing w:after="0" w:line="500"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 xml:space="preserve">Accumulated Other Comprehensive Income (Loss) (“AOCIL”) </w:t>
      </w:r>
      <w:r>
        <w:rPr>
          <w:rFonts w:ascii="Arial" w:cs="Arial" w:eastAsia="Arial" w:hAnsi="Arial"/>
          <w:sz w:val="18"/>
          <w:szCs w:val="18"/>
          <w:color w:val="auto"/>
        </w:rPr>
        <w:t>A summary of changes in AOCIL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Dispropor-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on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tionate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Tax Effects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(Losses) on</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Transferred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to 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AFS</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HTM (1)</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AFS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For the three months ended June 30, 2022</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(54,414)</w:t>
            </w:r>
          </w:p>
        </w:tc>
        <w:tc>
          <w:tcPr>
            <w:tcW w:w="0" w:type="dxa"/>
            <w:vAlign w:val="bottom"/>
          </w:tcPr>
          <w:p>
            <w:pPr>
              <w:spacing w:after="0"/>
              <w:rPr>
                <w:sz w:val="1"/>
                <w:szCs w:val="1"/>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(19,870)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ind w:left="66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(19,870)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(30,589)</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10,136</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14,214</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 the six months ended June 30, 2022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(65,417)</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(19,870)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(85,287)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ind w:left="66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(65,634)</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(19,870)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(85,504)</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15,822</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14,214</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remaining unrealized loss to be accreted on securities that were transferred from AFS to HTM on April 1,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AFS.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three months ended June 30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From</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AOCIL Component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AOCIL</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vMerge w:val="restart"/>
          </w:tcPr>
          <w:p>
            <w:pPr>
              <w:jc w:val="right"/>
              <w:ind w:right="4510"/>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jc w:val="right"/>
              <w:ind w:right="670"/>
              <w:spacing w:after="0"/>
              <w:rPr>
                <w:sz w:val="20"/>
                <w:szCs w:val="20"/>
                <w:color w:val="auto"/>
              </w:rPr>
            </w:pPr>
            <w:r>
              <w:rPr>
                <w:rFonts w:ascii="Arial" w:cs="Arial" w:eastAsia="Arial" w:hAnsi="Arial"/>
                <w:sz w:val="18"/>
                <w:szCs w:val="18"/>
                <w:color w:val="auto"/>
                <w:w w:val="93"/>
              </w:rPr>
              <w:t>Unrealized gains (losses) on securities available for sale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60" w:hanging="776"/>
        <w:spacing w:after="0"/>
        <w:tabs>
          <w:tab w:leader="none" w:pos="5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(345) Net gains (losses) on securities available for sale</w:t>
      </w:r>
    </w:p>
    <w:p>
      <w:pPr>
        <w:spacing w:after="0" w:line="9" w:lineRule="exact"/>
        <w:rPr>
          <w:rFonts w:ascii="Arial" w:cs="Arial" w:eastAsia="Arial" w:hAnsi="Arial"/>
          <w:sz w:val="18"/>
          <w:szCs w:val="18"/>
          <w:color w:val="auto"/>
        </w:rPr>
      </w:pPr>
    </w:p>
    <w:p>
      <w:pPr>
        <w:ind w:left="6340" w:hanging="389"/>
        <w:spacing w:after="0"/>
        <w:tabs>
          <w:tab w:leader="none" w:pos="6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029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5080"/>
        <w:spacing w:after="0"/>
        <w:tabs>
          <w:tab w:leader="none" w:pos="5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140" w:right="1400" w:hanging="1056"/>
        <w:spacing w:after="0" w:line="257" w:lineRule="auto"/>
        <w:tabs>
          <w:tab w:leader="none" w:pos="6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Net gains (losses) on securities available for sale -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-6350</wp:posOffset>
            </wp:positionV>
            <wp:extent cx="7029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ind w:left="6140" w:hanging="1056"/>
        <w:spacing w:after="0"/>
        <w:tabs>
          <w:tab w:leader="none" w:pos="6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six months ended June 30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From</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rPr>
              <w:t>AOCIL Component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AOCIL</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vMerge w:val="restart"/>
          </w:tcPr>
          <w:p>
            <w:pPr>
              <w:jc w:val="right"/>
              <w:ind w:right="4510"/>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jc w:val="right"/>
              <w:ind w:right="670"/>
              <w:spacing w:after="0"/>
              <w:rPr>
                <w:sz w:val="20"/>
                <w:szCs w:val="20"/>
                <w:color w:val="auto"/>
              </w:rPr>
            </w:pPr>
            <w:r>
              <w:rPr>
                <w:rFonts w:ascii="Arial" w:cs="Arial" w:eastAsia="Arial" w:hAnsi="Arial"/>
                <w:sz w:val="18"/>
                <w:szCs w:val="18"/>
                <w:color w:val="auto"/>
                <w:w w:val="93"/>
              </w:rPr>
              <w:t>Unrealized gains (losses) on securities available for sale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60" w:hanging="776"/>
        <w:spacing w:after="0"/>
        <w:tabs>
          <w:tab w:leader="none" w:pos="5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(275) Net gains (losses) on securities available for sale</w:t>
      </w:r>
    </w:p>
    <w:p>
      <w:pPr>
        <w:spacing w:after="0" w:line="9" w:lineRule="exact"/>
        <w:rPr>
          <w:rFonts w:ascii="Arial" w:cs="Arial" w:eastAsia="Arial" w:hAnsi="Arial"/>
          <w:sz w:val="18"/>
          <w:szCs w:val="18"/>
          <w:color w:val="auto"/>
        </w:rPr>
      </w:pPr>
    </w:p>
    <w:p>
      <w:pPr>
        <w:ind w:left="6340" w:hanging="389"/>
        <w:spacing w:after="0"/>
        <w:tabs>
          <w:tab w:leader="none" w:pos="63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029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5080"/>
        <w:spacing w:after="0"/>
        <w:tabs>
          <w:tab w:leader="none" w:pos="5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780" w:hanging="696"/>
        <w:spacing w:after="0"/>
        <w:tabs>
          <w:tab w:leader="none" w:pos="5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1,416  Net gains (losses) on securities available for sale</w:t>
      </w:r>
    </w:p>
    <w:p>
      <w:pPr>
        <w:spacing w:after="0" w:line="9" w:lineRule="exact"/>
        <w:rPr>
          <w:rFonts w:ascii="Arial" w:cs="Arial" w:eastAsia="Arial" w:hAnsi="Arial"/>
          <w:sz w:val="18"/>
          <w:szCs w:val="18"/>
          <w:color w:val="auto"/>
        </w:rPr>
      </w:pPr>
    </w:p>
    <w:p>
      <w:pPr>
        <w:ind w:left="5920"/>
        <w:spacing w:after="0"/>
        <w:rPr>
          <w:rFonts w:ascii="Arial" w:cs="Arial" w:eastAsia="Arial" w:hAnsi="Arial"/>
          <w:sz w:val="18"/>
          <w:szCs w:val="18"/>
          <w:color w:val="auto"/>
        </w:rPr>
      </w:pPr>
      <w:r>
        <w:rPr>
          <w:rFonts w:ascii="Arial" w:cs="Arial" w:eastAsia="Arial" w:hAnsi="Arial"/>
          <w:sz w:val="18"/>
          <w:szCs w:val="18"/>
          <w:color w:val="auto"/>
        </w:rPr>
        <w:t>297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029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5800" w:hanging="716"/>
        <w:spacing w:after="0"/>
        <w:tabs>
          <w:tab w:leader="none" w:pos="5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1,119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83.4% and 86.6% of total revenues for the three month periods ending June 30, 2022 and 2021, respectively.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2022 and December 31, 2021.</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Interchange income primarily includes debit card interchange and network revenues. Debit card interchange and network revenues are earned on debit card transactions conducted through payment networks such as MasterCard, NYCE (during 2021)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Net (gains) losses on other real estate and repossessed assets</w:t>
      </w:r>
      <w:r>
        <w:rPr>
          <w:rFonts w:ascii="Arial" w:cs="Arial" w:eastAsia="Arial" w:hAnsi="Arial"/>
          <w:sz w:val="16"/>
          <w:szCs w:val="16"/>
          <w:color w:val="auto"/>
        </w:rPr>
        <w:t>: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June 30, 2022 and 2021 that were financed by us.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8"/>
              </w:rPr>
              <w:t>Disaggregation of our revenue sources by attribute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Three months ending June 30, 2022</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owned life insurance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Other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Excluded from the scope of ASC Topic 606.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Three months ending June 30, 2021</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860" w:type="dxa"/>
            <w:vAlign w:val="bottom"/>
            <w:vMerge w:val="restart"/>
          </w:tcPr>
          <w:p>
            <w:pPr>
              <w:jc w:val="center"/>
              <w:ind w:left="19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860" w:type="dxa"/>
            <w:vAlign w:val="bottom"/>
          </w:tcPr>
          <w:p>
            <w:pPr>
              <w:jc w:val="center"/>
              <w:ind w:left="170"/>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91"/>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1,835</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Excluded from the scope of ASC Topic 606.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Six months ending June 30, 2022</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Excluded from the scope of ASC Topic 606.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Six months ending June 30, 2021</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Excluded from the scope of ASC Topic 606.</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June 30, 2022).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cost components of our operating leases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80" w:type="dxa"/>
            <w:vAlign w:val="bottom"/>
          </w:tcPr>
          <w:p>
            <w:pPr>
              <w:spacing w:after="0"/>
              <w:rPr>
                <w:sz w:val="24"/>
                <w:szCs w:val="24"/>
                <w:color w:val="auto"/>
              </w:rPr>
            </w:pPr>
          </w:p>
        </w:tc>
        <w:tc>
          <w:tcPr>
            <w:tcW w:w="2180" w:type="dxa"/>
            <w:vAlign w:val="bottom"/>
            <w:gridSpan w:val="4"/>
          </w:tcPr>
          <w:p>
            <w:pPr>
              <w:jc w:val="center"/>
              <w:ind w:left="257"/>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jc w:val="center"/>
              <w:ind w:right="370"/>
              <w:spacing w:after="0"/>
              <w:rPr>
                <w:sz w:val="20"/>
                <w:szCs w:val="20"/>
                <w:color w:val="auto"/>
              </w:rPr>
            </w:pPr>
            <w:r>
              <w:rPr>
                <w:rFonts w:ascii="Arial" w:cs="Arial" w:eastAsia="Arial" w:hAnsi="Arial"/>
                <w:sz w:val="18"/>
                <w:szCs w:val="18"/>
                <w:color w:val="auto"/>
                <w:w w:val="86"/>
              </w:rPr>
              <w:t>June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jc w:val="center"/>
              <w:ind w:right="330"/>
              <w:spacing w:after="0"/>
              <w:rPr>
                <w:sz w:val="20"/>
                <w:szCs w:val="20"/>
                <w:color w:val="auto"/>
              </w:rPr>
            </w:pPr>
            <w:r>
              <w:rPr>
                <w:rFonts w:ascii="Arial" w:cs="Arial" w:eastAsia="Arial" w:hAnsi="Arial"/>
                <w:sz w:val="18"/>
                <w:szCs w:val="18"/>
                <w:color w:val="auto"/>
                <w:w w:val="71"/>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7"/>
        </w:trPr>
        <w:tc>
          <w:tcPr>
            <w:tcW w:w="59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452</w:t>
            </w:r>
          </w:p>
        </w:tc>
        <w:tc>
          <w:tcPr>
            <w:tcW w:w="260" w:type="dxa"/>
            <w:vAlign w:val="bottom"/>
          </w:tcPr>
          <w:p>
            <w:pPr>
              <w:spacing w:after="0"/>
              <w:rPr>
                <w:sz w:val="18"/>
                <w:szCs w:val="18"/>
                <w:color w:val="auto"/>
              </w:rPr>
            </w:pPr>
          </w:p>
        </w:tc>
        <w:tc>
          <w:tcPr>
            <w:tcW w:w="800" w:type="dxa"/>
            <w:vAlign w:val="bottom"/>
          </w:tcPr>
          <w:p>
            <w:pPr>
              <w:jc w:val="center"/>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901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r>
      <w:tr>
        <w:trPr>
          <w:trHeight w:val="21"/>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Supplemental balance sheet information related to our operating leases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8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73"/>
              <w:spacing w:after="0"/>
              <w:rPr>
                <w:sz w:val="20"/>
                <w:szCs w:val="20"/>
                <w:color w:val="auto"/>
              </w:rPr>
            </w:pPr>
            <w:r>
              <w:rPr>
                <w:rFonts w:ascii="Arial" w:cs="Arial" w:eastAsia="Arial" w:hAnsi="Arial"/>
                <w:sz w:val="18"/>
                <w:szCs w:val="18"/>
                <w:color w:val="auto"/>
                <w:w w:val="95"/>
              </w:rPr>
              <w:t>June 30,</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8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color w:val="auto"/>
              </w:rPr>
              <w:t>Lease liabilities (2)</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 of our lease liabilities at June 30, 2022 based on required contractual payments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w:t>
            </w:r>
          </w:p>
        </w:tc>
      </w:tr>
      <w:tr>
        <w:trPr>
          <w:trHeight w:val="234"/>
        </w:trPr>
        <w:tc>
          <w:tcPr>
            <w:tcW w:w="41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41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2022</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2023</w:t>
            </w: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2025</w:t>
            </w: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2027 and thereafter</w:t>
            </w:r>
          </w:p>
        </w:tc>
        <w:tc>
          <w:tcPr>
            <w:tcW w:w="5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r>
      <w:tr>
        <w:trPr>
          <w:trHeight w:val="256"/>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180" w:type="dxa"/>
            <w:vAlign w:val="bottom"/>
          </w:tcPr>
          <w:p>
            <w:pPr>
              <w:spacing w:after="0"/>
              <w:rPr>
                <w:sz w:val="24"/>
                <w:szCs w:val="24"/>
                <w:color w:val="auto"/>
              </w:rPr>
            </w:pPr>
          </w:p>
        </w:tc>
        <w:tc>
          <w:tcPr>
            <w:tcW w:w="5840" w:type="dxa"/>
            <w:vAlign w:val="bottom"/>
          </w:tcPr>
          <w:p>
            <w:pPr>
              <w:jc w:val="right"/>
              <w:ind w:right="4239"/>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18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2"/>
          <w:szCs w:val="12"/>
          <w:b w:val="1"/>
          <w:bCs w:val="1"/>
          <w:color w:val="auto"/>
        </w:rPr>
        <w:t>PERATIONS</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2021 Annual Report on Form 10-K filed with the U.S. Securities and Exchange Commission (“SEC”). That report includes a list of risk factors that you should consider in connection with any decision to buy or sell our securities.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We also have two loan production offices in Ohio</w:t>
      </w:r>
      <w:r>
        <w:rPr>
          <w:rFonts w:ascii="Arial" w:cs="Arial" w:eastAsia="Arial" w:hAnsi="Arial"/>
          <w:sz w:val="17"/>
          <w:szCs w:val="17"/>
          <w:b w:val="1"/>
          <w:bCs w:val="1"/>
          <w:color w:val="auto"/>
        </w:rPr>
        <w:t xml:space="preserve"> </w:t>
      </w:r>
      <w:r>
        <w:rPr>
          <w:rFonts w:ascii="Arial" w:cs="Arial" w:eastAsia="Arial" w:hAnsi="Arial"/>
          <w:sz w:val="17"/>
          <w:szCs w:val="17"/>
          <w:color w:val="auto"/>
        </w:rPr>
        <w:t>(Columbus and Fairlawn). As a result, our success depends to a great extent upon the economic conditions in Michigan’s Lower Peninsula.</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Recent Developments. </w:t>
      </w:r>
      <w:r>
        <w:rPr>
          <w:rFonts w:ascii="Arial" w:cs="Arial" w:eastAsia="Arial" w:hAnsi="Arial"/>
          <w:sz w:val="18"/>
          <w:szCs w:val="18"/>
          <w:color w:val="auto"/>
        </w:rPr>
        <w:t>The COVID-19 pandemic has created and may continue to create and contribute to significant economic uncertainty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disruptions. Throughout 2020 and 2021, the volatility created by the pandemic and responses to the pandemic impacted our performance, customers, and the markets we serve. These effects continued to decline into the second quarter of 2022, but there remains a great deal of uncertainty with respect to whether and the degree to which they will have an impact on future conditions and performance.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uncertainty, it is difficult to predict the extent to which the pandemic may continue to adversely impact our business, results of operations, financial condition, and customers. The potential impacts may include, but are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encountered by our business customers in addressing the effects of the pandemic may cause increases in loan delinquencies, foreclosures and defaults;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Given the ongoing uncertainty with respect to the pandemic, these risk factors may continue to some degree for an unknown period of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Economic uncertainty also arises as a result of pressures from rising energy prices, heightened inflation, and concerns over the Russia-Ukraine war. Inflation remains elevated, reflecting supply and demand imbalances related to, among other pressures, the pandemic and higher energy prices, and it exceeded an annual rate of 8.0% in the second quarter of 2022, well above the Federal Reserve Board’s target inflation rate. In June 2022, the Federal Reserve Board also increased short-term interest rates by 75 basis points and indicated that ongoing increases will continue to occur in 2022 in order to combat inflation. Further, the Russia-Ukraine war and related events are likely to create additional pressure on inflation and economic activity. The resulting responses by the U.S. and other countries (including the imposition of economic sanctions), and the potential for wider conflict has increased volatility and uncertainty in global financial markets, and could result in significant market disruptions, including in our customers’ industries or sectors.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impacts on global economic conditions caused by higher inflation, rising energy prices, the Russia-Ukraine war, and the COVID-19 pandemic have created significant uncertainty about the future economic environment, which will continue to evolve and may continue to impact our business and results in 2022 and in future periods.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loans, capitalized mortgage loan servicing rights or deferred tax assets.</w:t>
      </w:r>
    </w:p>
    <w:p>
      <w:pPr>
        <w:spacing w:after="0" w:line="19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It is against this backdrop that we discuss our results of operations and financial condition in the first two quarters of 2022 as compared to earlier periods.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We recorded net income of $13.0 million and $12.4 million during the three months ended June 30, 2022 and 2021, respectively. The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2022 second quarter results as compared to 2021 is primarily due to an increase in net-interest income and a decrease in non-interest expense that were partially offset by a decrease in non-interest income and increases in the provision for credit losses and income tax expense.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income of $31.0 million and $34.4 million during the six months ended June 30, 2022 and 2021, respectively. The decrease in 2022 year-to-date results as compared to 2021 is primarily due to increases in non-interest expense and the provision for credit losses and a decrease in non-interest income that was partially offset by an increase in net-interest income and a decrease in income tax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Key performance ratios</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3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Six months ended</w:t>
            </w:r>
          </w:p>
        </w:tc>
      </w:tr>
      <w:tr>
        <w:trPr>
          <w:trHeight w:val="216"/>
        </w:trPr>
        <w:tc>
          <w:tcPr>
            <w:tcW w:w="3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(annualized) to</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assets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Average shareholders’ equity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18.06%</w:t>
            </w:r>
          </w:p>
        </w:tc>
      </w:tr>
      <w:tr>
        <w:trPr>
          <w:trHeight w:val="216"/>
        </w:trPr>
        <w:tc>
          <w:tcPr>
            <w:tcW w:w="39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r>
      <w:tr>
        <w:trPr>
          <w:trHeight w:val="554"/>
        </w:trPr>
        <w:tc>
          <w:tcPr>
            <w:tcW w:w="3920" w:type="dxa"/>
            <w:vAlign w:val="bottom"/>
          </w:tcPr>
          <w:p>
            <w:pPr>
              <w:spacing w:after="0"/>
              <w:rPr>
                <w:sz w:val="24"/>
                <w:szCs w:val="24"/>
                <w:color w:val="auto"/>
              </w:rPr>
            </w:pPr>
          </w:p>
        </w:tc>
        <w:tc>
          <w:tcPr>
            <w:tcW w:w="1920" w:type="dxa"/>
            <w:vAlign w:val="bottom"/>
          </w:tcPr>
          <w:p>
            <w:pPr>
              <w:jc w:val="right"/>
              <w:ind w:right="59"/>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interest income totaled $36.1 million during the second quarter of 2022, an increase of $4.7 million, or 14.9% from the year-ago period. This increase primarily reflects a $270.1 million increase in average interest-earning assets as well as a 24 basis point increase in our tax equivalent net interest income as a percent of average interest-earning assets (the “net interest margin”).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six months of 2022, net interest income totaled $69.1 million, an increase of $7.4 million, or 12.0% from 2021. This increase primarily reflects a $357.0 million increase in average interest-earning assets and a nine basis point increase in our net interest margin.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average interest-earning assets in 2022 as compared to 2021 primarily reflects growth in commercial, mortgage and installment loans funded from an increase in deposits.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and fees on loans include $0.2 million and $0.8 million of accretion of net loan fees on PPP loans in the second quarter and first six months of 2022, respectively, compared to $1.8 million and $3.9 million for the second quarter and first six months of 2021, respectively. Interest and fees on loans also include $0.1 million and $0.2 million for the second quarter and first six months of 2022, respectively, and include $0.2 million and $0.6 million for the second quarter and six months of 2021, respectively of accretion of the discount recorded on loans acquired in the April 2018 acquisition of Traverse City State Bank (“TCSB”).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impacted by our level of non-accrual loans. In the second quarter and first six months of 2022, non-accrual loans averaged $4.9 million and $5.0 million, respectively. In the second quarter and first six months of 2021, non-accrual loans averaged $6.1 million and $7.0 million, respectively. In addition, in the second quarter and first six months of 2022 we had net recoveries of $0.23 million and $0.37 million, respectively of unpaid interest on loans placed on or taken off non-accrual or on loans previously charged-off compared to net recoveries of $0.43 million and $0.60 million, respectively, during the same periods in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Tax Equivalent Rates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restart"/>
          </w:tcPr>
          <w:p>
            <w:pPr>
              <w:jc w:val="right"/>
              <w:ind w:right="210"/>
              <w:spacing w:after="0"/>
              <w:rPr>
                <w:sz w:val="20"/>
                <w:szCs w:val="20"/>
                <w:color w:val="auto"/>
              </w:rPr>
            </w:pPr>
            <w:r>
              <w:rPr>
                <w:rFonts w:ascii="Arial" w:cs="Arial" w:eastAsia="Arial" w:hAnsi="Arial"/>
                <w:sz w:val="18"/>
                <w:szCs w:val="18"/>
                <w:color w:val="auto"/>
                <w:w w:val="94"/>
              </w:rPr>
              <w:t>2022</w:t>
            </w:r>
          </w:p>
        </w:tc>
        <w:tc>
          <w:tcPr>
            <w:tcW w:w="160" w:type="dxa"/>
            <w:vAlign w:val="bottom"/>
          </w:tcPr>
          <w:p>
            <w:pPr>
              <w:spacing w:after="0"/>
              <w:rPr>
                <w:sz w:val="20"/>
                <w:szCs w:val="20"/>
                <w:color w:val="auto"/>
              </w:rPr>
            </w:pPr>
          </w:p>
        </w:tc>
        <w:tc>
          <w:tcPr>
            <w:tcW w:w="2120" w:type="dxa"/>
            <w:vAlign w:val="bottom"/>
            <w:gridSpan w:val="5"/>
          </w:tcPr>
          <w:p>
            <w:pPr>
              <w:ind w:left="64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700" w:type="dxa"/>
            <w:vAlign w:val="bottom"/>
            <w:vMerge w:val="restart"/>
          </w:tcPr>
          <w:p>
            <w:pPr>
              <w:jc w:val="right"/>
              <w:ind w:right="210"/>
              <w:spacing w:after="0"/>
              <w:rPr>
                <w:sz w:val="20"/>
                <w:szCs w:val="20"/>
                <w:color w:val="auto"/>
              </w:rPr>
            </w:pPr>
            <w:r>
              <w:rPr>
                <w:rFonts w:ascii="Arial" w:cs="Arial" w:eastAsia="Arial" w:hAnsi="Arial"/>
                <w:sz w:val="18"/>
                <w:szCs w:val="18"/>
                <w:color w:val="auto"/>
                <w:w w:val="94"/>
              </w:rPr>
              <w:t>2021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6"/>
              </w:rPr>
              <w:t>(Dollars</w:t>
            </w:r>
          </w:p>
        </w:tc>
        <w:tc>
          <w:tcPr>
            <w:tcW w:w="240" w:type="dxa"/>
            <w:vAlign w:val="bottom"/>
          </w:tcPr>
          <w:p>
            <w:pPr>
              <w:spacing w:after="0"/>
              <w:rPr>
                <w:sz w:val="20"/>
                <w:szCs w:val="20"/>
                <w:color w:val="auto"/>
              </w:rPr>
            </w:pPr>
            <w:r>
              <w:rPr>
                <w:rFonts w:ascii="Arial" w:cs="Arial" w:eastAsia="Arial" w:hAnsi="Arial"/>
                <w:sz w:val="18"/>
                <w:szCs w:val="18"/>
                <w:color w:val="auto"/>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3,137,369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31,383</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2,852,972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28,026</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3.94%</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 available for sale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4,950</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908,622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6"/>
                <w:szCs w:val="16"/>
                <w:color w:val="auto"/>
              </w:rPr>
              <w:t>Tax-exempt securities available for sale</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2,208</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365,934</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2,005</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71,043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Earning Assets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4,493,714</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3.47</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4,223,570</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58,497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54,120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206,749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157,070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4,758,960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4,434,760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bearing checking</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2,534,242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788</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2,260,172</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305,390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116,652</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108,863</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Bearing Liabilities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3,005,103</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0.31</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2,674,425</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Non-interest bearing deposits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1,332,596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1,314,153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88,651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57,402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4,758,960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4,434,760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36,542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31,871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w w:val="89"/>
              </w:rPr>
              <w:t>Net Interest Income as a Percent of Average Interest Earning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90"/>
              </w:rPr>
              <w:t>3.02%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12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98"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51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Tax Equivalent Rates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26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restart"/>
          </w:tcPr>
          <w:p>
            <w:pPr>
              <w:jc w:val="right"/>
              <w:ind w:right="210"/>
              <w:spacing w:after="0"/>
              <w:rPr>
                <w:sz w:val="20"/>
                <w:szCs w:val="20"/>
                <w:color w:val="auto"/>
              </w:rPr>
            </w:pPr>
            <w:r>
              <w:rPr>
                <w:rFonts w:ascii="Arial" w:cs="Arial" w:eastAsia="Arial" w:hAnsi="Arial"/>
                <w:sz w:val="18"/>
                <w:szCs w:val="18"/>
                <w:color w:val="auto"/>
                <w:w w:val="94"/>
              </w:rPr>
              <w:t>2022</w:t>
            </w:r>
          </w:p>
        </w:tc>
        <w:tc>
          <w:tcPr>
            <w:tcW w:w="160" w:type="dxa"/>
            <w:vAlign w:val="bottom"/>
          </w:tcPr>
          <w:p>
            <w:pPr>
              <w:spacing w:after="0"/>
              <w:rPr>
                <w:sz w:val="20"/>
                <w:szCs w:val="20"/>
                <w:color w:val="auto"/>
              </w:rPr>
            </w:pPr>
          </w:p>
        </w:tc>
        <w:tc>
          <w:tcPr>
            <w:tcW w:w="2120" w:type="dxa"/>
            <w:vAlign w:val="bottom"/>
            <w:gridSpan w:val="5"/>
          </w:tcPr>
          <w:p>
            <w:pPr>
              <w:ind w:left="64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700" w:type="dxa"/>
            <w:vAlign w:val="bottom"/>
            <w:vMerge w:val="restart"/>
          </w:tcPr>
          <w:p>
            <w:pPr>
              <w:jc w:val="right"/>
              <w:ind w:right="210"/>
              <w:spacing w:after="0"/>
              <w:rPr>
                <w:sz w:val="20"/>
                <w:szCs w:val="20"/>
                <w:color w:val="auto"/>
              </w:rPr>
            </w:pPr>
            <w:r>
              <w:rPr>
                <w:rFonts w:ascii="Arial" w:cs="Arial" w:eastAsia="Arial" w:hAnsi="Arial"/>
                <w:sz w:val="18"/>
                <w:szCs w:val="18"/>
                <w:color w:val="auto"/>
                <w:w w:val="94"/>
              </w:rPr>
              <w:t>2021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40" w:type="dxa"/>
            <w:vAlign w:val="bottom"/>
          </w:tcPr>
          <w:p>
            <w:pPr>
              <w:spacing w:after="0"/>
              <w:rPr>
                <w:sz w:val="17"/>
                <w:szCs w:val="17"/>
                <w:color w:val="auto"/>
              </w:rPr>
            </w:pPr>
          </w:p>
        </w:tc>
        <w:tc>
          <w:tcPr>
            <w:tcW w:w="9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6"/>
              </w:rPr>
              <w:t>(Dollars</w:t>
            </w:r>
          </w:p>
        </w:tc>
        <w:tc>
          <w:tcPr>
            <w:tcW w:w="240" w:type="dxa"/>
            <w:vAlign w:val="bottom"/>
          </w:tcPr>
          <w:p>
            <w:pPr>
              <w:spacing w:after="0"/>
              <w:rPr>
                <w:sz w:val="20"/>
                <w:szCs w:val="20"/>
                <w:color w:val="auto"/>
              </w:rPr>
            </w:pPr>
            <w:r>
              <w:rPr>
                <w:rFonts w:ascii="Arial" w:cs="Arial" w:eastAsia="Arial" w:hAnsi="Arial"/>
                <w:sz w:val="18"/>
                <w:szCs w:val="18"/>
                <w:color w:val="auto"/>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3,054,925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59,723</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2,840,224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56,065</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3.98%</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6,624</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 available for sale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1,022,884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9,502</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845,895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6,452</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6"/>
                <w:szCs w:val="16"/>
                <w:color w:val="auto"/>
              </w:rPr>
              <w:t>Tax-exempt securities available for sale</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4,223</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338,692</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3,775</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86,384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17,884</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Earning Assets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4,493,238</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3.31</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4,136,246</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58,586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55,239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188,381</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153,540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4,740,205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4,345,025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bearing checking</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2,518,714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1,429</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2,200,620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1,364</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322,535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112,831</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2,060</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108,844</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1,926</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Bearing Liabilities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2,977,871</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0.27</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2,631,999</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Non-interest bearing deposits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1,324,922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1,266,607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83,222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61,950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4,740,205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4,345,025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Net Interest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70,025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62,559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w w:val="89"/>
              </w:rPr>
              <w:t>Net Interest Income as a Percent of Average Interest Earning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90"/>
              </w:rPr>
              <w:t>3.04%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120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9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220" w:type="dxa"/>
            <w:vAlign w:val="bottom"/>
          </w:tcPr>
          <w:p>
            <w:pPr>
              <w:spacing w:after="0"/>
              <w:rPr>
                <w:sz w:val="24"/>
                <w:szCs w:val="24"/>
                <w:color w:val="auto"/>
              </w:rPr>
            </w:pPr>
          </w:p>
        </w:tc>
        <w:tc>
          <w:tcPr>
            <w:tcW w:w="2500" w:type="dxa"/>
            <w:vAlign w:val="bottom"/>
            <w:gridSpan w:val="5"/>
            <w:vMerge w:val="restart"/>
          </w:tcPr>
          <w:p>
            <w:pPr>
              <w:jc w:val="right"/>
              <w:ind w:right="673"/>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400" w:type="dxa"/>
            <w:vAlign w:val="bottom"/>
            <w:gridSpan w:val="5"/>
            <w:vMerge w:val="restart"/>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36,061</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31,393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69,062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61,677</w:t>
            </w:r>
          </w:p>
        </w:tc>
        <w:tc>
          <w:tcPr>
            <w:tcW w:w="0" w:type="dxa"/>
            <w:vAlign w:val="bottom"/>
          </w:tcPr>
          <w:p>
            <w:pPr>
              <w:spacing w:after="0"/>
              <w:rPr>
                <w:sz w:val="1"/>
                <w:szCs w:val="1"/>
                <w:color w:val="auto"/>
              </w:rPr>
            </w:pPr>
          </w:p>
        </w:tc>
      </w:tr>
      <w:tr>
        <w:trPr>
          <w:trHeight w:val="22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Add: taxable equivalent adjustment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93"/>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31,871</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70,025</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90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100" w:type="dxa"/>
            <w:vAlign w:val="bottom"/>
            <w:gridSpan w:val="2"/>
          </w:tcPr>
          <w:p>
            <w:pPr>
              <w:jc w:val="right"/>
              <w:ind w:right="53"/>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Provision for credit losses. </w:t>
      </w:r>
      <w:r>
        <w:rPr>
          <w:rFonts w:ascii="Arial" w:cs="Arial" w:eastAsia="Arial" w:hAnsi="Arial"/>
          <w:sz w:val="17"/>
          <w:szCs w:val="17"/>
          <w:color w:val="auto"/>
        </w:rPr>
        <w:t>The provision for credit losses was an expense of $2.4 million and a credit of $1.4 million for the three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2022 and 2021, respectively. During the six-month periods ended June 30, 2022 and 2021, the provision for credit losses was an expense of $0.8 million and an credit of $1.9 million,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2022. See note #13 to the Condensed Consolidated Financial Statements included within this report for a discussion on industry concentrations. The increase in the provision for credit losses expense from the prior year period is primarily due to an increase in the adjustment to allocations based on the pooled reserves due in part to loan growth that was partially offset by a decrease in the adjustment to subjective factors due in part to expected reduction in risk related to COVID-19.</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$14.6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2022 compared to $14.8 million in the second quarter of 2021. For the first six months of 2022, non-interest income totaled $33.6 million compared to $41.2 million for the first six months of 2021.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ind w:left="200"/>
              <w:spacing w:after="0"/>
              <w:rPr>
                <w:sz w:val="20"/>
                <w:szCs w:val="20"/>
                <w:color w:val="auto"/>
              </w:rPr>
            </w:pPr>
            <w:r>
              <w:rPr>
                <w:rFonts w:ascii="Arial" w:cs="Arial" w:eastAsia="Arial" w:hAnsi="Arial"/>
                <w:sz w:val="18"/>
                <w:szCs w:val="18"/>
                <w:color w:val="auto"/>
              </w:rPr>
              <w:t>Six months ended</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2,318</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6,053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4,234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9,091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21,919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13,803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14,632</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14,771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33,580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41,177</w:t>
            </w: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charges on deposit accounts increased on a comparative quarterly and year-to-date basis in 2022 as compared to 2021. The quarterly and year-to-date increases were principally due to increases in non-sufficient funds occurrences (and related fees).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reflected in the table below, net gains on the sale of mortgage loans dropped significantly on both a quarterly and a year-to-date basis in 2022 compared to 2021. Mortgage loan activity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43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Six months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317,683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473,742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587,877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982,745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Mortgage loans sold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142,977</w:t>
            </w:r>
          </w:p>
        </w:tc>
        <w:tc>
          <w:tcPr>
            <w:tcW w:w="26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306,789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364,702</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684,207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9,091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loans originated decreased in 2022 as compared to 2021 due primarily to a decrease in mortgage loan refinance volumes. Mortgage loan refinance volumes declined in the second quarter of 2022 as compared to 2021 as higher mortgage loan interest rates in 2022 reduced this activity. Mortgage loans sold decreased in the second quarter of 2022 as compared to 2021 due primarily to lower loan origination volume. Net gains on mortgage loans decreased in 2022 as compared to 2021 due to the decline in loan sale volume, a decrease in the Loan Sales Margin and fair value adjustments as discussed below.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1.15% and 3.04% in the second quarters of 2022 and 2021, respectively, and 1.81% and 3.77% for the comparative 2022 and 2021 year-to-date periods, respectively. The decline in the Loan Sales Margin (excluding fair value adjustments) in the second quarter of 2022 was generally due to lower primary-to-secondary market pricing spreads as market interest rates rose in 2022 (relative to 2021) which were impacted by the decrease in salable mortgage loan volumes.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a $0.35 million net loss and no net gains on securities AFS in the comparative quarterly periods, respectively. We recorded a net loss of $0.28 million and a net gain $1.42 million on securities AFS for the first six months of 2022 and 2021, respectively. We recorded no credit related charges in either 2022 or 2021 on securities AFS. See “Securities” below and note #3 to the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 servicing, net, generated income of $4.2 million and a loss of $2.0 million in the second quarters of 2022 and 2021, respectively. For the first six months of 2022 and 2021, mortgage loan servicing, net, generated income of $13.8 million and $3.2 million, respectively. The significant variances in mortgage loan servicing, net are primarily due to changes in the fair value of capitalized mortgage loan servicing rights associated with changes in mortgage loan interest rates and the associated expected future prepayment levels.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4"/>
              </w:rPr>
              <w:t>Mortgage loan servicing, net activity is summarized in the following table: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color w:val="auto"/>
              </w:rPr>
              <w:t>Mortgage Servicing Revenue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Mortgage loan servicing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net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Fair value change due to price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3,120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(2,426)</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11,572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change due to pay-downs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7"/>
        </w:trPr>
        <w:tc>
          <w:tcPr>
            <w:tcW w:w="54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4,162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500" w:type="dxa"/>
            <w:vAlign w:val="bottom"/>
            <w:vMerge w:val="restart"/>
          </w:tcPr>
          <w:p>
            <w:pPr>
              <w:jc w:val="right"/>
              <w:ind w:right="196"/>
              <w:spacing w:after="0"/>
              <w:rPr>
                <w:sz w:val="20"/>
                <w:szCs w:val="20"/>
                <w:color w:val="auto"/>
              </w:rPr>
            </w:pPr>
            <w:r>
              <w:rPr>
                <w:rFonts w:ascii="Arial" w:cs="Arial" w:eastAsia="Arial" w:hAnsi="Arial"/>
                <w:sz w:val="14"/>
                <w:szCs w:val="14"/>
                <w:color w:val="auto"/>
              </w:rPr>
              <w:t>71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548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4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color w:val="auto"/>
              </w:rPr>
              <w:t>Activity related to capitalized mortgage loan servicing rights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2,739</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3,649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6,108</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39,477</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22,431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39,477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22,431</w:t>
            </w: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2022 we were servicing approximately $3.45 billion in mortgage loans for others on which servicing rights have been capitalized. This servicing portfolio had a weighted average coupon rate of 3.48% and a weighted average service fee of approximately 25.6 basis points. Capitalized mortgage loan servicing rights at June 30, 2022 totaled $39.5 million, representing approximately 114.6 basis points on the related amount of mortgage loans serviced for others.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increased on both a quarterly and year-to-date basis in 2022 as compared to 2021, primarily due to growth in assets under management and in annuity sales (reflecting customers seeking alternatives to traditional fixed income products such as time deposits given the prolonged low interest rate environment).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non-interest income increased on both a comparative quarterly and year-to-date basis in 2022 as compared to 2021 due primarily to the gain sale of bank owned property of $0.9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decreased by $0.1 million to $32.4 million and increased by $1.3 million to $63.9 million during the three- and six-month periods ended June 30, 2022, respectively, compared to the same periods in 2021.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non-interest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4,783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9,075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8,073</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19,883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40,012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38,405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Occupancy,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4,620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2,087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Correspondent bank service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Conversion related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(gains) on other real estate and repossessed assets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32,434</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32,536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63,884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62,557</w:t>
            </w: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Compensation and employee benefits expenses, in total, was unchanged on a quarterly comparative basis and increased $1.6 million for the first six months of 2022 compared to the same periods in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increased by $1.4 million and $3.7 million in the second quarter and first six months of 2022, respectively, compared to the same periods in 2021. These comparative increases in 2022 were primarily due to (a) salary increases that were predominantly effective on January 1, 2022, (b) a decreased level of compensation that was deferred as direct origination costs due to lower mortgage loan origination volume, and (c) an increase in lending personnel.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Performance-based compensation decreased by $1.0 million and $1.6 million in the second quarter and first six months of 2022, respectively, compared to the same periods in 2021. The decreases are primarily due to a decrease in mortgage lending related incentives attributed to the decline in mortgage lending volume.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Payroll taxes and employee benefits decreased by $0.4 million and $0.5 million in the second quarter and first six months of 2022, respectively, compared to the same periods in 2021, due primarily to decreases in payroll taxes (reflecting lower performance-based compensation costs), our 401(k) plan match and other indirect costs related to mortgage lending that were partially offset by higher health care costs (due to increased claims in 2022).</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Data processing, occupancy, net, furniture, fixtures and equipment, communications, legal and professional, amortization of intangible assets, supplies, correspondent bank service fees and provision for loss reimbursement on sold loans were each substantially the same on a comparative quarterly and year-to-date basis in 2022 as compared to 2021.</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Interchange expense primarily represents our third-party cost to process debit card transactions. The increase in this expense on both a comparative quarterly and year-to-date basis in 2022 as compared to 2021 is due principally to changes in transaction volume and transaction channel mix.</w:t>
      </w:r>
    </w:p>
    <w:p>
      <w:pPr>
        <w:spacing w:after="0" w:line="14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Advertising expense increased by approximately $0.4 million and $0.6 million in the second quarter and first six months of 2022, respectively, as compared to the same periods in 2021 due primarily due to a one-time marketing expense reimbursement from our third party card provider in the prior year.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and collection expense decreased $0.2 million and $0.4 million in the second quarter and first six months of 2022, respectively, as compared to the same periods in 2021 due to recoveries of previously expensed amounts (year to date period), an increase in the deferral of certain loan origination costs as well as lower other real estate holding costs.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FDIC deposit insurance expense increased in 2022 on both a comparative quarterly and year-to-date basis as compared to 2021, due primarily to an increases in the assessment rate as well as the assessment base.</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Costs (recoveries) related to unfunded lending commitments increased $0.6 million and $0.3 million in the second quarter and first six months of 2022, respectively, compared to the same prior year periods due primarily to changes in the amounts of such commitments to originate portfolio loans as well as (for commercial loan commitments) the grade (pursuant to our loan rating system) of such commitments.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Conversion related expenses declined as our conversion occurred during the second quarter of 2021 during which time we incurred a significant portion of related expense.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on other real estate and repossessed assets primarily represent the net gain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increased $0.3 million and $0.4 million in the second quarter and first six months of 2022, respectively, as compared to the same periods in 2021 due in part to an increase in travel and entertainment related expenses (due in part to further easing of COVID-19 related restrictions as well as a general increase in the cost of such expenses).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$2.9 million and $7.0 million in the second quarter and the first six months of 2022,</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This compares to an income tax expense of $2.7 million and $7.8 million in the second quarter and the first six months of 2021, respectively. The decrease in expense for the first six months of 2022 compared to the same period in 2021 is primarily due to a decrease in pretax income.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2022 and 2021 and at December 31, 2021 that the realization of substantially all of our deferred tax assets continues to be more likely than 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$121.5 million during the first six months of 2022. Loans, excluding loans held for sale, were $3.26 billion at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2022, compared to $2.91 billion at December 31, 2021. Commercial loans, mortgage loans and installment loans each increased during the first six months of 2022. (See “Portfolio Loans and asset quality.”)</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Deposits totaled $4.29 billion at June 30, 2022, an increase of $173.5 million from December 31, 2021 as all deposit types increased. The increase in deposits from December 31, 2021 is due in part to the seasonal cash management needs of our business and municipal customers. Overall deposit balances remain elevated, relative to historical levels, due to the significant liquidity that has been injected into the economy through government programs, such as the PPP, as well as by monetary actions by the Federal Reserve Bank, all in response to the COVID-19 pandemic.</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various government stimulus programs in response to the COVID-19 pandemic end or taper, it is unclear what the impact will be on our levels of Portfolio Loans and deposits. However, our liquidity and funding contingency plans take into account the possibility of reductions in commercial loans and deposits during 2022.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maintain diversified securities portfolios, which include obligations of U.S. government-sponsored agencies, securities issued by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unrealized losses on securities AFS are temporary in nature and are expected to be recovered within a reasonable time period. We believe that we have the ability to hold securities with unrealized losses to maturity or until such time as the unrealized losses reverse.(See “Asset/liability management.”)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2022, we transferred certain securities AFS with an amortized cost and unrealized loss at the date of transfer of $418.1 million and $26.5 million, respectively to securities held to maturity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will receive full value for these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 for Sale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w w:val="91"/>
              </w:rPr>
              <w:t>Amortized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61"/>
        </w:trPr>
        <w:tc>
          <w:tcPr>
            <w:tcW w:w="2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Gains</w:t>
            </w:r>
          </w:p>
        </w:tc>
        <w:tc>
          <w:tcPr>
            <w:tcW w:w="300" w:type="dxa"/>
            <w:vAlign w:val="bottom"/>
          </w:tcPr>
          <w:p>
            <w:pPr>
              <w:spacing w:after="0"/>
              <w:rPr>
                <w:sz w:val="6"/>
                <w:szCs w:val="6"/>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3"/>
              </w:rPr>
              <w:t>Securities available for sale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934,815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859,704</w:t>
            </w: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1,404,858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16,594</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8,622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1,412,830</w:t>
            </w:r>
          </w:p>
        </w:tc>
        <w:tc>
          <w:tcPr>
            <w:tcW w:w="0" w:type="dxa"/>
            <w:vAlign w:val="bottom"/>
          </w:tcPr>
          <w:p>
            <w:pPr>
              <w:spacing w:after="0"/>
              <w:rPr>
                <w:sz w:val="1"/>
                <w:szCs w:val="1"/>
                <w:color w:val="auto"/>
              </w:rPr>
            </w:pPr>
          </w:p>
        </w:tc>
      </w:tr>
      <w:tr>
        <w:trPr>
          <w:trHeight w:val="41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6"/>
              </w:rPr>
              <w:t>Securities Held to Maturity</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Transfered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6"/>
              </w:rPr>
              <w:t>Amortized</w:t>
            </w: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Loss (1)</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ACL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Cost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Gains</w:t>
            </w:r>
          </w:p>
        </w:tc>
        <w:tc>
          <w:tcPr>
            <w:tcW w:w="3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30"/>
        </w:trPr>
        <w:tc>
          <w:tcPr>
            <w:tcW w:w="2060" w:type="dxa"/>
            <w:vAlign w:val="bottom"/>
            <w:vMerge w:val="restart"/>
          </w:tcPr>
          <w:p>
            <w:pPr>
              <w:spacing w:after="0"/>
              <w:rPr>
                <w:sz w:val="20"/>
                <w:szCs w:val="20"/>
                <w:color w:val="auto"/>
              </w:rPr>
            </w:pPr>
            <w:r>
              <w:rPr>
                <w:rFonts w:ascii="Arial" w:cs="Arial" w:eastAsia="Arial" w:hAnsi="Arial"/>
                <w:sz w:val="18"/>
                <w:szCs w:val="18"/>
                <w:color w:val="auto"/>
                <w:w w:val="98"/>
              </w:rPr>
              <w:t>Securities held to maturity</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381,608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406,917</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359,701</w:t>
            </w: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remaining unrealized loss to be accreted on secruties that were transfered from AFS to HTM on April 1, 2022.</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2022. The increase in unrealized losses during the second quarter and first six months of 2022 is primarily attributed to an increase in interest rates since December 31, 2021. See note #3 to the Condensed Consolidated Financial Statements included within this report for further discussion.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See note #3 to the Condensed Consolidated Financial Statements included within this report for further discussion.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Sales of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240" w:type="dxa"/>
            <w:vAlign w:val="bottom"/>
          </w:tcPr>
          <w:p>
            <w:pPr>
              <w:spacing w:after="0"/>
              <w:rPr>
                <w:sz w:val="24"/>
                <w:szCs w:val="24"/>
                <w:color w:val="auto"/>
              </w:rPr>
            </w:pPr>
          </w:p>
        </w:tc>
        <w:tc>
          <w:tcPr>
            <w:tcW w:w="2300" w:type="dxa"/>
            <w:vAlign w:val="bottom"/>
            <w:gridSpan w:val="5"/>
          </w:tcPr>
          <w:p>
            <w:pPr>
              <w:ind w:left="34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center"/>
              <w:ind w:right="650"/>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66,128</w:t>
            </w:r>
          </w:p>
        </w:tc>
        <w:tc>
          <w:tcPr>
            <w:tcW w:w="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70,523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81,178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Gross gains</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losses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gains (losses)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(345)</w:t>
            </w:r>
          </w:p>
        </w:tc>
        <w:tc>
          <w:tcPr>
            <w:tcW w:w="280" w:type="dxa"/>
            <w:vAlign w:val="bottom"/>
          </w:tcPr>
          <w:p>
            <w:pPr>
              <w:jc w:val="center"/>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6"/>
              <w:spacing w:after="0"/>
              <w:rPr>
                <w:sz w:val="20"/>
                <w:szCs w:val="20"/>
                <w:color w:val="auto"/>
              </w:rPr>
            </w:pPr>
            <w:r>
              <w:rPr>
                <w:rFonts w:ascii="Arial" w:cs="Arial" w:eastAsia="Arial" w:hAnsi="Arial"/>
                <w:sz w:val="18"/>
                <w:szCs w:val="18"/>
                <w:color w:val="auto"/>
              </w:rPr>
              <w:t>(275)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(See “Asset/liability management.”).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PPP, is a short-term, forgivable loan program primarily intended to help businesses impacted by COVID-19 to continue paying their employees. See note #4 to the Condensed Consolidated Financial Statements included within this report for further discussion of the PPP.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participation in the PPP (which ended on May 31, 2021 for new loans)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Paycheck Protection Program Activity</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8"/>
                <w:szCs w:val="18"/>
                <w:color w:val="auto"/>
              </w:rPr>
              <w:t>June 30, 2022</w:t>
            </w:r>
          </w:p>
        </w:tc>
        <w:tc>
          <w:tcPr>
            <w:tcW w:w="2540" w:type="dxa"/>
            <w:vAlign w:val="bottom"/>
            <w:gridSpan w:val="5"/>
          </w:tcPr>
          <w:p>
            <w:pPr>
              <w:ind w:left="720"/>
              <w:spacing w:after="0"/>
              <w:rPr>
                <w:sz w:val="20"/>
                <w:szCs w:val="20"/>
                <w:color w:val="auto"/>
              </w:rPr>
            </w:pPr>
            <w:r>
              <w:rPr>
                <w:rFonts w:ascii="Arial" w:cs="Arial" w:eastAsia="Arial" w:hAnsi="Arial"/>
                <w:sz w:val="18"/>
                <w:szCs w:val="18"/>
                <w:color w:val="auto"/>
              </w:rPr>
              <w:t>June 30, 2021</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Amount (#)</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right"/>
              <w:ind w:right="6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 at quarter end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fees accreted into interest income for the quarter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fees accreted into interest income year-to-date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Unaccreted net fees remaining at quarter end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5,810</w:t>
            </w: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Section 4013 of the CARES Act provided temporary relief from the accounting and reporting requirements for TDRs regarding certain loan modifications for our customers. Section 4013 specified that COVID-19 related modifications on loans that were current (less than 30 days past due) as of December 31, 2019 are not TDRs. While the provisions of Section 4013 were in place, we assisted both our retail (mortgage and installment loans) and our commercial borrowers with accommodations that included reduced or suspended payments. Since the expiration of Section 4013 on January 1, 2022, we moved certain accommodation loans to non-accrual which totaled $0.4 million at June 30, 2022. Total remaining accommodation loans were $1.2 million and $2.3 million at June 30, 2022 and December 31, 2021, respectively. See note #4 to the Condensed Consolidated Financial Statements included within this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74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80" w:type="dxa"/>
            <w:vAlign w:val="bottom"/>
            <w:gridSpan w:val="3"/>
          </w:tcPr>
          <w:p>
            <w:pPr>
              <w:spacing w:after="0"/>
              <w:rPr>
                <w:sz w:val="20"/>
                <w:szCs w:val="20"/>
                <w:color w:val="auto"/>
              </w:rPr>
            </w:pPr>
            <w:r>
              <w:rPr>
                <w:rFonts w:ascii="Arial" w:cs="Arial" w:eastAsia="Arial" w:hAnsi="Arial"/>
                <w:sz w:val="18"/>
                <w:szCs w:val="18"/>
                <w:color w:val="auto"/>
              </w:rPr>
              <w:t>A summary of our Portfolio Loans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June 30,</w:t>
            </w:r>
          </w:p>
        </w:tc>
        <w:tc>
          <w:tcPr>
            <w:tcW w:w="1220" w:type="dxa"/>
            <w:vAlign w:val="bottom"/>
            <w:gridSpan w:val="4"/>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Real estate(1)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first mortgages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681,631</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870,169</w:t>
            </w:r>
          </w:p>
        </w:tc>
        <w:tc>
          <w:tcPr>
            <w:tcW w:w="0" w:type="dxa"/>
            <w:vAlign w:val="bottom"/>
          </w:tcPr>
          <w:p>
            <w:pPr>
              <w:spacing w:after="0"/>
              <w:rPr>
                <w:sz w:val="1"/>
                <w:szCs w:val="1"/>
                <w:color w:val="auto"/>
              </w:rPr>
            </w:pPr>
          </w:p>
        </w:tc>
      </w:tr>
      <w:tr>
        <w:trPr>
          <w:trHeight w:val="216"/>
        </w:trPr>
        <w:tc>
          <w:tcPr>
            <w:tcW w:w="7480" w:type="dxa"/>
            <w:vAlign w:val="bottom"/>
            <w:gridSpan w:val="3"/>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137,553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128,801</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Construction and land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277,205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278,992</w:t>
            </w:r>
          </w:p>
        </w:tc>
        <w:tc>
          <w:tcPr>
            <w:tcW w:w="0" w:type="dxa"/>
            <w:vAlign w:val="bottom"/>
          </w:tcPr>
          <w:p>
            <w:pPr>
              <w:spacing w:after="0"/>
              <w:rPr>
                <w:sz w:val="1"/>
                <w:szCs w:val="1"/>
                <w:color w:val="auto"/>
              </w:rPr>
            </w:pPr>
          </w:p>
        </w:tc>
      </w:tr>
      <w:tr>
        <w:trPr>
          <w:trHeight w:val="216"/>
        </w:trPr>
        <w:tc>
          <w:tcPr>
            <w:tcW w:w="7480" w:type="dxa"/>
            <w:vAlign w:val="bottom"/>
            <w:gridSpan w:val="3"/>
          </w:tcPr>
          <w:p>
            <w:pPr>
              <w:ind w:left="180"/>
              <w:spacing w:after="0"/>
              <w:rPr>
                <w:sz w:val="20"/>
                <w:szCs w:val="20"/>
                <w:color w:val="auto"/>
              </w:rPr>
            </w:pPr>
            <w:r>
              <w:rPr>
                <w:rFonts w:ascii="Arial" w:cs="Arial" w:eastAsia="Arial" w:hAnsi="Arial"/>
                <w:sz w:val="18"/>
                <w:szCs w:val="18"/>
                <w:color w:val="auto"/>
              </w:rPr>
              <w:t>Other(2)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814,695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726,224</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639,359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555,696</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403,430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339,785</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gridSpan w:val="3"/>
          </w:tcPr>
          <w:p>
            <w:pPr>
              <w:ind w:left="180"/>
              <w:spacing w:after="0"/>
              <w:rPr>
                <w:sz w:val="20"/>
                <w:szCs w:val="20"/>
                <w:color w:val="auto"/>
              </w:rPr>
            </w:pPr>
            <w:r>
              <w:rPr>
                <w:rFonts w:ascii="Arial" w:cs="Arial" w:eastAsia="Arial" w:hAnsi="Arial"/>
                <w:sz w:val="18"/>
                <w:szCs w:val="18"/>
                <w:color w:val="auto"/>
              </w:rPr>
              <w:t>Total loans</w:t>
            </w:r>
          </w:p>
        </w:tc>
        <w:tc>
          <w:tcPr>
            <w:tcW w:w="1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2,958,850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2,905,045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320" w:type="dxa"/>
            <w:vAlign w:val="bottom"/>
            <w:tcBorders>
              <w:bottom w:val="single" w:sz="8" w:color="54301A"/>
            </w:tcBorders>
          </w:tcPr>
          <w:p>
            <w:pPr>
              <w:spacing w:after="0"/>
              <w:rPr>
                <w:sz w:val="24"/>
                <w:szCs w:val="24"/>
                <w:color w:val="auto"/>
              </w:rPr>
            </w:pPr>
          </w:p>
        </w:tc>
        <w:tc>
          <w:tcPr>
            <w:tcW w:w="800" w:type="dxa"/>
            <w:vAlign w:val="bottom"/>
            <w:tcBorders>
              <w:bottom w:val="single" w:sz="8" w:color="54301A"/>
            </w:tcBorders>
          </w:tcPr>
          <w:p>
            <w:pPr>
              <w:spacing w:after="0"/>
              <w:rPr>
                <w:sz w:val="24"/>
                <w:szCs w:val="24"/>
                <w:color w:val="auto"/>
              </w:rPr>
            </w:pPr>
          </w:p>
        </w:tc>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480" w:type="dxa"/>
            <w:vAlign w:val="bottom"/>
            <w:gridSpan w:val="3"/>
          </w:tcPr>
          <w:p>
            <w:pPr>
              <w:spacing w:after="0"/>
              <w:rPr>
                <w:sz w:val="20"/>
                <w:szCs w:val="20"/>
                <w:color w:val="auto"/>
              </w:rPr>
            </w:pPr>
            <w:r>
              <w:rPr>
                <w:rFonts w:ascii="Arial" w:cs="Arial" w:eastAsia="Arial" w:hAnsi="Arial"/>
                <w:sz w:val="18"/>
                <w:szCs w:val="18"/>
                <w:color w:val="auto"/>
              </w:rPr>
              <w:t>(1) Includes both residential and non-residential commercial loans secured by real estate.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80" w:type="dxa"/>
            <w:vAlign w:val="bottom"/>
            <w:gridSpan w:val="3"/>
          </w:tcPr>
          <w:p>
            <w:pPr>
              <w:spacing w:after="0"/>
              <w:rPr>
                <w:sz w:val="20"/>
                <w:szCs w:val="20"/>
                <w:color w:val="auto"/>
              </w:rPr>
            </w:pPr>
            <w:r>
              <w:rPr>
                <w:rFonts w:ascii="Arial" w:cs="Arial" w:eastAsia="Arial" w:hAnsi="Arial"/>
                <w:sz w:val="18"/>
                <w:szCs w:val="18"/>
                <w:color w:val="auto"/>
              </w:rPr>
              <w:t>(2) Includes loans secured by multi-family residential and non-farm, non-residential property.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29"/>
                <w:szCs w:val="29"/>
                <w:b w:val="1"/>
                <w:bCs w:val="1"/>
                <w:color w:val="auto"/>
                <w:vertAlign w:val="superscript"/>
              </w:rPr>
              <w:t>(1)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June 30,</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71"/>
              </w:rPr>
              <w:t>in</w:t>
            </w:r>
          </w:p>
        </w:tc>
        <w:tc>
          <w:tcPr>
            <w:tcW w:w="11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color w:val="auto"/>
              </w:rPr>
              <w:t>Less: Government guaranteed loans</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non-performing loans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color w:val="auto"/>
              </w:rPr>
              <w:t>Other real estate and repossessed assets</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non-performing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8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8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71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ind w:left="180"/>
              <w:spacing w:after="0"/>
              <w:rPr>
                <w:sz w:val="20"/>
                <w:szCs w:val="20"/>
                <w:color w:val="auto"/>
              </w:rPr>
            </w:pPr>
            <w:r>
              <w:rPr>
                <w:rFonts w:ascii="Arial" w:cs="Arial" w:eastAsia="Arial" w:hAnsi="Arial"/>
                <w:sz w:val="18"/>
                <w:szCs w:val="18"/>
                <w:color w:val="auto"/>
              </w:rPr>
              <w:t>Non-performing loans</w:t>
            </w:r>
          </w:p>
        </w:tc>
        <w:tc>
          <w:tcPr>
            <w:tcW w:w="1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Non-performing assets to total assets</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credit losses as a percent of non-performing loans</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924.70</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Excludes loans classified as "troubled debt restructured" that are not past due.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44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4480" w:type="dxa"/>
            <w:vAlign w:val="bottom"/>
            <w:gridSpan w:val="2"/>
          </w:tcPr>
          <w:p>
            <w:pPr>
              <w:ind w:left="100"/>
              <w:spacing w:after="0"/>
              <w:rPr>
                <w:sz w:val="20"/>
                <w:szCs w:val="20"/>
                <w:color w:val="auto"/>
              </w:rPr>
            </w:pPr>
            <w:r>
              <w:rPr>
                <w:rFonts w:ascii="Arial" w:cs="Arial" w:eastAsia="Arial" w:hAnsi="Arial"/>
                <w:sz w:val="18"/>
                <w:szCs w:val="18"/>
                <w:b w:val="1"/>
                <w:bCs w:val="1"/>
                <w:color w:val="auto"/>
              </w:rPr>
              <w:t>Troubled debt restructurings ("TDR")</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1"/>
              </w:rPr>
              <w:t>June 30, 2022</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89"/>
              </w:rPr>
              <w:t>Commercial</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6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5"/>
                <w:szCs w:val="25"/>
                <w:color w:val="auto"/>
                <w:vertAlign w:val="superscript"/>
              </w:rPr>
              <w:t>(1)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(In thousands)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28,580</w:t>
            </w:r>
          </w:p>
        </w:tc>
        <w:tc>
          <w:tcPr>
            <w:tcW w:w="6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31,846</w:t>
            </w:r>
          </w:p>
        </w:tc>
      </w:tr>
      <w:tr>
        <w:trPr>
          <w:trHeight w:val="223"/>
        </w:trPr>
        <w:tc>
          <w:tcPr>
            <w:tcW w:w="44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Non-performing TDR's </w:t>
            </w:r>
            <w:r>
              <w:rPr>
                <w:rFonts w:ascii="Arial" w:cs="Arial" w:eastAsia="Arial" w:hAnsi="Arial"/>
                <w:sz w:val="25"/>
                <w:szCs w:val="25"/>
                <w:color w:val="auto"/>
                <w:vertAlign w:val="superscript"/>
              </w:rPr>
              <w:t>(2)</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1,164</w:t>
            </w:r>
          </w:p>
        </w:tc>
        <w:tc>
          <w:tcPr>
            <w:tcW w:w="400" w:type="dxa"/>
            <w:vAlign w:val="bottom"/>
          </w:tcPr>
          <w:p>
            <w:pPr>
              <w:jc w:val="right"/>
              <w:ind w:right="138"/>
              <w:spacing w:after="0"/>
              <w:rPr>
                <w:sz w:val="20"/>
                <w:szCs w:val="20"/>
                <w:color w:val="auto"/>
              </w:rPr>
            </w:pPr>
            <w:r>
              <w:rPr>
                <w:rFonts w:ascii="Arial" w:cs="Arial" w:eastAsia="Arial" w:hAnsi="Arial"/>
                <w:sz w:val="15"/>
                <w:szCs w:val="15"/>
                <w:color w:val="auto"/>
                <w:w w:val="87"/>
              </w:rPr>
              <w:t>(3)</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1,164</w:t>
            </w:r>
          </w:p>
        </w:tc>
      </w:tr>
      <w:tr>
        <w:trPr>
          <w:trHeight w:val="257"/>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32"/>
        </w:trPr>
        <w:tc>
          <w:tcPr>
            <w:tcW w:w="3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color w:val="auto"/>
              </w:rPr>
              <w:t>December 31, 2021</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89"/>
              </w:rPr>
              <w:t>Commercial</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6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5"/>
                <w:szCs w:val="25"/>
                <w:color w:val="auto"/>
                <w:vertAlign w:val="superscript"/>
              </w:rPr>
              <w:t>(1)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(In thousands)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31,589</w:t>
            </w:r>
          </w:p>
        </w:tc>
        <w:tc>
          <w:tcPr>
            <w:tcW w:w="6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36,070</w:t>
            </w:r>
          </w:p>
        </w:tc>
      </w:tr>
      <w:tr>
        <w:trPr>
          <w:trHeight w:val="223"/>
        </w:trPr>
        <w:tc>
          <w:tcPr>
            <w:tcW w:w="44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Non-performing TDR's </w:t>
            </w:r>
            <w:r>
              <w:rPr>
                <w:rFonts w:ascii="Arial" w:cs="Arial" w:eastAsia="Arial" w:hAnsi="Arial"/>
                <w:sz w:val="25"/>
                <w:szCs w:val="25"/>
                <w:color w:val="auto"/>
                <w:vertAlign w:val="superscript"/>
              </w:rPr>
              <w:t>(2)</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400" w:type="dxa"/>
            <w:vAlign w:val="bottom"/>
          </w:tcPr>
          <w:p>
            <w:pPr>
              <w:jc w:val="right"/>
              <w:ind w:right="138"/>
              <w:spacing w:after="0"/>
              <w:rPr>
                <w:sz w:val="20"/>
                <w:szCs w:val="20"/>
                <w:color w:val="auto"/>
              </w:rPr>
            </w:pPr>
            <w:r>
              <w:rPr>
                <w:rFonts w:ascii="Arial" w:cs="Arial" w:eastAsia="Arial" w:hAnsi="Arial"/>
                <w:sz w:val="15"/>
                <w:szCs w:val="15"/>
                <w:color w:val="auto"/>
                <w:w w:val="87"/>
              </w:rPr>
              <w:t>(3)</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r>
      <w:tr>
        <w:trPr>
          <w:trHeight w:val="257"/>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32,605</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37,086</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Non-performing loans decreased by $0.6 million since year-end 2021, reflecting improving economic conditions and our ongoing collection efforts. Our collection and resolution efforts have generally resulted in a positive trend in non-performing loans.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Non-performing loans exclude performing loans that are classified as TDRs. Performing TDRs totaled $31.8 million, or 1.0% of total Portfolio Loans, and $36.1 million, or 1.2% of total Portfolio Loans, at June 30, 2022 and December 31, 2021, respectively. The decrease in the amount of performing TDRs in the first six months of 2022 reflects a decrease in both commercial and retail performing TDRs.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and repossessed assets totaled $0.5 million and $0.2 million at June 30, 2022, and December 31, 2021,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activity in our ACL on loans and ACL for unfunded lending commitments as well as the allocation of our ACL on loans.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w w:val="92"/>
              </w:rPr>
              <w:t>Allowance for credit losses on loans and unfunded lending commitments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jc w:val="right"/>
              <w:ind w:right="86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vMerge w:val="restart"/>
          </w:tcPr>
          <w:p>
            <w:pPr>
              <w:jc w:val="right"/>
              <w:ind w:right="21"/>
              <w:spacing w:after="0"/>
              <w:rPr>
                <w:sz w:val="20"/>
                <w:szCs w:val="20"/>
                <w:color w:val="auto"/>
              </w:rPr>
            </w:pPr>
            <w:r>
              <w:rPr>
                <w:rFonts w:ascii="Arial" w:cs="Arial" w:eastAsia="Arial" w:hAnsi="Arial"/>
                <w:sz w:val="18"/>
                <w:szCs w:val="18"/>
                <w:color w:val="auto"/>
              </w:rPr>
              <w:t>2022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June 30,</w:t>
            </w:r>
          </w:p>
        </w:tc>
        <w:tc>
          <w:tcPr>
            <w:tcW w:w="1280" w:type="dxa"/>
            <w:vAlign w:val="bottom"/>
            <w:gridSpan w:val="4"/>
            <w:vMerge w:val="restart"/>
          </w:tcPr>
          <w:p>
            <w:pPr>
              <w:jc w:val="right"/>
              <w:ind w:right="3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4"/>
              </w:rPr>
              <w:t>Unfunded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2"/>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Loans</w:t>
            </w: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Commitments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w w:val="93"/>
              </w:rPr>
              <w:t>Loans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Commitments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20" w:type="dxa"/>
            <w:vAlign w:val="bottom"/>
          </w:tcPr>
          <w:p>
            <w:pPr>
              <w:spacing w:after="0"/>
              <w:rPr>
                <w:sz w:val="20"/>
                <w:szCs w:val="20"/>
                <w:color w:val="auto"/>
              </w:rPr>
            </w:pPr>
            <w:r>
              <w:rPr>
                <w:rFonts w:ascii="Arial" w:cs="Arial" w:eastAsia="Arial" w:hAnsi="Arial"/>
                <w:sz w:val="18"/>
                <w:szCs w:val="18"/>
                <w:color w:val="auto"/>
              </w:rPr>
              <w:t>in</w:t>
            </w: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4,481</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Additions (deductions)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of adoption of ASC 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Initial allowance on loans purchased with credit deterioration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Recoveries credited to allowance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charged against the allowance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Recoveries included in non-interest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47,883</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loans charged (recovered) against the allowance to average Portfolio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Allocation of the Allowance for Credit Losses on Loans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Pooled analysis allocations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34,976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33,359</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allocations based on subjective factors</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12,291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47,883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47,252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ACL increased $0.6 million to $47.9 million at June 30, 2022 from $47.3 million at December 31, 2021 and was equal to 1.47% and 1.63% of total Portfolio Loans at June 30, 2022 and December 31, 2021,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December 31, 2021 the ACL related to specific loans decreased $0.5 million due primarily to a $2.3 million decrease in the amount of such loans. The ACL related to subjective factors decreased $0.5 million due primarily to lower reserve allocations reflecting a decrease in risk related to the COVID-19 pandemic that was partially offset by loan growth. The ACL related to pooled analysis of loans increased $1.6 million due primarily to loan growth that was partially offset by an improved loan risk rating mix.</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Deposits and borrowings. </w:t>
      </w:r>
      <w:r>
        <w:rPr>
          <w:rFonts w:ascii="Arial" w:cs="Arial" w:eastAsia="Arial" w:hAnsi="Arial"/>
          <w:sz w:val="18"/>
          <w:szCs w:val="18"/>
          <w:color w:val="auto"/>
        </w:rPr>
        <w:t>Historically, the loyalty of our customer base has allowed us to price deposits competitively, contributing to a net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Deposits totaled $4.29 billion and $4.12 billion at June 30, 2022 and December 31, 2021, respectively. The increase in deposits is primarily due to growth in non-interest bearing, savings and interest bearing checking deposits, time deposits, reciprocal deposits and brokered deposits. Reciprocal deposits totaled $615.2 million and $586.6 million at June 30, 2022 and December 31, 2021,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June 30, 2022, we had approximately $1.04 billion of uninsured deposits. A reduction in core deposits would likely increase our need to rely on wholesale funding 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borrowings, comprised primarily of advances from the FHLB, totaled $25.5 million and $30 million at June 30, 2022 and December 31, 2021,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we have utilized wholesale funding, including federal funds purchased, FHLB and FRB borrowings and Brokered CDs to augment our core deposits and fund a portion of our assets. At June 30, 2022, our use of such wholesale funding sources (including reciprocal deposits) amounted to approximately $680.7 million, or 15.8%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six months of 2022 and 2021, we entered into $18.5 million and $15.6 million (aggregate notional amounts), respectively, of interest rate swaps with commercial loan customers, which were offset with interest rate swaps that the Bank entered into with a broker-dealer. We recorded $0.2 million and $0.3 million of fee income related to these transactions during the first six months of 2022 and 2021, respectively. See note #6 to the Condensed Consolidated Financial Statements included within this report for more information on our derivative financial instruments.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June 30, 2022, we had $301.9 million of time deposits that mature in the next 12 months. Historically, a majority of these maturing time deposits are renewed by our customers. Additionally, $3.90 billion of our deposits at June 30, 2022,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$45.4 million as of June 30, 2022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316"/>
              <w:spacing w:after="0"/>
              <w:rPr>
                <w:sz w:val="20"/>
                <w:szCs w:val="20"/>
                <w:color w:val="auto"/>
              </w:rPr>
            </w:pPr>
            <w:r>
              <w:rPr>
                <w:rFonts w:ascii="Arial" w:cs="Arial" w:eastAsia="Arial" w:hAnsi="Arial"/>
                <w:sz w:val="18"/>
                <w:szCs w:val="18"/>
                <w:color w:val="auto"/>
                <w:w w:val="86"/>
              </w:rPr>
              <w:t>June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left="23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39,395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39,626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39,592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not qualifying as regulatory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Amount qualifying as regulatory capital</w:t>
            </w:r>
          </w:p>
        </w:tc>
        <w:tc>
          <w:tcPr>
            <w:tcW w:w="180" w:type="dxa"/>
            <w:vAlign w:val="bottom"/>
          </w:tcPr>
          <w:p>
            <w:pPr>
              <w:spacing w:after="0"/>
              <w:rPr>
                <w:sz w:val="19"/>
                <w:szCs w:val="19"/>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78,402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78,368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319,885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323,401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96,252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74,582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160" w:type="dxa"/>
            <w:vAlign w:val="bottom"/>
            <w:gridSpan w:val="2"/>
          </w:tcPr>
          <w:p>
            <w:pPr>
              <w:jc w:val="right"/>
              <w:ind w:right="76"/>
              <w:spacing w:after="0"/>
              <w:rPr>
                <w:sz w:val="20"/>
                <w:szCs w:val="20"/>
                <w:color w:val="auto"/>
              </w:rPr>
            </w:pPr>
            <w:r>
              <w:rPr>
                <w:rFonts w:ascii="Arial" w:cs="Arial" w:eastAsia="Arial" w:hAnsi="Arial"/>
                <w:sz w:val="18"/>
                <w:szCs w:val="18"/>
                <w:color w:val="auto"/>
              </w:rPr>
              <w:t>(85,003)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331,134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409,536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476,852</w:t>
            </w: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June 30, 2022 balance of $39.4 million is net of remaining unamortized deferred issuance costs of approximately $0.6 million that are being amortized through the maturity date into interest expense on other borrowings and subordinated debt and debentures in our Condensed Consolidated Statements of Operations.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special purpose entities with $39.6 million of outstanding cumulative trust preferred securities as of June 30, 2022.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2022 and December 31, 2021.</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Common shareholders’ equity decreased to $331.1 million at June 30, 2022, from $398.5 million at December 31, 2021. The decrease is primarily due to an $85.5 million decline in accumulated other comprehensive income (loss) related to unrealized losses on securities AFS, share repurchases and cash dividend payments that were partially offset by net income. Our tangible common equity (“TCE”) totaled $300.0 million and $366.8 million, respectively, at those same dates. Our ratio of TCE to tangible assets was 6.26% and 7.85% at June 30, 2022, and December 31, 2021, respectively. TCE and the ratio of TCE to tangible assets are non-GAAP measures. TCE represents total common equity less goodwill and other intangible assets.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our Board of Directors authorized a 2022 share repurchase plan. Under the terms of the 2022 share repurchase plan, we are authorized to buy back up to 1,100,000, or approximately 5% of our outstanding common stock. During the first six months of 2022, the Company repurchased 181,586 shares at a weighted average purchase price of $22.08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pay a quarterly cash dividend on our common stock. These dividends totaled $0.44 per share and $0.42 per share in the first six months of 2022 and 2021, respectively. We generally favor a dividend payout ratio between 30% and 50% of net income.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2022 and December 31, 2021, our Bank (and holding company) continued to meet the requirements to be considered “well-capitalized” under federal regulatory standards (also see note #10 to the Condensed Consolidated Financial Statements included within this report).</w:t>
      </w:r>
    </w:p>
    <w:p>
      <w:pPr>
        <w:spacing w:after="0" w:line="14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During 2022, both our interest rate risk profile as measured by our short term earnings simulation and our longer term interest rate risk measure based on changes in economic value indicates exposure to rising rates. The shift is primarily due to an increase in asset duration and an increase in the repricing speed of liabilities. The increase in asset duration is attributed to growth in portfolio mortgage loans combined with lower cash balances. The increase in the repricing of liabilities is attributed to higher deposit betas. However, we are carefully monitoring the change in the composition of our earning assets and paying liability repricing speed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Market</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Portfolio</w:t>
            </w:r>
          </w:p>
        </w:tc>
        <w:tc>
          <w:tcPr>
            <w:tcW w:w="14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5740" w:type="dxa"/>
            <w:vAlign w:val="bottom"/>
          </w:tcPr>
          <w:p>
            <w:pPr>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Equity(1)</w:t>
            </w:r>
          </w:p>
        </w:tc>
        <w:tc>
          <w:tcPr>
            <w:tcW w:w="14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Income(2)</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4"/>
        </w:trPr>
        <w:tc>
          <w:tcPr>
            <w:tcW w:w="57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4"/>
              </w:rPr>
              <w:t>in</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476,000</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520,100</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161,500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565,200</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572,600</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155,400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514,200</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550,900</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136,800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546,200</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473,000</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126,700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12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83" w:lineRule="exact"/>
        <w:rPr>
          <w:sz w:val="20"/>
          <w:szCs w:val="20"/>
          <w:color w:val="auto"/>
        </w:rPr>
      </w:pPr>
    </w:p>
    <w:p>
      <w:pPr>
        <w:jc w:val="both"/>
        <w:ind w:left="340" w:hanging="332"/>
        <w:spacing w:after="0" w:line="255"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interim condensed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2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2022, have concluded that, as of such date, our disclosure controls and procedures were effective.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June 30, 2022,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2022, the Company issued 375 shares of common stock to non-employee directors on a current basis and 3,939 shares of common stock to the trust for distribution to directors on a deferred basis. These shares were issued on April 1, 2022 representing aggregate fees of $0.09 million. The shares on a current basis were issued at a price of $22.00 per share and the shares on a deferred basis were issued at a price of $19.80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4060" w:type="dxa"/>
            <w:vAlign w:val="bottom"/>
          </w:tcPr>
          <w:p>
            <w:pPr>
              <w:ind w:left="2360"/>
              <w:spacing w:after="0"/>
              <w:rPr>
                <w:sz w:val="20"/>
                <w:szCs w:val="20"/>
                <w:color w:val="auto"/>
              </w:rPr>
            </w:pPr>
            <w:r>
              <w:rPr>
                <w:rFonts w:ascii="Arial" w:cs="Arial" w:eastAsia="Arial" w:hAnsi="Arial"/>
                <w:sz w:val="18"/>
                <w:szCs w:val="18"/>
                <w:color w:val="auto"/>
              </w:rPr>
              <w:t>Period</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Shares Purchased (1)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2022</w:t>
            </w:r>
          </w:p>
        </w:tc>
        <w:tc>
          <w:tcPr>
            <w:tcW w:w="28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110,248</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110,109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930,889</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May 2022</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14,189</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12,475</w:t>
            </w:r>
          </w:p>
        </w:tc>
        <w:tc>
          <w:tcPr>
            <w:tcW w:w="1440" w:type="dxa"/>
            <w:vAlign w:val="bottom"/>
          </w:tcPr>
          <w:p>
            <w:pPr>
              <w:jc w:val="right"/>
              <w:spacing w:after="0"/>
              <w:rPr>
                <w:sz w:val="20"/>
                <w:szCs w:val="20"/>
                <w:color w:val="auto"/>
              </w:rPr>
            </w:pPr>
            <w:r>
              <w:rPr>
                <w:rFonts w:ascii="Arial" w:cs="Arial" w:eastAsia="Arial" w:hAnsi="Arial"/>
                <w:sz w:val="18"/>
                <w:szCs w:val="18"/>
                <w:color w:val="auto"/>
              </w:rPr>
              <w:t>918,414</w:t>
            </w:r>
          </w:p>
        </w:tc>
        <w:tc>
          <w:tcPr>
            <w:tcW w:w="100" w:type="dxa"/>
            <w:vAlign w:val="bottom"/>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2022</w:t>
            </w:r>
          </w:p>
        </w:tc>
        <w:tc>
          <w:tcPr>
            <w:tcW w:w="1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124,437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122,584</w:t>
            </w:r>
          </w:p>
        </w:tc>
        <w:tc>
          <w:tcPr>
            <w:tcW w:w="1440" w:type="dxa"/>
            <w:vAlign w:val="bottom"/>
          </w:tcPr>
          <w:p>
            <w:pPr>
              <w:jc w:val="right"/>
              <w:spacing w:after="0"/>
              <w:rPr>
                <w:sz w:val="20"/>
                <w:szCs w:val="20"/>
                <w:color w:val="auto"/>
              </w:rPr>
            </w:pPr>
            <w:r>
              <w:rPr>
                <w:rFonts w:ascii="Arial" w:cs="Arial" w:eastAsia="Arial" w:hAnsi="Arial"/>
                <w:sz w:val="18"/>
                <w:szCs w:val="18"/>
                <w:color w:val="auto"/>
              </w:rPr>
              <w:t>918,414</w:t>
            </w: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April and May include 139 shares and 1,714 shares, respectively, withheld from the shares that would otherwise have been issued to certain officers in order to satisfy tax withholding obligations resulting from the vesting of restricted stock and performance share units as well as satisfy tax withholding obligations and stock option exercise price resulting from the exercise of stock options.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25" w:lineRule="exact"/>
        <w:rPr>
          <w:sz w:val="20"/>
          <w:szCs w:val="20"/>
          <w:color w:val="auto"/>
        </w:rPr>
      </w:pPr>
    </w:p>
    <w:p>
      <w:pPr>
        <w:ind w:left="680" w:hanging="335"/>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1140" w:hanging="459"/>
        <w:spacing w:after="0" w:line="250" w:lineRule="auto"/>
        <w:rPr>
          <w:rFonts w:ascii="Arial" w:cs="Arial" w:eastAsia="Arial" w:hAnsi="Arial"/>
          <w:sz w:val="18"/>
          <w:szCs w:val="18"/>
          <w:color w:val="0000EE"/>
        </w:rPr>
      </w:pPr>
      <w:hyperlink w:anchor="page93">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59"/>
        <w:spacing w:after="0" w:line="250" w:lineRule="auto"/>
        <w:rPr>
          <w:rFonts w:ascii="Arial" w:cs="Arial" w:eastAsia="Arial" w:hAnsi="Arial"/>
          <w:sz w:val="18"/>
          <w:szCs w:val="18"/>
          <w:color w:val="0000EE"/>
        </w:rPr>
      </w:pPr>
      <w:hyperlink w:anchor="page94">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59"/>
        <w:spacing w:after="0" w:line="250" w:lineRule="auto"/>
        <w:rPr>
          <w:rFonts w:ascii="Arial" w:cs="Arial" w:eastAsia="Arial" w:hAnsi="Arial"/>
          <w:sz w:val="18"/>
          <w:szCs w:val="18"/>
          <w:color w:val="0000EE"/>
        </w:rPr>
      </w:pPr>
      <w:hyperlink w:anchor="page95">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hanging="458"/>
        <w:spacing w:after="0" w:line="250" w:lineRule="auto"/>
        <w:tabs>
          <w:tab w:leader="none" w:pos="1120" w:val="left"/>
        </w:tabs>
        <w:rPr>
          <w:rFonts w:ascii="Arial" w:cs="Arial" w:eastAsia="Arial" w:hAnsi="Arial"/>
          <w:sz w:val="18"/>
          <w:szCs w:val="18"/>
          <w:color w:val="0000EE"/>
        </w:rPr>
      </w:pPr>
      <w:hyperlink w:anchor="page96">
        <w:r>
          <w:rPr>
            <w:rFonts w:ascii="Arial" w:cs="Arial" w:eastAsia="Arial" w:hAnsi="Arial"/>
            <w:sz w:val="18"/>
            <w:szCs w:val="18"/>
            <w:u w:val="single" w:color="auto"/>
            <w:color w:val="0000EE"/>
          </w:rPr>
          <w:t>32.2</w:t>
        </w:r>
      </w:hyperlink>
      <w:r>
        <w:rPr>
          <w:rFonts w:ascii="Arial" w:cs="Arial" w:eastAsia="Arial" w:hAnsi="Arial"/>
          <w:sz w:val="18"/>
          <w:szCs w:val="18"/>
          <w:color w:val="0000EE"/>
        </w:rPr>
        <w:tab/>
        <w:t>Certificate of the Chief Financial Officer of Independent Bank Corporation pursuant to Section 906 of the Sarbanes-Oxley Act of 2002 (18 U.S.C. 1350).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right="20" w:hanging="457"/>
        <w:spacing w:after="0" w:line="250"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 Inline XBRL Instance Document (the instance document does not appear in the Interactive Data File because its XBRL tags are embedded within the Inline XBRL document)</w:t>
      </w:r>
    </w:p>
    <w:p>
      <w:pPr>
        <w:spacing w:after="0" w:line="1" w:lineRule="exact"/>
        <w:rPr>
          <w:rFonts w:ascii="Arial" w:cs="Arial" w:eastAsia="Arial" w:hAnsi="Arial"/>
          <w:sz w:val="18"/>
          <w:szCs w:val="18"/>
          <w:color w:val="0000EE"/>
        </w:rPr>
      </w:pPr>
    </w:p>
    <w:p>
      <w:pPr>
        <w:ind w:left="68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SCH Inline XBRL Taxonomy Extension Schema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CAL Inline XBRL Taxonomy Extension Calculation Linkbase Document</w:t>
      </w:r>
    </w:p>
    <w:p>
      <w:pPr>
        <w:spacing w:after="0" w:line="9" w:lineRule="exact"/>
        <w:rPr>
          <w:rFonts w:ascii="Arial" w:cs="Arial" w:eastAsia="Arial" w:hAnsi="Arial"/>
          <w:sz w:val="18"/>
          <w:szCs w:val="18"/>
          <w:color w:val="0000EE"/>
        </w:rPr>
      </w:pPr>
    </w:p>
    <w:p>
      <w:pPr>
        <w:ind w:left="68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DEF Inline XBRL Taxonomy Extension Definition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LAB Inline XBRL Taxonomy Extension Label Linkbase Document</w:t>
      </w:r>
    </w:p>
    <w:p>
      <w:pPr>
        <w:spacing w:after="0" w:line="9" w:lineRule="exact"/>
        <w:rPr>
          <w:rFonts w:ascii="Arial" w:cs="Arial" w:eastAsia="Arial" w:hAnsi="Arial"/>
          <w:sz w:val="18"/>
          <w:szCs w:val="18"/>
          <w:color w:val="0000EE"/>
        </w:rPr>
      </w:pPr>
    </w:p>
    <w:p>
      <w:pPr>
        <w:ind w:left="68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PRE Inline XBRL Taxonomy Extension Presentation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spacing w:after="0"/>
        <w:tabs>
          <w:tab w:leader="none" w:pos="112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395"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2040" w:val="left"/>
          <w:tab w:leader="none" w:pos="5620" w:val="left"/>
          <w:tab w:leader="none" w:pos="7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69005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Gavin A. Mohr, Principal Financial Officer</w:t>
      </w:r>
    </w:p>
    <w:p>
      <w:pPr>
        <w:spacing w:after="0" w:line="200" w:lineRule="exact"/>
        <w:rPr>
          <w:sz w:val="20"/>
          <w:szCs w:val="20"/>
          <w:color w:val="auto"/>
        </w:rPr>
      </w:pPr>
    </w:p>
    <w:p>
      <w:pPr>
        <w:spacing w:after="0" w:line="241" w:lineRule="exact"/>
        <w:rPr>
          <w:sz w:val="20"/>
          <w:szCs w:val="20"/>
          <w:color w:val="auto"/>
        </w:rPr>
      </w:pPr>
    </w:p>
    <w:p>
      <w:pPr>
        <w:spacing w:after="0"/>
        <w:tabs>
          <w:tab w:leader="none" w:pos="2040" w:val="left"/>
          <w:tab w:leader="none" w:pos="56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69005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James J. Twarozynski, Principal Accounting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3"/>
          </w:tcPr>
          <w:p>
            <w:pPr>
              <w:ind w:left="2020"/>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3620" w:type="dxa"/>
            <w:vAlign w:val="bottom"/>
          </w:tcPr>
          <w:p>
            <w:pPr>
              <w:spacing w:after="0"/>
              <w:rPr>
                <w:sz w:val="20"/>
                <w:szCs w:val="20"/>
                <w:color w:val="auto"/>
              </w:rPr>
            </w:pPr>
            <w:r>
              <w:rPr>
                <w:rFonts w:ascii="Arial" w:cs="Arial" w:eastAsia="Arial" w:hAnsi="Arial"/>
                <w:sz w:val="18"/>
                <w:szCs w:val="18"/>
                <w:color w:val="auto"/>
              </w:rPr>
              <w:t>Date: August 5, 2022</w:t>
            </w:r>
          </w:p>
        </w:tc>
        <w:tc>
          <w:tcPr>
            <w:tcW w:w="2020" w:type="dxa"/>
            <w:vAlign w:val="bottom"/>
          </w:tcPr>
          <w:p>
            <w:pPr>
              <w:spacing w:after="0"/>
              <w:rPr>
                <w:sz w:val="24"/>
                <w:szCs w:val="24"/>
                <w:color w:val="auto"/>
              </w:rPr>
            </w:pPr>
          </w:p>
        </w:tc>
        <w:tc>
          <w:tcPr>
            <w:tcW w:w="5600" w:type="dxa"/>
            <w:vAlign w:val="bottom"/>
            <w:gridSpan w:val="2"/>
          </w:tcPr>
          <w:p>
            <w:pPr>
              <w:ind w:left="180"/>
              <w:spacing w:after="0"/>
              <w:rPr>
                <w:sz w:val="20"/>
                <w:szCs w:val="20"/>
                <w:color w:val="auto"/>
              </w:rPr>
            </w:pPr>
            <w:r>
              <w:rPr>
                <w:rFonts w:ascii="Arial" w:cs="Arial" w:eastAsia="Arial" w:hAnsi="Arial"/>
                <w:sz w:val="18"/>
                <w:szCs w:val="18"/>
                <w:color w:val="auto"/>
              </w:rPr>
              <w:t>/s/ William B. Kessel</w:t>
            </w:r>
          </w:p>
        </w:tc>
      </w:tr>
      <w:tr>
        <w:trPr>
          <w:trHeight w:val="222"/>
        </w:trPr>
        <w:tc>
          <w:tcPr>
            <w:tcW w:w="3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7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7"/>
              </w:rPr>
              <w:t>William B. Kessel</w:t>
            </w:r>
          </w:p>
        </w:tc>
        <w:tc>
          <w:tcPr>
            <w:tcW w:w="39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3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Gavin A. Mohr, certify that:</w:t>
      </w:r>
    </w:p>
    <w:p>
      <w:pPr>
        <w:spacing w:after="0" w:line="24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3"/>
          </w:tcPr>
          <w:p>
            <w:pPr>
              <w:ind w:left="2020"/>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3620" w:type="dxa"/>
            <w:vAlign w:val="bottom"/>
          </w:tcPr>
          <w:p>
            <w:pPr>
              <w:spacing w:after="0"/>
              <w:rPr>
                <w:sz w:val="20"/>
                <w:szCs w:val="20"/>
                <w:color w:val="auto"/>
              </w:rPr>
            </w:pPr>
            <w:r>
              <w:rPr>
                <w:rFonts w:ascii="Arial" w:cs="Arial" w:eastAsia="Arial" w:hAnsi="Arial"/>
                <w:sz w:val="18"/>
                <w:szCs w:val="18"/>
                <w:color w:val="auto"/>
              </w:rPr>
              <w:t>Date: August 5, 2022</w:t>
            </w:r>
          </w:p>
        </w:tc>
        <w:tc>
          <w:tcPr>
            <w:tcW w:w="2020" w:type="dxa"/>
            <w:vAlign w:val="bottom"/>
          </w:tcPr>
          <w:p>
            <w:pPr>
              <w:spacing w:after="0"/>
              <w:rPr>
                <w:sz w:val="24"/>
                <w:szCs w:val="24"/>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3"/>
              </w:rPr>
              <w:t>/s/ Gavin A. Mohr</w:t>
            </w:r>
          </w:p>
        </w:tc>
        <w:tc>
          <w:tcPr>
            <w:tcW w:w="4140" w:type="dxa"/>
            <w:vAlign w:val="bottom"/>
          </w:tcPr>
          <w:p>
            <w:pPr>
              <w:spacing w:after="0"/>
              <w:rPr>
                <w:sz w:val="24"/>
                <w:szCs w:val="24"/>
                <w:color w:val="auto"/>
              </w:rPr>
            </w:pPr>
          </w:p>
        </w:tc>
      </w:tr>
      <w:tr>
        <w:trPr>
          <w:trHeight w:val="222"/>
        </w:trPr>
        <w:tc>
          <w:tcPr>
            <w:tcW w:w="3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30"/>
        </w:trPr>
        <w:tc>
          <w:tcPr>
            <w:tcW w:w="3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3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274" w:lineRule="auto"/>
        <w:tabs>
          <w:tab w:leader="none" w:pos="1758"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quarterly report on Form 10-Q for the quarterly period ended June 30, 2022, which this statement accompanies, fully complies with requirements of Section 13(a) or 15(d) of the Securities Exchange Act of 1934 and;</w:t>
      </w:r>
    </w:p>
    <w:p>
      <w:pPr>
        <w:spacing w:after="0" w:line="177" w:lineRule="exact"/>
        <w:rPr>
          <w:rFonts w:ascii="Arial" w:cs="Arial" w:eastAsia="Arial" w:hAnsi="Arial"/>
          <w:sz w:val="21"/>
          <w:szCs w:val="21"/>
          <w:color w:val="auto"/>
        </w:rPr>
      </w:pPr>
    </w:p>
    <w:p>
      <w:pPr>
        <w:ind w:right="260" w:firstLine="656"/>
        <w:spacing w:after="0" w:line="328" w:lineRule="auto"/>
        <w:tabs>
          <w:tab w:leader="none" w:pos="14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June 30, 2022,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w w:val="95"/>
              </w:rPr>
              <w:t>INDEPENDENT BANK CORPORATION</w:t>
            </w:r>
          </w:p>
        </w:tc>
      </w:tr>
      <w:tr>
        <w:trPr>
          <w:trHeight w:val="391"/>
        </w:trPr>
        <w:tc>
          <w:tcPr>
            <w:tcW w:w="3620" w:type="dxa"/>
            <w:vAlign w:val="bottom"/>
          </w:tcPr>
          <w:p>
            <w:pPr>
              <w:spacing w:after="0"/>
              <w:rPr>
                <w:sz w:val="20"/>
                <w:szCs w:val="20"/>
                <w:color w:val="auto"/>
              </w:rPr>
            </w:pPr>
            <w:r>
              <w:rPr>
                <w:rFonts w:ascii="Arial" w:cs="Arial" w:eastAsia="Arial" w:hAnsi="Arial"/>
                <w:sz w:val="18"/>
                <w:szCs w:val="18"/>
                <w:color w:val="auto"/>
              </w:rPr>
              <w:t>Date: August 5, 2022</w:t>
            </w:r>
          </w:p>
        </w:tc>
        <w:tc>
          <w:tcPr>
            <w:tcW w:w="2020" w:type="dxa"/>
            <w:vAlign w:val="bottom"/>
          </w:tcPr>
          <w:p>
            <w:pPr>
              <w:spacing w:after="0"/>
              <w:rPr>
                <w:sz w:val="24"/>
                <w:szCs w:val="24"/>
                <w:color w:val="auto"/>
              </w:rPr>
            </w:pPr>
          </w:p>
        </w:tc>
        <w:tc>
          <w:tcPr>
            <w:tcW w:w="3100" w:type="dxa"/>
            <w:vAlign w:val="bottom"/>
            <w:gridSpan w:val="2"/>
          </w:tcPr>
          <w:p>
            <w:pPr>
              <w:ind w:left="140"/>
              <w:spacing w:after="0"/>
              <w:rPr>
                <w:sz w:val="20"/>
                <w:szCs w:val="20"/>
                <w:color w:val="auto"/>
              </w:rPr>
            </w:pPr>
            <w:r>
              <w:rPr>
                <w:rFonts w:ascii="Arial" w:cs="Arial" w:eastAsia="Arial" w:hAnsi="Arial"/>
                <w:sz w:val="18"/>
                <w:szCs w:val="18"/>
                <w:color w:val="auto"/>
              </w:rPr>
              <w:t>/s/ William B. Kessel</w:t>
            </w:r>
          </w:p>
        </w:tc>
      </w:tr>
      <w:tr>
        <w:trPr>
          <w:trHeight w:val="222"/>
        </w:trPr>
        <w:tc>
          <w:tcPr>
            <w:tcW w:w="3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4"/>
              </w:rPr>
              <w:t>William B. Kessel</w:t>
            </w:r>
          </w:p>
        </w:tc>
        <w:tc>
          <w:tcPr>
            <w:tcW w:w="14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Gavin A. Mohr, Chief Financial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8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June 30, 2022,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firstLine="656"/>
        <w:spacing w:after="0" w:line="328" w:lineRule="auto"/>
        <w:tabs>
          <w:tab w:leader="none" w:pos="152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June 30, 2022,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5140" w:type="dxa"/>
            <w:vAlign w:val="bottom"/>
            <w:gridSpan w:val="3"/>
          </w:tcPr>
          <w:p>
            <w:pPr>
              <w:ind w:left="2040"/>
              <w:spacing w:after="0"/>
              <w:rPr>
                <w:sz w:val="20"/>
                <w:szCs w:val="20"/>
                <w:color w:val="auto"/>
              </w:rPr>
            </w:pPr>
            <w:r>
              <w:rPr>
                <w:rFonts w:ascii="Arial" w:cs="Arial" w:eastAsia="Arial" w:hAnsi="Arial"/>
                <w:sz w:val="18"/>
                <w:szCs w:val="18"/>
                <w:color w:val="auto"/>
                <w:w w:val="95"/>
              </w:rPr>
              <w:t>INDEPENDENT BANK CORPORATION</w:t>
            </w:r>
          </w:p>
        </w:tc>
      </w:tr>
      <w:tr>
        <w:trPr>
          <w:trHeight w:val="391"/>
        </w:trPr>
        <w:tc>
          <w:tcPr>
            <w:tcW w:w="3600" w:type="dxa"/>
            <w:vAlign w:val="bottom"/>
          </w:tcPr>
          <w:p>
            <w:pPr>
              <w:spacing w:after="0"/>
              <w:rPr>
                <w:sz w:val="20"/>
                <w:szCs w:val="20"/>
                <w:color w:val="auto"/>
              </w:rPr>
            </w:pPr>
            <w:r>
              <w:rPr>
                <w:rFonts w:ascii="Arial" w:cs="Arial" w:eastAsia="Arial" w:hAnsi="Arial"/>
                <w:sz w:val="18"/>
                <w:szCs w:val="18"/>
                <w:color w:val="auto"/>
              </w:rPr>
              <w:t>Date: August 5, 2022</w:t>
            </w:r>
          </w:p>
        </w:tc>
        <w:tc>
          <w:tcPr>
            <w:tcW w:w="2040" w:type="dxa"/>
            <w:vAlign w:val="bottom"/>
          </w:tcPr>
          <w:p>
            <w:pPr>
              <w:spacing w:after="0"/>
              <w:rPr>
                <w:sz w:val="24"/>
                <w:szCs w:val="24"/>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3"/>
              </w:rPr>
              <w:t>/s/ Gavin A. Mohr</w:t>
            </w:r>
          </w:p>
        </w:tc>
        <w:tc>
          <w:tcPr>
            <w:tcW w:w="1640" w:type="dxa"/>
            <w:vAlign w:val="bottom"/>
          </w:tcPr>
          <w:p>
            <w:pPr>
              <w:spacing w:after="0"/>
              <w:rPr>
                <w:sz w:val="24"/>
                <w:szCs w:val="24"/>
                <w:color w:val="auto"/>
              </w:rPr>
            </w:pPr>
          </w:p>
        </w:tc>
      </w:tr>
      <w:tr>
        <w:trPr>
          <w:trHeight w:val="222"/>
        </w:trPr>
        <w:tc>
          <w:tcPr>
            <w:tcW w:w="3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30"/>
        </w:trPr>
        <w:tc>
          <w:tcPr>
            <w:tcW w:w="36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3"/>
    </w:lvl>
  </w:abstractNum>
  <w:abstractNum w:abstractNumId="4">
    <w:nsid w:val="4353D0CD"/>
    <w:multiLevelType w:val="hybridMultilevel"/>
    <w:lvl w:ilvl="0">
      <w:lvlJc w:val="left"/>
      <w:lvlText w:val="%1."/>
      <w:numFmt w:val="decimal"/>
      <w:start w:val="4"/>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upperLetter"/>
      <w:start w:val="68"/>
    </w:lvl>
  </w:abstractNum>
  <w:abstractNum w:abstractNumId="8">
    <w:nsid w:val="71F32454"/>
    <w:multiLevelType w:val="hybridMultilevel"/>
    <w:lvl w:ilvl="0">
      <w:lvlJc w:val="left"/>
      <w:lvlText w:val="%1"/>
      <w:numFmt w:val="upperLetter"/>
      <w:start w:val="68"/>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6"/>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3"/>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2"/>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3"/>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4"/>
    </w:lvl>
  </w:abstractNum>
  <w:abstractNum w:abstractNumId="24">
    <w:nsid w:val="440BADFC"/>
    <w:multiLevelType w:val="hybridMultilevel"/>
    <w:lvl w:ilvl="0">
      <w:lvlJc w:val="left"/>
      <w:lvlText w:val="$"/>
      <w:numFmt w:val="bullet"/>
      <w:start w:val="1"/>
    </w:lvl>
    <w:lvl w:ilvl="1">
      <w:lvlJc w:val="left"/>
      <w:lvlText w:val="(%2)"/>
      <w:numFmt w:val="decimal"/>
      <w:start w:val="73"/>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lvl w:ilvl="1">
      <w:lvlJc w:val="left"/>
      <w:lvlText w:val="(%2)"/>
      <w:numFmt w:val="decimal"/>
      <w:start w:val="58"/>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5"/>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10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2022-08-05T11:01:22Z</dcterms:created>
  <dcterms:modified xsi:type="dcterms:W3CDTF">2022-08-05T11:01:22Z</dcterms:modified>
</cp:coreProperties>
</file>