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FORM 10-Q</w:t>
      </w:r>
    </w:p>
    <w:p>
      <w:pPr>
        <w:spacing w:after="0" w:line="251" w:lineRule="exact"/>
        <w:rPr>
          <w:sz w:val="24"/>
          <w:szCs w:val="24"/>
          <w:color w:val="auto"/>
        </w:rPr>
      </w:pPr>
    </w:p>
    <w:p>
      <w:pPr>
        <w:ind w:right="40"/>
        <w:spacing w:after="0" w:line="251" w:lineRule="auto"/>
        <w:rPr>
          <w:sz w:val="20"/>
          <w:szCs w:val="20"/>
          <w:color w:val="auto"/>
        </w:rPr>
      </w:pPr>
      <w:r>
        <w:rPr>
          <w:rFonts w:ascii="Arial" w:cs="Arial" w:eastAsia="Arial" w:hAnsi="Arial"/>
          <w:sz w:val="22"/>
          <w:szCs w:val="22"/>
          <w:color w:val="auto"/>
        </w:rPr>
        <w:t xml:space="preserve">QUARTERLY REPORT PURSUANT TO SECTION 13 OR 15(d) OF THE SECURITIES EXCHANGE ACT OF 1934 FOR THE QUARTERLY PERIOD ENDED </w:t>
      </w:r>
      <w:r>
        <w:rPr>
          <w:rFonts w:ascii="Arial" w:cs="Arial" w:eastAsia="Arial" w:hAnsi="Arial"/>
          <w:sz w:val="22"/>
          <w:szCs w:val="22"/>
          <w:u w:val="single" w:color="auto"/>
          <w:color w:val="auto"/>
        </w:rPr>
        <w:t>September 30, 2019</w:t>
      </w:r>
    </w:p>
    <w:p>
      <w:pPr>
        <w:spacing w:after="0" w:line="200" w:lineRule="exact"/>
        <w:rPr>
          <w:sz w:val="24"/>
          <w:szCs w:val="24"/>
          <w:color w:val="auto"/>
        </w:rPr>
      </w:pPr>
    </w:p>
    <w:p>
      <w:pPr>
        <w:spacing w:after="0"/>
        <w:rPr>
          <w:sz w:val="20"/>
          <w:szCs w:val="20"/>
          <w:color w:val="auto"/>
        </w:rPr>
      </w:pPr>
      <w:r>
        <w:rPr>
          <w:rFonts w:ascii="Arial" w:cs="Arial" w:eastAsia="Arial" w:hAnsi="Arial"/>
          <w:sz w:val="22"/>
          <w:szCs w:val="22"/>
          <w:color w:val="auto"/>
        </w:rPr>
        <w:t>Commission file number  0-7818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1369695</wp:posOffset>
            </wp:positionH>
            <wp:positionV relativeFrom="paragraph">
              <wp:posOffset>-17780</wp:posOffset>
            </wp:positionV>
            <wp:extent cx="491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149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86"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620" w:type="dxa"/>
            <w:vAlign w:val="bottom"/>
          </w:tcPr>
          <w:p>
            <w:pPr>
              <w:jc w:val="center"/>
              <w:spacing w:after="0"/>
              <w:rPr>
                <w:sz w:val="20"/>
                <w:szCs w:val="20"/>
                <w:color w:val="auto"/>
              </w:rPr>
            </w:pPr>
            <w:r>
              <w:rPr>
                <w:rFonts w:ascii="Arial" w:cs="Arial" w:eastAsia="Arial" w:hAnsi="Arial"/>
                <w:sz w:val="18"/>
                <w:szCs w:val="18"/>
                <w:color w:val="auto"/>
                <w:w w:val="97"/>
              </w:rPr>
              <w:t>Michigan</w:t>
            </w:r>
          </w:p>
        </w:tc>
        <w:tc>
          <w:tcPr>
            <w:tcW w:w="5800" w:type="dxa"/>
            <w:vAlign w:val="bottom"/>
            <w:gridSpan w:val="2"/>
          </w:tcPr>
          <w:p>
            <w:pPr>
              <w:jc w:val="right"/>
              <w:ind w:right="2270"/>
              <w:spacing w:after="0"/>
              <w:rPr>
                <w:sz w:val="20"/>
                <w:szCs w:val="20"/>
                <w:color w:val="auto"/>
              </w:rPr>
            </w:pPr>
            <w:r>
              <w:rPr>
                <w:rFonts w:ascii="Arial" w:cs="Arial" w:eastAsia="Arial" w:hAnsi="Arial"/>
                <w:sz w:val="18"/>
                <w:szCs w:val="18"/>
                <w:color w:val="auto"/>
              </w:rPr>
              <w:t>38-2032782</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jurisdiction of Incorporation or Organization)</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Number)</w:t>
            </w:r>
          </w:p>
        </w:tc>
      </w:tr>
    </w:tbl>
    <w:p>
      <w:pPr>
        <w:spacing w:after="0" w:line="214"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4200 East Beltline, Grand Rapids, Michigan 49525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(Address of principal executive offices)</w:t>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(616) 527-5820</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address and fiscal year, if changed since last report.</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44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Title of each Class</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Trading Symbol</w:t>
            </w:r>
          </w:p>
        </w:tc>
        <w:tc>
          <w:tcPr>
            <w:tcW w:w="4780" w:type="dxa"/>
            <w:vAlign w:val="bottom"/>
          </w:tcPr>
          <w:p>
            <w:pPr>
              <w:jc w:val="center"/>
              <w:spacing w:after="0"/>
              <w:rPr>
                <w:sz w:val="20"/>
                <w:szCs w:val="20"/>
                <w:color w:val="auto"/>
              </w:rPr>
            </w:pPr>
            <w:r>
              <w:rPr>
                <w:rFonts w:ascii="Arial" w:cs="Arial" w:eastAsia="Arial" w:hAnsi="Arial"/>
                <w:sz w:val="18"/>
                <w:szCs w:val="18"/>
                <w:color w:val="auto"/>
                <w:w w:val="89"/>
              </w:rPr>
              <w:t>Name of each exchange which registered</w:t>
            </w:r>
          </w:p>
        </w:tc>
      </w:tr>
      <w:tr>
        <w:trPr>
          <w:trHeight w:val="230"/>
        </w:trPr>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120" w:type="dxa"/>
            <w:vAlign w:val="bottom"/>
          </w:tcPr>
          <w:p>
            <w:pPr>
              <w:spacing w:after="0"/>
              <w:rPr>
                <w:sz w:val="20"/>
                <w:szCs w:val="20"/>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IBCP</w:t>
            </w:r>
          </w:p>
        </w:tc>
        <w:tc>
          <w:tcPr>
            <w:tcW w:w="100" w:type="dxa"/>
            <w:vAlign w:val="bottom"/>
          </w:tcPr>
          <w:p>
            <w:pPr>
              <w:spacing w:after="0"/>
              <w:rPr>
                <w:sz w:val="20"/>
                <w:szCs w:val="20"/>
                <w:color w:val="auto"/>
              </w:rPr>
            </w:pPr>
          </w:p>
        </w:tc>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7" w:lineRule="exact"/>
        <w:rPr>
          <w:sz w:val="24"/>
          <w:szCs w:val="24"/>
          <w:color w:val="auto"/>
        </w:rPr>
      </w:pPr>
    </w:p>
    <w:p>
      <w:pPr>
        <w:ind w:right="60"/>
        <w:spacing w:after="0" w:line="266" w:lineRule="exact"/>
        <w:rPr>
          <w:sz w:val="20"/>
          <w:szCs w:val="20"/>
          <w:color w:val="auto"/>
        </w:rPr>
      </w:pPr>
      <w:r>
        <w:rPr>
          <w:rFonts w:ascii="Arial" w:cs="Arial" w:eastAsia="Arial" w:hAnsi="Arial"/>
          <w:sz w:val="21"/>
          <w:szCs w:val="21"/>
          <w:color w:val="auto"/>
        </w:rPr>
        <w:t xml:space="preserve">Indicate by check mark whether the registrant (1) has filed all documents and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21"/>
          <w:szCs w:val="21"/>
          <w:color w:val="auto"/>
        </w:rPr>
        <w:t xml:space="preserve"> NO </w:t>
      </w:r>
      <w:r>
        <w:rPr>
          <w:rFonts w:ascii="MS PGothic" w:cs="MS PGothic" w:eastAsia="MS PGothic" w:hAnsi="MS PGothic"/>
          <w:sz w:val="21"/>
          <w:szCs w:val="21"/>
          <w:color w:val="auto"/>
        </w:rPr>
        <w:t>☐</w:t>
      </w:r>
    </w:p>
    <w:p>
      <w:pPr>
        <w:spacing w:after="0" w:line="189" w:lineRule="exact"/>
        <w:rPr>
          <w:sz w:val="24"/>
          <w:szCs w:val="24"/>
          <w:color w:val="auto"/>
        </w:rPr>
      </w:pPr>
    </w:p>
    <w:p>
      <w:pPr>
        <w:ind w:right="100"/>
        <w:spacing w:after="0" w:line="275" w:lineRule="auto"/>
        <w:rPr>
          <w:sz w:val="20"/>
          <w:szCs w:val="20"/>
          <w:color w:val="auto"/>
        </w:rPr>
      </w:pPr>
      <w:r>
        <w:rPr>
          <w:rFonts w:ascii="Arial" w:cs="Arial" w:eastAsia="Arial" w:hAnsi="Arial"/>
          <w:sz w:val="19"/>
          <w:szCs w:val="19"/>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223" w:lineRule="exact"/>
        <w:rPr>
          <w:sz w:val="24"/>
          <w:szCs w:val="24"/>
          <w:color w:val="auto"/>
        </w:rPr>
      </w:pPr>
    </w:p>
    <w:p>
      <w:pPr>
        <w:ind w:right="760"/>
        <w:spacing w:after="0" w:line="241" w:lineRule="auto"/>
        <w:rPr>
          <w:sz w:val="20"/>
          <w:szCs w:val="20"/>
          <w:color w:val="auto"/>
        </w:rPr>
      </w:pPr>
      <w:r>
        <w:rPr>
          <w:rFonts w:ascii="Arial" w:cs="Arial" w:eastAsia="Arial" w:hAnsi="Arial"/>
          <w:sz w:val="22"/>
          <w:szCs w:val="22"/>
          <w:color w:val="auto"/>
        </w:rPr>
        <w:t>Indicate by check mark whether the Registrant is a large accelerated filer, an accelerated filer, non-accelerated filer, smaller reporting company or an emerging growth company.</w:t>
      </w:r>
    </w:p>
    <w:p>
      <w:pPr>
        <w:spacing w:after="0" w:line="2" w:lineRule="exact"/>
        <w:rPr>
          <w:sz w:val="24"/>
          <w:szCs w:val="24"/>
          <w:color w:val="auto"/>
        </w:rPr>
      </w:pPr>
    </w:p>
    <w:p>
      <w:pPr>
        <w:ind w:right="700"/>
        <w:spacing w:after="0" w:line="272" w:lineRule="exact"/>
        <w:rPr>
          <w:sz w:val="20"/>
          <w:szCs w:val="20"/>
          <w:color w:val="auto"/>
        </w:rPr>
      </w:pPr>
      <w:r>
        <w:rPr>
          <w:rFonts w:ascii="Arial" w:cs="Arial" w:eastAsia="Arial" w:hAnsi="Arial"/>
          <w:sz w:val="22"/>
          <w:szCs w:val="22"/>
          <w:color w:val="auto"/>
        </w:rPr>
        <w:t xml:space="preserve">Large accelerated filer </w:t>
      </w:r>
      <w:r>
        <w:rPr>
          <w:rFonts w:ascii="MS PGothic" w:cs="MS PGothic" w:eastAsia="MS PGothic" w:hAnsi="MS PGothic"/>
          <w:sz w:val="22"/>
          <w:szCs w:val="22"/>
          <w:color w:val="auto"/>
        </w:rPr>
        <w:t>☐</w:t>
      </w:r>
      <w:r>
        <w:rPr>
          <w:rFonts w:ascii="Arial" w:cs="Arial" w:eastAsia="Arial" w:hAnsi="Arial"/>
          <w:sz w:val="22"/>
          <w:szCs w:val="22"/>
          <w:color w:val="auto"/>
        </w:rPr>
        <w:t xml:space="preserve"> Accelerated filer </w:t>
      </w:r>
      <w:r>
        <w:rPr>
          <w:rFonts w:ascii="MS PGothic" w:cs="MS PGothic" w:eastAsia="MS PGothic" w:hAnsi="MS PGothic"/>
          <w:sz w:val="22"/>
          <w:szCs w:val="22"/>
          <w:color w:val="auto"/>
        </w:rPr>
        <w:t>☒</w:t>
      </w:r>
      <w:r>
        <w:rPr>
          <w:rFonts w:ascii="Arial" w:cs="Arial" w:eastAsia="Arial" w:hAnsi="Arial"/>
          <w:sz w:val="22"/>
          <w:szCs w:val="22"/>
          <w:color w:val="auto"/>
        </w:rPr>
        <w:t xml:space="preserve"> Non-accelerated filer </w:t>
      </w:r>
      <w:r>
        <w:rPr>
          <w:rFonts w:ascii="MS PGothic" w:cs="MS PGothic" w:eastAsia="MS PGothic" w:hAnsi="MS PGothic"/>
          <w:sz w:val="22"/>
          <w:szCs w:val="22"/>
          <w:color w:val="auto"/>
        </w:rPr>
        <w:t>☐</w:t>
      </w:r>
      <w:r>
        <w:rPr>
          <w:rFonts w:ascii="Arial" w:cs="Arial" w:eastAsia="Arial" w:hAnsi="Arial"/>
          <w:sz w:val="22"/>
          <w:szCs w:val="22"/>
          <w:color w:val="auto"/>
        </w:rPr>
        <w:t xml:space="preserve"> Smaller reporting company </w:t>
      </w:r>
      <w:r>
        <w:rPr>
          <w:rFonts w:ascii="MS PGothic" w:cs="MS PGothic" w:eastAsia="MS PGothic" w:hAnsi="MS PGothic"/>
          <w:sz w:val="22"/>
          <w:szCs w:val="22"/>
          <w:color w:val="auto"/>
        </w:rPr>
        <w:t>☐</w:t>
      </w:r>
      <w:r>
        <w:rPr>
          <w:rFonts w:ascii="Arial" w:cs="Arial" w:eastAsia="Arial" w:hAnsi="Arial"/>
          <w:sz w:val="22"/>
          <w:szCs w:val="22"/>
          <w:color w:val="auto"/>
        </w:rPr>
        <w:t xml:space="preserve"> Emerging growth company </w:t>
      </w:r>
      <w:r>
        <w:rPr>
          <w:rFonts w:ascii="MS PGothic" w:cs="MS PGothic" w:eastAsia="MS PGothic" w:hAnsi="MS PGothic"/>
          <w:sz w:val="22"/>
          <w:szCs w:val="22"/>
          <w:color w:val="auto"/>
        </w:rPr>
        <w:t>☐</w:t>
      </w:r>
    </w:p>
    <w:p>
      <w:pPr>
        <w:spacing w:after="0" w:line="189" w:lineRule="exact"/>
        <w:rPr>
          <w:sz w:val="24"/>
          <w:szCs w:val="24"/>
          <w:color w:val="auto"/>
        </w:rPr>
      </w:pPr>
    </w:p>
    <w:p>
      <w:pPr>
        <w:ind w:right="100"/>
        <w:spacing w:after="0" w:line="270" w:lineRule="exact"/>
        <w:rPr>
          <w:sz w:val="20"/>
          <w:szCs w:val="20"/>
          <w:color w:val="auto"/>
        </w:rPr>
      </w:pPr>
      <w:r>
        <w:rPr>
          <w:rFonts w:ascii="Arial" w:cs="Arial" w:eastAsia="Arial" w:hAnsi="Arial"/>
          <w:sz w:val="22"/>
          <w:szCs w:val="2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90" w:lineRule="exact"/>
        <w:rPr>
          <w:sz w:val="24"/>
          <w:szCs w:val="24"/>
          <w:color w:val="auto"/>
        </w:rPr>
      </w:pPr>
    </w:p>
    <w:p>
      <w:pPr>
        <w:ind w:right="1520"/>
        <w:spacing w:after="0" w:line="278" w:lineRule="exact"/>
        <w:rPr>
          <w:sz w:val="20"/>
          <w:szCs w:val="20"/>
          <w:color w:val="auto"/>
        </w:rPr>
      </w:pPr>
      <w:r>
        <w:rPr>
          <w:rFonts w:ascii="Arial" w:cs="Arial" w:eastAsia="Arial" w:hAnsi="Arial"/>
          <w:sz w:val="22"/>
          <w:szCs w:val="22"/>
          <w:color w:val="auto"/>
        </w:rPr>
        <w:t xml:space="preserve">Indicate by check mark whether the Registrant is a shell company (as defined in Rule 12b-2 of the Exchange Act).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88"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Indicate the number of shares outstanding of each of the issuer’s classes of common stock, as of the latest practicable date: common stock, no par value, 22,481,485 as of October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449580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color w:val="auto"/>
        </w:rPr>
        <w:t>INDEPENDENT BANK CORPORATION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INDEX</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gridSpan w:val="2"/>
            <w:vMerge w:val="restart"/>
          </w:tcPr>
          <w:p>
            <w:pPr>
              <w:spacing w:after="0"/>
              <w:rPr>
                <w:sz w:val="20"/>
                <w:szCs w:val="20"/>
                <w:color w:val="auto"/>
              </w:rPr>
            </w:pPr>
            <w:r>
              <w:rPr>
                <w:rFonts w:ascii="Arial" w:cs="Arial" w:eastAsia="Arial" w:hAnsi="Arial"/>
                <w:sz w:val="18"/>
                <w:szCs w:val="18"/>
                <w:color w:val="auto"/>
              </w:rPr>
              <w:t>PART I -</w:t>
            </w:r>
          </w:p>
        </w:tc>
        <w:tc>
          <w:tcPr>
            <w:tcW w:w="9360" w:type="dxa"/>
            <w:vAlign w:val="bottom"/>
            <w:gridSpan w:val="17"/>
            <w:vMerge w:val="restart"/>
          </w:tcPr>
          <w:p>
            <w:pPr>
              <w:spacing w:after="0"/>
              <w:rPr>
                <w:sz w:val="20"/>
                <w:szCs w:val="20"/>
                <w:color w:val="auto"/>
              </w:rPr>
            </w:pPr>
            <w:r>
              <w:rPr>
                <w:rFonts w:ascii="Arial" w:cs="Arial" w:eastAsia="Arial" w:hAnsi="Arial"/>
                <w:sz w:val="18"/>
                <w:szCs w:val="18"/>
                <w:color w:val="auto"/>
              </w:rPr>
              <w:t>Financial Information</w:t>
            </w:r>
          </w:p>
        </w:tc>
        <w:tc>
          <w:tcPr>
            <w:tcW w:w="920" w:type="dxa"/>
            <w:vAlign w:val="bottom"/>
            <w:gridSpan w:val="3"/>
          </w:tcPr>
          <w:p>
            <w:pPr>
              <w:spacing w:after="0"/>
              <w:rPr>
                <w:sz w:val="20"/>
                <w:szCs w:val="20"/>
                <w:color w:val="auto"/>
              </w:rPr>
            </w:pPr>
            <w:r>
              <w:rPr>
                <w:rFonts w:ascii="Arial" w:cs="Arial" w:eastAsia="Arial" w:hAnsi="Arial"/>
                <w:sz w:val="18"/>
                <w:szCs w:val="18"/>
                <w:color w:val="auto"/>
              </w:rPr>
              <w:t>Number(s)</w:t>
            </w:r>
          </w:p>
        </w:tc>
        <w:tc>
          <w:tcPr>
            <w:tcW w:w="0" w:type="dxa"/>
            <w:vAlign w:val="bottom"/>
          </w:tcPr>
          <w:p>
            <w:pPr>
              <w:spacing w:after="0"/>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360" w:type="dxa"/>
            <w:vAlign w:val="bottom"/>
            <w:gridSpan w:val="17"/>
            <w:vMerge w:val="continue"/>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756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Financial Condition September 30, 2019 and December 31, 2018</w:t>
              </w:r>
            </w:hyperlink>
          </w:p>
        </w:tc>
        <w:tc>
          <w:tcPr>
            <w:tcW w:w="1800" w:type="dxa"/>
            <w:vAlign w:val="bottom"/>
            <w:tcBorders>
              <w:bottom w:val="single" w:sz="8" w:color="CCEEFF"/>
            </w:tcBorders>
            <w:gridSpan w:val="5"/>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360" w:type="dxa"/>
            <w:vAlign w:val="bottom"/>
            <w:gridSpan w:val="17"/>
          </w:tcPr>
          <w:p>
            <w:pPr>
              <w:spacing w:after="0" w:line="176"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Condensed Consolidated Statements of Operations Three- and Nine-month periods ended September 30, 2019 and 2018</w:t>
              </w:r>
            </w:hyperlink>
          </w:p>
        </w:tc>
        <w:tc>
          <w:tcPr>
            <w:tcW w:w="9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9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360" w:type="dxa"/>
            <w:vAlign w:val="bottom"/>
            <w:gridSpan w:val="17"/>
            <w:shd w:val="clear" w:color="auto" w:fill="CCEEFF"/>
          </w:tcPr>
          <w:p>
            <w:pPr>
              <w:spacing w:after="0" w:line="17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Comprehensive Income Three- and Nine-month periods ended September 30, 2019 and</w:t>
              </w:r>
            </w:hyperlink>
          </w:p>
        </w:tc>
        <w:tc>
          <w:tcPr>
            <w:tcW w:w="9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0000EE"/>
            </w:tcBorders>
            <w:gridSpan w:val="2"/>
            <w:shd w:val="clear" w:color="auto" w:fill="CCEEFF"/>
          </w:tcPr>
          <w:p>
            <w:pPr>
              <w:ind w:left="160"/>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2018</w:t>
              </w:r>
            </w:hyperlink>
          </w:p>
        </w:tc>
        <w:tc>
          <w:tcPr>
            <w:tcW w:w="8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254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1900" w:type="dxa"/>
            <w:vAlign w:val="bottom"/>
            <w:tcBorders>
              <w:top w:val="single" w:sz="8" w:color="0000EE"/>
            </w:tcBorders>
            <w:shd w:val="clear" w:color="auto" w:fill="CCEEFF"/>
          </w:tcPr>
          <w:p>
            <w:pPr>
              <w:spacing w:after="0"/>
              <w:rPr>
                <w:sz w:val="17"/>
                <w:szCs w:val="17"/>
                <w:color w:val="auto"/>
              </w:rPr>
            </w:pPr>
          </w:p>
        </w:tc>
        <w:tc>
          <w:tcPr>
            <w:tcW w:w="1100" w:type="dxa"/>
            <w:vAlign w:val="bottom"/>
            <w:tcBorders>
              <w:top w:val="single" w:sz="8" w:color="0000EE"/>
            </w:tcBorders>
            <w:shd w:val="clear" w:color="auto" w:fill="CCEEFF"/>
          </w:tcPr>
          <w:p>
            <w:pPr>
              <w:spacing w:after="0"/>
              <w:rPr>
                <w:sz w:val="17"/>
                <w:szCs w:val="17"/>
                <w:color w:val="auto"/>
              </w:rPr>
            </w:pPr>
          </w:p>
        </w:tc>
        <w:tc>
          <w:tcPr>
            <w:tcW w:w="320" w:type="dxa"/>
            <w:vAlign w:val="bottom"/>
            <w:tcBorders>
              <w:top w:val="single" w:sz="8" w:color="0000EE"/>
            </w:tcBorders>
            <w:shd w:val="clear" w:color="auto" w:fill="CCEEFF"/>
          </w:tcPr>
          <w:p>
            <w:pPr>
              <w:spacing w:after="0"/>
              <w:rPr>
                <w:sz w:val="17"/>
                <w:szCs w:val="17"/>
                <w:color w:val="auto"/>
              </w:rPr>
            </w:pPr>
          </w:p>
        </w:tc>
        <w:tc>
          <w:tcPr>
            <w:tcW w:w="76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360" w:type="dxa"/>
            <w:vAlign w:val="bottom"/>
            <w:gridSpan w:val="17"/>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Nine-month periods ended September 30, 2019 and 2018</w:t>
              </w:r>
            </w:hyperlink>
          </w:p>
        </w:tc>
        <w:tc>
          <w:tcPr>
            <w:tcW w:w="9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9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360" w:type="dxa"/>
            <w:vAlign w:val="bottom"/>
            <w:gridSpan w:val="17"/>
            <w:shd w:val="clear" w:color="auto" w:fill="CCEEFF"/>
          </w:tcPr>
          <w:p>
            <w:pPr>
              <w:spacing w:after="0" w:line="176" w:lineRule="exact"/>
              <w:rPr>
                <w:rFonts w:ascii="Arial" w:cs="Arial" w:eastAsia="Arial" w:hAnsi="Arial"/>
                <w:sz w:val="18"/>
                <w:szCs w:val="18"/>
                <w:color w:val="0000EE"/>
                <w:w w:val="93"/>
              </w:rPr>
            </w:pPr>
            <w:hyperlink w:anchor="page8">
              <w:r>
                <w:rPr>
                  <w:rFonts w:ascii="Arial" w:cs="Arial" w:eastAsia="Arial" w:hAnsi="Arial"/>
                  <w:sz w:val="18"/>
                  <w:szCs w:val="18"/>
                  <w:color w:val="0000EE"/>
                  <w:w w:val="93"/>
                </w:rPr>
                <w:t>Condensed Consolidated Statements of Shareholders’ Equity Three- and Nine-month periods ended September 30, 2019 and</w:t>
              </w:r>
            </w:hyperlink>
          </w:p>
        </w:tc>
        <w:tc>
          <w:tcPr>
            <w:tcW w:w="9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0000EE"/>
            </w:tcBorders>
            <w:gridSpan w:val="2"/>
            <w:shd w:val="clear" w:color="auto" w:fill="CCEEFF"/>
          </w:tcPr>
          <w:p>
            <w:pPr>
              <w:ind w:left="160"/>
              <w:spacing w:after="0" w:line="196" w:lineRule="exact"/>
              <w:rPr>
                <w:rFonts w:ascii="Arial" w:cs="Arial" w:eastAsia="Arial" w:hAnsi="Arial"/>
                <w:sz w:val="18"/>
                <w:szCs w:val="18"/>
                <w:color w:val="0000EE"/>
                <w:w w:val="84"/>
              </w:rPr>
            </w:pPr>
            <w:hyperlink w:anchor="page8">
              <w:r>
                <w:rPr>
                  <w:rFonts w:ascii="Arial" w:cs="Arial" w:eastAsia="Arial" w:hAnsi="Arial"/>
                  <w:sz w:val="18"/>
                  <w:szCs w:val="18"/>
                  <w:color w:val="0000EE"/>
                  <w:w w:val="84"/>
                </w:rPr>
                <w:t>2018</w:t>
              </w:r>
            </w:hyperlink>
          </w:p>
        </w:tc>
        <w:tc>
          <w:tcPr>
            <w:tcW w:w="8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254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1900" w:type="dxa"/>
            <w:vAlign w:val="bottom"/>
            <w:tcBorders>
              <w:top w:val="single" w:sz="8" w:color="0000EE"/>
            </w:tcBorders>
            <w:shd w:val="clear" w:color="auto" w:fill="CCEEFF"/>
          </w:tcPr>
          <w:p>
            <w:pPr>
              <w:spacing w:after="0"/>
              <w:rPr>
                <w:sz w:val="17"/>
                <w:szCs w:val="17"/>
                <w:color w:val="auto"/>
              </w:rPr>
            </w:pPr>
          </w:p>
        </w:tc>
        <w:tc>
          <w:tcPr>
            <w:tcW w:w="1100" w:type="dxa"/>
            <w:vAlign w:val="bottom"/>
            <w:tcBorders>
              <w:top w:val="single" w:sz="8" w:color="0000EE"/>
            </w:tcBorders>
            <w:shd w:val="clear" w:color="auto" w:fill="CCEEFF"/>
          </w:tcPr>
          <w:p>
            <w:pPr>
              <w:spacing w:after="0"/>
              <w:rPr>
                <w:sz w:val="17"/>
                <w:szCs w:val="17"/>
                <w:color w:val="auto"/>
              </w:rPr>
            </w:pPr>
          </w:p>
        </w:tc>
        <w:tc>
          <w:tcPr>
            <w:tcW w:w="320" w:type="dxa"/>
            <w:vAlign w:val="bottom"/>
            <w:tcBorders>
              <w:top w:val="single" w:sz="8" w:color="0000EE"/>
            </w:tcBorders>
            <w:shd w:val="clear" w:color="auto" w:fill="CCEEFF"/>
          </w:tcPr>
          <w:p>
            <w:pPr>
              <w:spacing w:after="0"/>
              <w:rPr>
                <w:sz w:val="17"/>
                <w:szCs w:val="17"/>
                <w:color w:val="auto"/>
              </w:rPr>
            </w:pPr>
          </w:p>
        </w:tc>
        <w:tc>
          <w:tcPr>
            <w:tcW w:w="76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360" w:type="dxa"/>
            <w:vAlign w:val="bottom"/>
            <w:gridSpan w:val="17"/>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Interim Condensed Consolidated Financial Statements</w:t>
              </w:r>
            </w:hyperlink>
          </w:p>
        </w:tc>
        <w:tc>
          <w:tcPr>
            <w:tcW w:w="9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8-68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Management’s Discussion and Analysis of Financial Condition and Results of Operations</w:t>
              </w:r>
            </w:hyperlink>
          </w:p>
        </w:tc>
        <w:tc>
          <w:tcPr>
            <w:tcW w:w="2900" w:type="dxa"/>
            <w:vAlign w:val="bottom"/>
            <w:tcBorders>
              <w:bottom w:val="single" w:sz="8" w:color="CCEEFF"/>
            </w:tcBorders>
            <w:gridSpan w:val="6"/>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69-91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360" w:type="dxa"/>
            <w:vAlign w:val="bottom"/>
            <w:gridSpan w:val="17"/>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Quantitative and Qualitative Disclosures about Market Risk</w:t>
              </w:r>
            </w:hyperlink>
          </w:p>
        </w:tc>
        <w:tc>
          <w:tcPr>
            <w:tcW w:w="9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360" w:type="dxa"/>
            <w:vAlign w:val="bottom"/>
            <w:gridSpan w:val="17"/>
            <w:shd w:val="clear" w:color="auto" w:fill="CCEEFF"/>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Controls and Procedures</w:t>
              </w:r>
            </w:hyperlink>
          </w:p>
        </w:tc>
        <w:tc>
          <w:tcPr>
            <w:tcW w:w="9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92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1320" w:type="dxa"/>
            <w:vAlign w:val="bottom"/>
            <w:tcBorders>
              <w:bottom w:val="single" w:sz="8" w:color="auto"/>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w w:val="92"/>
              </w:rPr>
              <w:t>Other Information</w:t>
            </w:r>
          </w:p>
        </w:tc>
        <w:tc>
          <w:tcPr>
            <w:tcW w:w="8040" w:type="dxa"/>
            <w:vAlign w:val="bottom"/>
            <w:tcBorders>
              <w:bottom w:val="single" w:sz="8" w:color="CCEEFF"/>
            </w:tcBorders>
            <w:gridSpan w:val="12"/>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Item 1A</w:t>
            </w:r>
          </w:p>
        </w:tc>
        <w:tc>
          <w:tcPr>
            <w:tcW w:w="9360" w:type="dxa"/>
            <w:vAlign w:val="bottom"/>
            <w:gridSpan w:val="17"/>
          </w:tcPr>
          <w:p>
            <w:pPr>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Risk Factors</w:t>
              </w:r>
            </w:hyperlink>
          </w:p>
        </w:tc>
        <w:tc>
          <w:tcPr>
            <w:tcW w:w="9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360" w:type="dxa"/>
            <w:vAlign w:val="bottom"/>
            <w:gridSpan w:val="17"/>
            <w:shd w:val="clear" w:color="auto" w:fill="CCEEFF"/>
          </w:tcPr>
          <w:p>
            <w:pPr>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Unregistered Sales of Equity Securities and Use of Proceeds</w:t>
              </w:r>
            </w:hyperlink>
          </w:p>
        </w:tc>
        <w:tc>
          <w:tcPr>
            <w:tcW w:w="9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93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3"/>
          </w:tcPr>
          <w:p>
            <w:pPr>
              <w:spacing w:after="0" w:line="176" w:lineRule="exact"/>
              <w:rPr>
                <w:rFonts w:ascii="Arial" w:cs="Arial" w:eastAsia="Arial" w:hAnsi="Arial"/>
                <w:sz w:val="18"/>
                <w:szCs w:val="18"/>
                <w:color w:val="0000EE"/>
                <w:w w:val="91"/>
              </w:rPr>
            </w:pPr>
            <w:hyperlink w:anchor="page95">
              <w:r>
                <w:rPr>
                  <w:rFonts w:ascii="Arial" w:cs="Arial" w:eastAsia="Arial" w:hAnsi="Arial"/>
                  <w:sz w:val="18"/>
                  <w:szCs w:val="18"/>
                  <w:color w:val="0000EE"/>
                  <w:w w:val="91"/>
                </w:rPr>
                <w:t>Exhibits</w:t>
              </w:r>
            </w:hyperlink>
          </w:p>
        </w:tc>
        <w:tc>
          <w:tcPr>
            <w:tcW w:w="3740" w:type="dxa"/>
            <w:vAlign w:val="bottom"/>
            <w:tcBorders>
              <w:top w:val="single" w:sz="8" w:color="0000EE"/>
            </w:tcBorders>
            <w:gridSpan w:val="6"/>
          </w:tcPr>
          <w:p>
            <w:pPr>
              <w:spacing w:after="0"/>
              <w:rPr>
                <w:sz w:val="15"/>
                <w:szCs w:val="15"/>
                <w:color w:val="auto"/>
              </w:rPr>
            </w:pPr>
          </w:p>
        </w:tc>
        <w:tc>
          <w:tcPr>
            <w:tcW w:w="5020" w:type="dxa"/>
            <w:vAlign w:val="bottom"/>
            <w:tcBorders>
              <w:top w:val="single" w:sz="8" w:color="CCEEFF"/>
            </w:tcBorders>
            <w:gridSpan w:val="8"/>
          </w:tcPr>
          <w:p>
            <w:pPr>
              <w:spacing w:after="0"/>
              <w:rPr>
                <w:sz w:val="15"/>
                <w:szCs w:val="15"/>
                <w:color w:val="auto"/>
              </w:rPr>
            </w:pPr>
          </w:p>
        </w:tc>
        <w:tc>
          <w:tcPr>
            <w:tcW w:w="90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60" w:type="dxa"/>
            <w:vAlign w:val="bottom"/>
            <w:gridSpan w:val="11"/>
          </w:tcPr>
          <w:p>
            <w:pPr>
              <w:ind w:left="4520"/>
              <w:spacing w:after="0"/>
              <w:rPr>
                <w:sz w:val="20"/>
                <w:szCs w:val="20"/>
                <w:color w:val="auto"/>
              </w:rPr>
            </w:pPr>
            <w:r>
              <w:rPr>
                <w:rFonts w:ascii="Arial" w:cs="Arial" w:eastAsia="Arial" w:hAnsi="Arial"/>
                <w:sz w:val="14"/>
                <w:szCs w:val="14"/>
                <w:color w:val="auto"/>
              </w:rPr>
              <w:t>1</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Statements in this report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216"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market, operational, liquidity, credit, and interest rate risks associated with our business;</w:t>
      </w:r>
    </w:p>
    <w:p>
      <w:pPr>
        <w:spacing w:after="0" w:line="23"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conditions generally and in the financial services industry, particularly economic conditions within Michigan and the regional and local real estate markets in which our bank operates;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failure of assumptions underlying the establishment of, and provisions made to, our allowance for loan losses;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either nationally or regionally;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achieve loan and deposit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continued services of our management team;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implementation of new legislation, which may have significant effects on us and the financial services industry.</w:t>
      </w:r>
    </w:p>
    <w:p>
      <w:pPr>
        <w:spacing w:after="0" w:line="231"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2018, as updated by any new or modified risk factors disclosed in Part II – Item 1A of any subsequently filed Quarterly Report on Form 10-Q, include all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30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060" w:type="dxa"/>
            <w:vAlign w:val="bottom"/>
            <w:gridSpan w:val="3"/>
          </w:tcPr>
          <w:p>
            <w:pPr>
              <w:spacing w:after="0"/>
              <w:rPr>
                <w:sz w:val="20"/>
                <w:szCs w:val="20"/>
                <w:color w:val="auto"/>
              </w:rPr>
            </w:pPr>
            <w:r>
              <w:rPr>
                <w:rFonts w:ascii="Arial" w:cs="Arial" w:eastAsia="Arial" w:hAnsi="Arial"/>
                <w:sz w:val="18"/>
                <w:szCs w:val="18"/>
                <w:color w:val="auto"/>
              </w:rPr>
              <w:t>Part I - Item1.</w:t>
            </w:r>
          </w:p>
        </w:tc>
        <w:tc>
          <w:tcPr>
            <w:tcW w:w="80" w:type="dxa"/>
            <w:vAlign w:val="bottom"/>
          </w:tcPr>
          <w:p>
            <w:pPr>
              <w:spacing w:after="0"/>
              <w:rPr>
                <w:sz w:val="24"/>
                <w:szCs w:val="24"/>
                <w:color w:val="auto"/>
              </w:rPr>
            </w:pPr>
          </w:p>
        </w:tc>
        <w:tc>
          <w:tcPr>
            <w:tcW w:w="5500" w:type="dxa"/>
            <w:vAlign w:val="bottom"/>
            <w:gridSpan w:val="2"/>
          </w:tcPr>
          <w:p>
            <w:pPr>
              <w:jc w:val="right"/>
              <w:ind w:right="500"/>
              <w:spacing w:after="0"/>
              <w:rPr>
                <w:sz w:val="20"/>
                <w:szCs w:val="20"/>
                <w:color w:val="auto"/>
              </w:rPr>
            </w:pPr>
            <w:r>
              <w:rPr>
                <w:rFonts w:ascii="Arial" w:cs="Arial" w:eastAsia="Arial" w:hAnsi="Arial"/>
                <w:sz w:val="18"/>
                <w:szCs w:val="18"/>
                <w:color w:val="auto"/>
              </w:rPr>
              <w:t>INDEPENDENT BANK CORPORATION AND SUBSIDIARIES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580" w:type="dxa"/>
            <w:vAlign w:val="bottom"/>
            <w:gridSpan w:val="3"/>
          </w:tcPr>
          <w:p>
            <w:pPr>
              <w:jc w:val="right"/>
              <w:ind w:right="340"/>
              <w:spacing w:after="0"/>
              <w:rPr>
                <w:sz w:val="20"/>
                <w:szCs w:val="20"/>
                <w:color w:val="auto"/>
              </w:rPr>
            </w:pPr>
            <w:r>
              <w:rPr>
                <w:rFonts w:ascii="Arial" w:cs="Arial" w:eastAsia="Arial" w:hAnsi="Arial"/>
                <w:sz w:val="22"/>
                <w:szCs w:val="22"/>
                <w:color w:val="auto"/>
                <w:w w:val="89"/>
              </w:rPr>
              <w:t>Condensed Consolidated Statements of Financial Condition</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w w:val="91"/>
              </w:rPr>
              <w:t>September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gridSpan w:val="6"/>
          </w:tcPr>
          <w:p>
            <w:pPr>
              <w:jc w:val="right"/>
              <w:ind w:right="1040"/>
              <w:spacing w:after="0"/>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230"/>
        </w:trPr>
        <w:tc>
          <w:tcPr>
            <w:tcW w:w="306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6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w w:val="87"/>
              </w:rPr>
              <w:t>(In thousands, except share amounts)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6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8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38,662</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Interest bearing deposits</w:t>
            </w:r>
          </w:p>
        </w:tc>
        <w:tc>
          <w:tcPr>
            <w:tcW w:w="8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43,755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46,894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Interest bearing deposits - time</w:t>
            </w:r>
          </w:p>
        </w:tc>
        <w:tc>
          <w:tcPr>
            <w:tcW w:w="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 at fair value</w:t>
            </w:r>
          </w:p>
        </w:tc>
        <w:tc>
          <w:tcPr>
            <w:tcW w:w="8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Securities available for sale</w:t>
            </w:r>
          </w:p>
        </w:tc>
        <w:tc>
          <w:tcPr>
            <w:tcW w:w="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439,592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427,926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Federal Home Loan Bank and Federal Reserve Bank stock, at cost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w w:val="95"/>
              </w:rPr>
              <w:t>Loans held for sale, carried at fair value</w:t>
            </w:r>
          </w:p>
        </w:tc>
        <w:tc>
          <w:tcPr>
            <w:tcW w:w="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87,358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44,753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Loans held for sale, carried at lower of cost or fair value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Loans</w:t>
            </w:r>
          </w:p>
        </w:tc>
        <w:tc>
          <w:tcPr>
            <w:tcW w:w="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8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1,189,017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ind w:left="160"/>
              <w:spacing w:after="0"/>
              <w:rPr>
                <w:sz w:val="20"/>
                <w:szCs w:val="20"/>
                <w:color w:val="auto"/>
              </w:rPr>
            </w:pPr>
            <w:r>
              <w:rPr>
                <w:rFonts w:ascii="Arial" w:cs="Arial" w:eastAsia="Arial" w:hAnsi="Arial"/>
                <w:sz w:val="18"/>
                <w:szCs w:val="18"/>
                <w:color w:val="auto"/>
              </w:rPr>
              <w:t>Mortgage</w:t>
            </w:r>
          </w:p>
        </w:tc>
        <w:tc>
          <w:tcPr>
            <w:tcW w:w="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1,070,035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1,042,890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8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463,394</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395,149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jc w:val="right"/>
              <w:ind w:right="100"/>
              <w:spacing w:after="0"/>
              <w:rPr>
                <w:sz w:val="20"/>
                <w:szCs w:val="20"/>
                <w:color w:val="auto"/>
              </w:rPr>
            </w:pPr>
            <w:r>
              <w:rPr>
                <w:rFonts w:ascii="Arial" w:cs="Arial" w:eastAsia="Arial" w:hAnsi="Arial"/>
                <w:sz w:val="18"/>
                <w:szCs w:val="18"/>
                <w:color w:val="auto"/>
              </w:rPr>
              <w:t>Total Loans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2,722,446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2,582,520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Allowance for loan losses</w:t>
            </w:r>
          </w:p>
        </w:tc>
        <w:tc>
          <w:tcPr>
            <w:tcW w:w="80" w:type="dxa"/>
            <w:vAlign w:val="bottom"/>
            <w:shd w:val="clear" w:color="auto" w:fill="CCEEFF"/>
          </w:tcPr>
          <w:p>
            <w:pPr>
              <w:spacing w:after="0"/>
              <w:rPr>
                <w:sz w:val="19"/>
                <w:szCs w:val="19"/>
                <w:color w:val="auto"/>
              </w:rPr>
            </w:pPr>
          </w:p>
        </w:tc>
        <w:tc>
          <w:tcPr>
            <w:tcW w:w="5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(26,148)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5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Net Loans</w:t>
            </w: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2,696,298</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2,557,632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 real estate and repossessed assets, net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37,424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38,777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Bank-owned life insurance</w:t>
            </w:r>
          </w:p>
        </w:tc>
        <w:tc>
          <w:tcPr>
            <w:tcW w:w="8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Capitalized mortgage loan servicing rights, carried at fair value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Other intangibles</w:t>
            </w:r>
          </w:p>
        </w:tc>
        <w:tc>
          <w:tcPr>
            <w:tcW w:w="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Accrued income and other assets</w:t>
            </w:r>
          </w:p>
        </w:tc>
        <w:tc>
          <w:tcPr>
            <w:tcW w:w="8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41,490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34,870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3,550,837</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3,353,281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8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Deposits</w:t>
            </w:r>
          </w:p>
        </w:tc>
        <w:tc>
          <w:tcPr>
            <w:tcW w:w="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Non-interest bearing</w:t>
            </w:r>
          </w:p>
        </w:tc>
        <w:tc>
          <w:tcPr>
            <w:tcW w:w="8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883,138</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ind w:left="160"/>
              <w:spacing w:after="0"/>
              <w:rPr>
                <w:sz w:val="20"/>
                <w:szCs w:val="20"/>
                <w:color w:val="auto"/>
              </w:rPr>
            </w:pPr>
            <w:r>
              <w:rPr>
                <w:rFonts w:ascii="Arial" w:cs="Arial" w:eastAsia="Arial" w:hAnsi="Arial"/>
                <w:sz w:val="18"/>
                <w:szCs w:val="18"/>
                <w:color w:val="auto"/>
                <w:w w:val="93"/>
              </w:rPr>
              <w:t>Savings and interest-bearing checking</w:t>
            </w:r>
          </w:p>
        </w:tc>
        <w:tc>
          <w:tcPr>
            <w:tcW w:w="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1,178,695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1,194,865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Reciprocal</w:t>
            </w:r>
          </w:p>
        </w:tc>
        <w:tc>
          <w:tcPr>
            <w:tcW w:w="8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ind w:left="160"/>
              <w:spacing w:after="0"/>
              <w:rPr>
                <w:sz w:val="20"/>
                <w:szCs w:val="20"/>
                <w:color w:val="auto"/>
              </w:rPr>
            </w:pPr>
            <w:r>
              <w:rPr>
                <w:rFonts w:ascii="Arial" w:cs="Arial" w:eastAsia="Arial" w:hAnsi="Arial"/>
                <w:sz w:val="18"/>
                <w:szCs w:val="18"/>
                <w:color w:val="auto"/>
              </w:rPr>
              <w:t>Time</w:t>
            </w:r>
          </w:p>
        </w:tc>
        <w:tc>
          <w:tcPr>
            <w:tcW w:w="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374,579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385,981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Brokered time</w:t>
            </w:r>
          </w:p>
        </w:tc>
        <w:tc>
          <w:tcPr>
            <w:tcW w:w="8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199,700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270,961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jc w:val="right"/>
              <w:ind w:right="120"/>
              <w:spacing w:after="0"/>
              <w:rPr>
                <w:sz w:val="20"/>
                <w:szCs w:val="20"/>
                <w:color w:val="auto"/>
              </w:rPr>
            </w:pPr>
            <w:r>
              <w:rPr>
                <w:rFonts w:ascii="Arial" w:cs="Arial" w:eastAsia="Arial" w:hAnsi="Arial"/>
                <w:sz w:val="18"/>
                <w:szCs w:val="18"/>
                <w:color w:val="auto"/>
              </w:rPr>
              <w:t>Total Deposits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3,052,312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2,913,428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8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Subordinated debentures</w:t>
            </w:r>
          </w:p>
        </w:tc>
        <w:tc>
          <w:tcPr>
            <w:tcW w:w="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39,439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39,388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9"/>
              </w:rPr>
              <w:t>Accrued expenses and other liabilities</w:t>
            </w:r>
          </w:p>
        </w:tc>
        <w:tc>
          <w:tcPr>
            <w:tcW w:w="8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54,867</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00" w:type="dxa"/>
            <w:vAlign w:val="bottom"/>
            <w:gridSpan w:val="2"/>
          </w:tcPr>
          <w:p>
            <w:pPr>
              <w:jc w:val="right"/>
              <w:ind w:right="1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3,210,592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3,014,287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Commitments and contingent liabilities</w:t>
            </w:r>
          </w:p>
        </w:tc>
        <w:tc>
          <w:tcPr>
            <w:tcW w:w="8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Preferred stock, no par value, 200,000 shares authorized; none issued or outstanding</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5"/>
          </w:tcPr>
          <w:p>
            <w:pPr>
              <w:ind w:left="160"/>
              <w:spacing w:after="0" w:line="201" w:lineRule="exact"/>
              <w:rPr>
                <w:sz w:val="20"/>
                <w:szCs w:val="20"/>
                <w:color w:val="auto"/>
              </w:rPr>
            </w:pPr>
            <w:r>
              <w:rPr>
                <w:rFonts w:ascii="Arial" w:cs="Arial" w:eastAsia="Arial" w:hAnsi="Arial"/>
                <w:sz w:val="18"/>
                <w:szCs w:val="18"/>
                <w:color w:val="auto"/>
                <w:w w:val="97"/>
              </w:rPr>
              <w:t>Common stock, no par value, 500,000,000 shares authorized; issued and outstanding: 22,480,748 shares at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20" w:type="dxa"/>
            <w:vAlign w:val="bottom"/>
            <w:gridSpan w:val="4"/>
          </w:tcPr>
          <w:p>
            <w:pPr>
              <w:jc w:val="right"/>
              <w:ind w:right="3580"/>
              <w:spacing w:after="0"/>
              <w:rPr>
                <w:sz w:val="20"/>
                <w:szCs w:val="20"/>
                <w:color w:val="auto"/>
              </w:rPr>
            </w:pPr>
            <w:r>
              <w:rPr>
                <w:rFonts w:ascii="Arial" w:cs="Arial" w:eastAsia="Arial" w:hAnsi="Arial"/>
                <w:sz w:val="18"/>
                <w:szCs w:val="18"/>
                <w:color w:val="auto"/>
                <w:w w:val="88"/>
              </w:rPr>
              <w:t>September 30, 2019 and 23,579,725 shares at December 31, 2018</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351,839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377,372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gridSpan w:val="2"/>
          </w:tcPr>
          <w:p>
            <w:pPr>
              <w:ind w:left="160"/>
              <w:spacing w:after="0"/>
              <w:rPr>
                <w:sz w:val="20"/>
                <w:szCs w:val="20"/>
                <w:color w:val="auto"/>
              </w:rPr>
            </w:pPr>
            <w:r>
              <w:rPr>
                <w:rFonts w:ascii="Arial" w:cs="Arial" w:eastAsia="Arial" w:hAnsi="Arial"/>
                <w:sz w:val="18"/>
                <w:szCs w:val="18"/>
                <w:color w:val="auto"/>
                <w:w w:val="91"/>
              </w:rPr>
              <w:t>Accumulated other comprehensive loss</w:t>
            </w:r>
          </w:p>
        </w:tc>
        <w:tc>
          <w:tcPr>
            <w:tcW w:w="8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(3,373)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(10,108)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7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Total Shareholders’ Equity</w:t>
            </w: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340,245</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338,994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jc w:val="right"/>
              <w:ind w:right="10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3,550,837</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3,353,281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See notes to interim condensed consolidated financial statements (unaudited)</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INDEPENDENT BANK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Condensed Consolidated Statements of Operations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center"/>
              <w:ind w:right="460"/>
              <w:spacing w:after="0"/>
              <w:rPr>
                <w:sz w:val="20"/>
                <w:szCs w:val="20"/>
                <w:color w:val="auto"/>
              </w:rPr>
            </w:pPr>
            <w:r>
              <w:rPr>
                <w:rFonts w:ascii="Arial" w:cs="Arial" w:eastAsia="Arial" w:hAnsi="Arial"/>
                <w:sz w:val="18"/>
                <w:szCs w:val="18"/>
                <w:color w:val="auto"/>
                <w:w w:val="89"/>
              </w:rPr>
              <w:t>Three months ended</w:t>
            </w:r>
          </w:p>
        </w:tc>
        <w:tc>
          <w:tcPr>
            <w:tcW w:w="240" w:type="dxa"/>
            <w:vAlign w:val="bottom"/>
          </w:tcPr>
          <w:p>
            <w:pPr>
              <w:spacing w:after="0"/>
              <w:rPr>
                <w:sz w:val="18"/>
                <w:szCs w:val="18"/>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8"/>
                <w:szCs w:val="18"/>
                <w:color w:val="auto"/>
                <w:w w:val="89"/>
              </w:rPr>
              <w:t>Nine months ended</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center"/>
              <w:ind w:left="410"/>
              <w:spacing w:after="0"/>
              <w:rPr>
                <w:sz w:val="20"/>
                <w:szCs w:val="20"/>
                <w:color w:val="auto"/>
              </w:rPr>
            </w:pPr>
            <w:r>
              <w:rPr>
                <w:rFonts w:ascii="Arial" w:cs="Arial" w:eastAsia="Arial" w:hAnsi="Arial"/>
                <w:sz w:val="18"/>
                <w:szCs w:val="18"/>
                <w:color w:val="auto"/>
                <w:w w:val="88"/>
              </w:rPr>
              <w:t>September 30,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8"/>
                <w:szCs w:val="18"/>
                <w:color w:val="auto"/>
                <w:w w:val="88"/>
              </w:rPr>
              <w:t>September 30,</w:t>
            </w: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2018</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2018</w:t>
            </w: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center"/>
              <w:ind w:left="410"/>
              <w:spacing w:after="0"/>
              <w:rPr>
                <w:sz w:val="20"/>
                <w:szCs w:val="20"/>
                <w:color w:val="auto"/>
              </w:rPr>
            </w:pPr>
            <w:r>
              <w:rPr>
                <w:rFonts w:ascii="Arial" w:cs="Arial" w:eastAsia="Arial" w:hAnsi="Arial"/>
                <w:sz w:val="18"/>
                <w:szCs w:val="18"/>
                <w:color w:val="auto"/>
                <w:w w:val="92"/>
              </w:rPr>
              <w:t>(unaudited)</w:t>
            </w:r>
          </w:p>
        </w:tc>
        <w:tc>
          <w:tcPr>
            <w:tcW w:w="7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90"/>
              </w:rPr>
              <w:t>(unaudited)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60" w:type="dxa"/>
            <w:vAlign w:val="bottom"/>
            <w:gridSpan w:val="9"/>
          </w:tcPr>
          <w:p>
            <w:pPr>
              <w:jc w:val="right"/>
              <w:ind w:right="20"/>
              <w:spacing w:after="0"/>
              <w:rPr>
                <w:sz w:val="20"/>
                <w:szCs w:val="20"/>
                <w:color w:val="auto"/>
              </w:rPr>
            </w:pPr>
            <w:r>
              <w:rPr>
                <w:rFonts w:ascii="Arial" w:cs="Arial" w:eastAsia="Arial" w:hAnsi="Arial"/>
                <w:sz w:val="18"/>
                <w:szCs w:val="18"/>
                <w:color w:val="auto"/>
              </w:rPr>
              <w:t>(In thousands, except per share amounts)</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60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fees on loans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34,226</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100,743</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84,027</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Interest on securities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Taxable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8,811</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8,092</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Tax-exempt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412</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1,017</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1,335</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investments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1,449</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6060" w:type="dxa"/>
            <w:vAlign w:val="bottom"/>
          </w:tcPr>
          <w:p>
            <w:pPr>
              <w:jc w:val="right"/>
              <w:ind w:right="30"/>
              <w:spacing w:after="0"/>
              <w:rPr>
                <w:sz w:val="20"/>
                <w:szCs w:val="20"/>
                <w:color w:val="auto"/>
              </w:rPr>
            </w:pPr>
            <w:r>
              <w:rPr>
                <w:rFonts w:ascii="Arial" w:cs="Arial" w:eastAsia="Arial" w:hAnsi="Arial"/>
                <w:sz w:val="18"/>
                <w:szCs w:val="18"/>
                <w:color w:val="auto"/>
              </w:rPr>
              <w:t>Total Interest Income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37,811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34,452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112,020</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94,352</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3,976</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17,938</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9,472</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borrowings and subordinated debentures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2,211</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2,267</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6060" w:type="dxa"/>
            <w:vAlign w:val="bottom"/>
          </w:tcPr>
          <w:p>
            <w:pPr>
              <w:jc w:val="right"/>
              <w:ind w:right="30"/>
              <w:spacing w:after="0"/>
              <w:rPr>
                <w:sz w:val="20"/>
                <w:szCs w:val="20"/>
                <w:color w:val="auto"/>
              </w:rPr>
            </w:pPr>
            <w:r>
              <w:rPr>
                <w:rFonts w:ascii="Arial" w:cs="Arial" w:eastAsia="Arial" w:hAnsi="Arial"/>
                <w:sz w:val="18"/>
                <w:szCs w:val="18"/>
                <w:color w:val="auto"/>
              </w:rPr>
              <w:t>Total Interest Expense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4,755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20,149</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11,739</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Net Interest Income</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29,697</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91,871</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82,613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1,045</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912</w:t>
            </w: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Net Interest Income After Provision for Loan Losses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31,143</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90,826</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81,701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Non-interest Income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charges on deposit accounts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8,323</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9,166</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Interchange income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2,486</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7,744</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7,236</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gains (losses) on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Mortgage loans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2,745</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13,590</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8,571</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Mortgage loan servicing, net</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1,212</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(4,684)</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4,668</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6,862</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6,294</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6060" w:type="dxa"/>
            <w:vAlign w:val="bottom"/>
          </w:tcPr>
          <w:p>
            <w:pPr>
              <w:jc w:val="right"/>
              <w:ind w:right="30"/>
              <w:spacing w:after="0"/>
              <w:rPr>
                <w:sz w:val="20"/>
                <w:szCs w:val="20"/>
                <w:color w:val="auto"/>
              </w:rPr>
            </w:pPr>
            <w:r>
              <w:rPr>
                <w:rFonts w:ascii="Arial" w:cs="Arial" w:eastAsia="Arial" w:hAnsi="Arial"/>
                <w:sz w:val="18"/>
                <w:szCs w:val="18"/>
                <w:color w:val="auto"/>
              </w:rPr>
              <w:t>Total Non-interest Income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11,836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32,139</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35,864</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Compensation and employee benefits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16,169</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48,955</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46,506</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Occupancy, net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6,797</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6,667</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Data processing</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2,051</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6,597</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6,180</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Furniture, fixtures and equipment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3,058</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3,029</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727</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2,219</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2,111</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Interchange expense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2,332</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1,974</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Loan and collection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531</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1,976</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1,900</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Advertising</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1,935</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1,578</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Legal and professional</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477</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1,281</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1,311</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FDIC deposit insurance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723</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Merger related expenses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3,354</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6,557</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5,276</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6060" w:type="dxa"/>
            <w:vAlign w:val="bottom"/>
          </w:tcPr>
          <w:p>
            <w:pPr>
              <w:jc w:val="right"/>
              <w:ind w:right="30"/>
              <w:spacing w:after="0"/>
              <w:rPr>
                <w:sz w:val="20"/>
                <w:szCs w:val="20"/>
                <w:color w:val="auto"/>
              </w:rPr>
            </w:pPr>
            <w:r>
              <w:rPr>
                <w:rFonts w:ascii="Arial" w:cs="Arial" w:eastAsia="Arial" w:hAnsi="Arial"/>
                <w:sz w:val="18"/>
                <w:szCs w:val="18"/>
                <w:color w:val="auto"/>
              </w:rPr>
              <w:t>Total Non-interest Expense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27,848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26,740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82,430</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80,636</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Income Before Income Tax</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14,846</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40,535</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2,921</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7,979</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7,026</w:t>
            </w: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12,445</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11,925</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32,556</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0.55</w:t>
            </w:r>
          </w:p>
        </w:tc>
        <w:tc>
          <w:tcPr>
            <w:tcW w:w="140" w:type="dxa"/>
            <w:vAlign w:val="bottom"/>
          </w:tcPr>
          <w:p>
            <w:pPr>
              <w:spacing w:after="0"/>
              <w:rPr>
                <w:sz w:val="18"/>
                <w:szCs w:val="18"/>
                <w:color w:val="auto"/>
              </w:rPr>
            </w:pPr>
          </w:p>
        </w:tc>
        <w:tc>
          <w:tcPr>
            <w:tcW w:w="48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0.49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See notes to interim condensed consolidated financial statements (unaudited)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INDEPENDENT BANK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Condensed Consolidated Statements of Comprehensive Income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65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right"/>
              <w:ind w:right="66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870"/>
              <w:spacing w:after="0"/>
              <w:rPr>
                <w:sz w:val="20"/>
                <w:szCs w:val="20"/>
                <w:color w:val="auto"/>
              </w:rPr>
            </w:pPr>
            <w:r>
              <w:rPr>
                <w:rFonts w:ascii="Arial" w:cs="Arial" w:eastAsia="Arial" w:hAnsi="Arial"/>
                <w:sz w:val="18"/>
                <w:szCs w:val="18"/>
                <w:color w:val="auto"/>
              </w:rPr>
              <w:t>September 30,</w:t>
            </w:r>
          </w:p>
        </w:tc>
        <w:tc>
          <w:tcPr>
            <w:tcW w:w="240" w:type="dxa"/>
            <w:vAlign w:val="bottom"/>
          </w:tcPr>
          <w:p>
            <w:pPr>
              <w:spacing w:after="0"/>
              <w:rPr>
                <w:sz w:val="18"/>
                <w:szCs w:val="18"/>
                <w:color w:val="auto"/>
              </w:rPr>
            </w:pPr>
          </w:p>
        </w:tc>
        <w:tc>
          <w:tcPr>
            <w:tcW w:w="2360" w:type="dxa"/>
            <w:vAlign w:val="bottom"/>
            <w:gridSpan w:val="6"/>
          </w:tcPr>
          <w:p>
            <w:pPr>
              <w:jc w:val="right"/>
              <w:ind w:right="84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(unaudited -</w:t>
            </w:r>
          </w:p>
        </w:tc>
        <w:tc>
          <w:tcPr>
            <w:tcW w:w="200" w:type="dxa"/>
            <w:vAlign w:val="bottom"/>
          </w:tcPr>
          <w:p>
            <w:pPr>
              <w:jc w:val="right"/>
              <w:spacing w:after="0"/>
              <w:rPr>
                <w:sz w:val="20"/>
                <w:szCs w:val="20"/>
                <w:color w:val="auto"/>
              </w:rPr>
            </w:pPr>
            <w:r>
              <w:rPr>
                <w:rFonts w:ascii="Arial" w:cs="Arial" w:eastAsia="Arial" w:hAnsi="Arial"/>
                <w:sz w:val="18"/>
                <w:szCs w:val="18"/>
                <w:color w:val="auto"/>
              </w:rPr>
              <w:t>In</w:t>
            </w:r>
          </w:p>
        </w:tc>
        <w:tc>
          <w:tcPr>
            <w:tcW w:w="1140" w:type="dxa"/>
            <w:vAlign w:val="bottom"/>
            <w:gridSpan w:val="2"/>
          </w:tcPr>
          <w:p>
            <w:pPr>
              <w:jc w:val="right"/>
              <w:ind w:right="230"/>
              <w:spacing w:after="0"/>
              <w:rPr>
                <w:sz w:val="20"/>
                <w:szCs w:val="20"/>
                <w:color w:val="auto"/>
              </w:rPr>
            </w:pPr>
            <w:r>
              <w:rPr>
                <w:rFonts w:ascii="Arial" w:cs="Arial" w:eastAsia="Arial" w:hAnsi="Arial"/>
                <w:sz w:val="18"/>
                <w:szCs w:val="18"/>
                <w:color w:val="auto"/>
                <w:w w:val="89"/>
              </w:rPr>
              <w:t>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11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320" w:type="dxa"/>
            <w:vAlign w:val="bottom"/>
            <w:gridSpan w:val="2"/>
          </w:tcPr>
          <w:p>
            <w:pPr>
              <w:spacing w:after="0"/>
              <w:rPr>
                <w:sz w:val="17"/>
                <w:szCs w:val="17"/>
                <w:color w:val="auto"/>
              </w:rPr>
            </w:pPr>
          </w:p>
        </w:tc>
        <w:tc>
          <w:tcPr>
            <w:tcW w:w="1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12,445</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11,925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32,556</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Securities available for sale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Unrealized gains (losses) arising during period</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(1,157)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10,851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(6,220)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Borders>
              <w:right w:val="single" w:sz="8" w:color="CCEEFF"/>
            </w:tcBorders>
            <w:shd w:val="clear" w:color="auto" w:fill="CCEEFF"/>
          </w:tcPr>
          <w:p>
            <w:pPr>
              <w:ind w:left="320"/>
              <w:spacing w:after="0" w:line="201" w:lineRule="exact"/>
              <w:rPr>
                <w:sz w:val="20"/>
                <w:szCs w:val="20"/>
                <w:color w:val="auto"/>
              </w:rPr>
            </w:pPr>
            <w:r>
              <w:rPr>
                <w:rFonts w:ascii="Arial" w:cs="Arial" w:eastAsia="Arial" w:hAnsi="Arial"/>
                <w:sz w:val="18"/>
                <w:szCs w:val="18"/>
                <w:color w:val="auto"/>
                <w:w w:val="99"/>
              </w:rPr>
              <w:t>Change in unrealized losses for which a portion of other than temporary</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impairment has been recognized in earnings</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Reclassification adjustments for (gains) losses included in earnings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Borders>
              <w:right w:val="single" w:sz="8" w:color="CCEEFF"/>
            </w:tcBorders>
            <w:shd w:val="clear" w:color="auto" w:fill="CCEEFF"/>
          </w:tcPr>
          <w:p>
            <w:pPr>
              <w:ind w:left="300"/>
              <w:spacing w:after="0" w:line="201" w:lineRule="exact"/>
              <w:rPr>
                <w:sz w:val="20"/>
                <w:szCs w:val="20"/>
                <w:color w:val="auto"/>
              </w:rPr>
            </w:pPr>
            <w:r>
              <w:rPr>
                <w:rFonts w:ascii="Arial" w:cs="Arial" w:eastAsia="Arial" w:hAnsi="Arial"/>
                <w:sz w:val="18"/>
                <w:szCs w:val="18"/>
                <w:color w:val="auto"/>
                <w:w w:val="91"/>
              </w:rPr>
              <w:t>Unrealized gains (losses) recognized in other comprehensive income (loss) on</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securities available for sale</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(1,171)</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10,659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(246)</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2,238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Borders>
              <w:right w:val="single" w:sz="8" w:color="CCEEFF"/>
            </w:tcBorders>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w w:val="94"/>
              </w:rPr>
              <w:t>Unrealized gains (losses) recognized in other comprehensive income (loss) on</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securities available for sale, net of tax</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(925)</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8,421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Derivative instruments</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Unrealized gain (loss) arising during period</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389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Reclassification adjustment for income recognized in earnings</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Borders>
              <w:right w:val="single" w:sz="8" w:color="CCEEFF"/>
            </w:tcBorders>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w w:val="94"/>
              </w:rPr>
              <w:t>Unrealized gains (losses) recognized in other comprehensive income (loss) on</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derivative instruments</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316</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(447)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Borders>
              <w:right w:val="single" w:sz="8" w:color="CCEEFF"/>
            </w:tcBorders>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w w:val="94"/>
              </w:rPr>
              <w:t>Unrealized gains (losses) recognized in other comprehensive income (loss) on</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derivative instruments, net of tax</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jc w:val="right"/>
              <w:ind w:right="3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(675)</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6,735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13,503</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See notes to interim condensed consolidated financial statements (unaudited)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INDEPENDENT BANK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Condensed Consolidated Statements of Cash Flows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600" w:type="dxa"/>
            <w:vAlign w:val="bottom"/>
            <w:gridSpan w:val="7"/>
          </w:tcPr>
          <w:p>
            <w:pPr>
              <w:spacing w:after="0"/>
              <w:rPr>
                <w:sz w:val="20"/>
                <w:szCs w:val="20"/>
                <w:color w:val="auto"/>
              </w:rPr>
            </w:pPr>
            <w:r>
              <w:rPr>
                <w:rFonts w:ascii="Arial" w:cs="Arial" w:eastAsia="Arial" w:hAnsi="Arial"/>
                <w:sz w:val="18"/>
                <w:szCs w:val="18"/>
                <w:color w:val="auto"/>
                <w:w w:val="92"/>
              </w:rPr>
              <w:t>Nine months ended September 30,</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6"/>
          </w:tcPr>
          <w:p>
            <w:pPr>
              <w:jc w:val="right"/>
              <w:ind w:right="400"/>
              <w:spacing w:after="0"/>
              <w:rPr>
                <w:sz w:val="20"/>
                <w:szCs w:val="20"/>
                <w:color w:val="auto"/>
              </w:rPr>
            </w:pPr>
            <w:r>
              <w:rPr>
                <w:rFonts w:ascii="Arial" w:cs="Arial" w:eastAsia="Arial" w:hAnsi="Arial"/>
                <w:sz w:val="18"/>
                <w:szCs w:val="18"/>
                <w:color w:val="auto"/>
                <w:w w:val="95"/>
              </w:rPr>
              <w:t>(unaudited - In thousands)</w:t>
            </w:r>
          </w:p>
        </w:tc>
      </w:tr>
      <w:tr>
        <w:trPr>
          <w:trHeight w:val="223"/>
        </w:trPr>
        <w:tc>
          <w:tcPr>
            <w:tcW w:w="20" w:type="dxa"/>
            <w:vAlign w:val="bottom"/>
          </w:tcPr>
          <w:p>
            <w:pPr>
              <w:spacing w:after="0"/>
              <w:rPr>
                <w:sz w:val="19"/>
                <w:szCs w:val="19"/>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32,556</w:t>
            </w:r>
          </w:p>
        </w:tc>
        <w:tc>
          <w:tcPr>
            <w:tcW w:w="1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29,903</w:t>
            </w: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the sale of equity securities at fair value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Proceeds from sales of loans held for sale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422,557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351,486</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Disbursements for loans held for sale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(451,572)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(343,462)</w:t>
            </w: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Provision for loan losses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912</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income tax expense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6,972</w:t>
            </w: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Deferred loan fees and costs</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(3,122)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(3,681)</w:t>
            </w:r>
          </w:p>
        </w:tc>
      </w:tr>
      <w:tr>
        <w:trPr>
          <w:trHeight w:val="202"/>
        </w:trPr>
        <w:tc>
          <w:tcPr>
            <w:tcW w:w="20" w:type="dxa"/>
            <w:vAlign w:val="bottom"/>
          </w:tcPr>
          <w:p>
            <w:pPr>
              <w:spacing w:after="0"/>
              <w:rPr>
                <w:sz w:val="17"/>
                <w:szCs w:val="17"/>
                <w:color w:val="auto"/>
              </w:rPr>
            </w:pPr>
          </w:p>
        </w:tc>
        <w:tc>
          <w:tcPr>
            <w:tcW w:w="8800" w:type="dxa"/>
            <w:vAlign w:val="bottom"/>
            <w:tcBorders>
              <w:right w:val="single" w:sz="8" w:color="CCEEFF"/>
            </w:tcBorders>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Net depreciation, amortization of intangible assets and premiums and accretion of discounts on securities, loans and</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8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interest bearing deposits - time</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4,560</w:t>
            </w: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Net gains on mortgage loans</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(13,590)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(8,571)</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(gains) losses on securities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Share based compensation</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1,293</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Increase in accrued income and other assets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(16,925)</w:t>
            </w: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Increase (decrease) in accrued expenses and other liabilities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(1,930)</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Total Adjustments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tcPr>
          <w:p>
            <w:pPr>
              <w:jc w:val="right"/>
              <w:ind w:right="30"/>
              <w:spacing w:after="0"/>
              <w:rPr>
                <w:sz w:val="20"/>
                <w:szCs w:val="20"/>
                <w:color w:val="auto"/>
              </w:rPr>
            </w:pPr>
            <w:r>
              <w:rPr>
                <w:rFonts w:ascii="Arial" w:cs="Arial" w:eastAsia="Arial" w:hAnsi="Arial"/>
                <w:sz w:val="18"/>
                <w:szCs w:val="18"/>
                <w:color w:val="auto"/>
              </w:rPr>
              <w:t>Net Cash From Operating Activities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20,628</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 Used in Investing Activities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Proceeds from the sale of securities available for sale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44,305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31,445</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maturities, prepayments and calls of securities available for sale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125,275</w:t>
            </w: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Purchases of securities available for sale</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(123,238)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(71,067)</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the sale of interest bearing deposits - time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2,474</w:t>
            </w: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Proceeds from the maturity of interest bearing deposits - time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3,728</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 of Federal Reserve Bank Stock</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(2,034)</w:t>
            </w: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Net increase in portfolio loans (loans originated, net of principal payments)</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(213,116)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(272,084)</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the sale of portfolio loans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27,577</w:t>
            </w: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Acquisition of TCSB Bancorp Inc., less cash received</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23,516</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bank-owned life insurance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w:t>
            </w: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Proceeds from the sale of other real estate and repossessed assets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1,777</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(2,812)</w:t>
            </w:r>
          </w:p>
        </w:tc>
      </w:tr>
      <w:tr>
        <w:trPr>
          <w:trHeight w:val="27"/>
        </w:trPr>
        <w:tc>
          <w:tcPr>
            <w:tcW w:w="20" w:type="dxa"/>
            <w:vAlign w:val="bottom"/>
          </w:tcPr>
          <w:p>
            <w:pPr>
              <w:spacing w:after="0"/>
              <w:rPr>
                <w:sz w:val="2"/>
                <w:szCs w:val="2"/>
                <w:color w:val="auto"/>
              </w:rPr>
            </w:pPr>
          </w:p>
        </w:tc>
        <w:tc>
          <w:tcPr>
            <w:tcW w:w="88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8800" w:type="dxa"/>
            <w:vAlign w:val="bottom"/>
          </w:tcPr>
          <w:p>
            <w:pPr>
              <w:jc w:val="right"/>
              <w:ind w:right="3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(131,595)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(131,731)</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 From Financing Activities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Net increase in total deposits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138,884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110,400</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increase in other borrowings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18,903</w:t>
            </w: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Proceeds from Federal Home Loan Bank Advances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1,202,000</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Payments of Federal Home Loan Bank Advances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(37,143)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(1,210,197)</w:t>
            </w: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Dividends paid</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(12,507)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(10,446)</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issuance of common stock</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Repurchase of common stock</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(26,284)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8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Share based compensation withholding obligation</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(1,327)</w:t>
            </w:r>
          </w:p>
        </w:tc>
      </w:tr>
      <w:tr>
        <w:trPr>
          <w:trHeight w:val="223"/>
        </w:trPr>
        <w:tc>
          <w:tcPr>
            <w:tcW w:w="20" w:type="dxa"/>
            <w:vAlign w:val="bottom"/>
          </w:tcPr>
          <w:p>
            <w:pPr>
              <w:spacing w:after="0"/>
              <w:rPr>
                <w:sz w:val="19"/>
                <w:szCs w:val="19"/>
                <w:color w:val="auto"/>
              </w:rPr>
            </w:pPr>
          </w:p>
        </w:tc>
        <w:tc>
          <w:tcPr>
            <w:tcW w:w="88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Net Cash From Financing Activities</w:t>
            </w: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137,708</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109,535</w:t>
            </w:r>
          </w:p>
        </w:tc>
        <w:tc>
          <w:tcPr>
            <w:tcW w:w="100" w:type="dxa"/>
            <w:vAlign w:val="bottom"/>
            <w:tcBorders>
              <w:top w:val="single" w:sz="8" w:color="CCEEFF"/>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70,244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54,738</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82,417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53,170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20,185</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11,168</w:t>
            </w: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leases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Transfers to other real estate and repossessed assets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960</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of securities available for sale not yet settled</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Securitization of portfolio loans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29,790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Right of use assets obtained in exchange for lease obligations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Transfer of loans to held for sale</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36,622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27,577</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See notes to interim condensed consolidated financial statements (unaudited)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INDEPENDENT BANK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Condensed Consolidated Statements of Shareholders’ Equity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Other</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Common</w:t>
            </w:r>
          </w:p>
        </w:tc>
        <w:tc>
          <w:tcPr>
            <w:tcW w:w="160" w:type="dxa"/>
            <w:vAlign w:val="bottom"/>
          </w:tcPr>
          <w:p>
            <w:pPr>
              <w:spacing w:after="0"/>
              <w:rPr>
                <w:sz w:val="18"/>
                <w:szCs w:val="18"/>
                <w:color w:val="auto"/>
              </w:rPr>
            </w:pP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w w:val="97"/>
              </w:rPr>
              <w:t>Accumulated</w:t>
            </w:r>
          </w:p>
        </w:tc>
        <w:tc>
          <w:tcPr>
            <w:tcW w:w="1280" w:type="dxa"/>
            <w:vAlign w:val="bottom"/>
            <w:gridSpan w:val="3"/>
          </w:tcPr>
          <w:p>
            <w:pPr>
              <w:spacing w:after="0"/>
              <w:rPr>
                <w:sz w:val="20"/>
                <w:szCs w:val="20"/>
                <w:color w:val="auto"/>
              </w:rPr>
            </w:pPr>
            <w:r>
              <w:rPr>
                <w:rFonts w:ascii="Arial" w:cs="Arial" w:eastAsia="Arial" w:hAnsi="Arial"/>
                <w:sz w:val="18"/>
                <w:szCs w:val="18"/>
                <w:color w:val="auto"/>
                <w:w w:val="99"/>
              </w:rPr>
              <w:t>Comprehensive</w:t>
            </w:r>
          </w:p>
        </w:tc>
        <w:tc>
          <w:tcPr>
            <w:tcW w:w="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Shareholders’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Stock</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Deficit</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Loss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20" w:type="dxa"/>
            <w:vAlign w:val="bottom"/>
            <w:gridSpan w:val="11"/>
          </w:tcPr>
          <w:p>
            <w:pPr>
              <w:jc w:val="right"/>
              <w:spacing w:after="0"/>
              <w:rPr>
                <w:sz w:val="20"/>
                <w:szCs w:val="20"/>
                <w:color w:val="auto"/>
              </w:rPr>
            </w:pPr>
            <w:r>
              <w:rPr>
                <w:rFonts w:ascii="Arial" w:cs="Arial" w:eastAsia="Arial" w:hAnsi="Arial"/>
                <w:sz w:val="18"/>
                <w:szCs w:val="18"/>
                <w:color w:val="auto"/>
              </w:rPr>
              <w:t>(Dollars in thousands, except per share amounts)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Balances at July 1, 2019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351,894</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(16,617)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(4,431)</w:t>
            </w:r>
          </w:p>
        </w:tc>
        <w:tc>
          <w:tcPr>
            <w:tcW w:w="36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Net income, three months ended September 30, 2019</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12,445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$.18 per share</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(4,049)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Repurchase of 25,000 shares of common stock</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(502)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Issuance of 1,900 shares of common stock</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Share based compensation (issuance of 5,991 shares of common stock)</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Share based compensation withholding obligation (withholding of 919 shares of</w:t>
            </w: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1,058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September 30, 2019</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351,839</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(8,221)</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340,245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Balances at July 1, 2018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389,196</w:t>
            </w:r>
          </w:p>
        </w:tc>
        <w:tc>
          <w:tcPr>
            <w:tcW w:w="200" w:type="dxa"/>
            <w:vAlign w:val="bottom"/>
          </w:tcPr>
          <w:p>
            <w:pPr>
              <w:spacing w:after="0"/>
              <w:rPr>
                <w:sz w:val="18"/>
                <w:szCs w:val="18"/>
                <w:color w:val="auto"/>
              </w:rPr>
            </w:pPr>
          </w:p>
        </w:tc>
        <w:tc>
          <w:tcPr>
            <w:tcW w:w="36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(42,899)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(9,214)</w:t>
            </w:r>
          </w:p>
        </w:tc>
        <w:tc>
          <w:tcPr>
            <w:tcW w:w="360" w:type="dxa"/>
            <w:vAlign w:val="bottom"/>
            <w:gridSpan w:val="2"/>
          </w:tcPr>
          <w:p>
            <w:pPr>
              <w:jc w:val="right"/>
              <w:ind w:right="122"/>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337,083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income, three months ended September 30, 2018</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11,925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Cash dividends declared, $.15 per share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(3,623)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Issuance of 8,340 shares of common stock</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Share based compensation (issuance of zero shares of common stock)</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Share based compensation withholding obligation (withholding of 382 shares of</w:t>
            </w: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(675)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September 30, 2018</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389,690</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(34,597)</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345,204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Balances at January 1, 2019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377,372</w:t>
            </w:r>
          </w:p>
        </w:tc>
        <w:tc>
          <w:tcPr>
            <w:tcW w:w="200" w:type="dxa"/>
            <w:vAlign w:val="bottom"/>
          </w:tcPr>
          <w:p>
            <w:pPr>
              <w:spacing w:after="0"/>
              <w:rPr>
                <w:sz w:val="18"/>
                <w:szCs w:val="18"/>
                <w:color w:val="auto"/>
              </w:rPr>
            </w:pPr>
          </w:p>
        </w:tc>
        <w:tc>
          <w:tcPr>
            <w:tcW w:w="36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(28,270)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(10,108)</w:t>
            </w:r>
          </w:p>
        </w:tc>
        <w:tc>
          <w:tcPr>
            <w:tcW w:w="360" w:type="dxa"/>
            <w:vAlign w:val="bottom"/>
            <w:gridSpan w:val="2"/>
          </w:tcPr>
          <w:p>
            <w:pPr>
              <w:jc w:val="right"/>
              <w:ind w:right="122"/>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338,994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income, nine months ended September 30, 2019</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32,556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Cash dividends declared, $.54 per share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(12,507)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1,204,688 shares of common stock</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(26,284)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Issuance of 70,299 shares of common stock</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 (issuance of 92,617 shares of common stock)</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tcPr>
          <w:p>
            <w:pPr>
              <w:spacing w:after="0" w:line="201" w:lineRule="exact"/>
              <w:rPr>
                <w:sz w:val="20"/>
                <w:szCs w:val="20"/>
                <w:color w:val="auto"/>
              </w:rPr>
            </w:pPr>
            <w:r>
              <w:rPr>
                <w:rFonts w:ascii="Arial" w:cs="Arial" w:eastAsia="Arial" w:hAnsi="Arial"/>
                <w:sz w:val="18"/>
                <w:szCs w:val="18"/>
                <w:color w:val="auto"/>
              </w:rPr>
              <w:t>Share based compensation withholding obligation (withholding of 57,205</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shares of common stock)</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(879)</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6,735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Balances at September 30, 2019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351,839</w:t>
            </w:r>
          </w:p>
        </w:tc>
        <w:tc>
          <w:tcPr>
            <w:tcW w:w="200" w:type="dxa"/>
            <w:vAlign w:val="bottom"/>
          </w:tcPr>
          <w:p>
            <w:pPr>
              <w:spacing w:after="0"/>
              <w:rPr>
                <w:sz w:val="18"/>
                <w:szCs w:val="18"/>
                <w:color w:val="auto"/>
              </w:rPr>
            </w:pPr>
          </w:p>
        </w:tc>
        <w:tc>
          <w:tcPr>
            <w:tcW w:w="36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(8,221)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(3,373)</w:t>
            </w:r>
          </w:p>
        </w:tc>
        <w:tc>
          <w:tcPr>
            <w:tcW w:w="360" w:type="dxa"/>
            <w:vAlign w:val="bottom"/>
            <w:gridSpan w:val="2"/>
          </w:tcPr>
          <w:p>
            <w:pPr>
              <w:jc w:val="right"/>
              <w:ind w:right="122"/>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340,245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Balances at January 1, 2018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324,986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Net income, nine months ended September 30, 2018</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29,903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29,903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$.45 per share</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(10,446)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Acquisition of TCSB Bancorp, Inc.</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64,536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64,536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Issuance of 113,548 shares of common stock</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Share based compensation (issuance of 81,919 shares of common stock)</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 based compensation withholding obligation (withholding of 87,767</w:t>
            </w: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of common stock)</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(1,327)</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(3,890)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September 30, 2018</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389,690</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(34,597)</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345,204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See notes to interim condensed consolidated financial statements (unaudited)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22"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Preparation of Financial Statements</w:t>
      </w:r>
    </w:p>
    <w:p>
      <w:pPr>
        <w:spacing w:after="0" w:line="24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condensed consolidated financial statements have been prepared pursuant to the rules and regulations of the Securities and Exchange Commission. Certain information and note disclosures normally included in annual financial statements prepared in accordance with U.S. generally accepted accounting principles (“GAAP”) have been condensed or omitted pursuant to those rules and regulations, although we believe that the disclosures made are adequate to make the information not misleading. The unaudited condensed consolidated financial statements should be read in conjunction with the audited consolidated financial statements and notes for the year ended December 31, 2018 included in our Annual Report on Form 10-K.</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 our opinion, the accompanying unaudited condensed consolidated financial statements contain all the adjustments necessary to present fairly our consolidated financial condition as of September 30, 2019 and December 31, 2018, and the results of operations for the three and nine-month periods ended September 30, 2019 and 2018. The results of operations for the three and nine-month periods ended September 30, 2019, are not necessarily indicative of the results to be expected for the full year. Certain reclassifications have been made in the prior period financial statements to conform to the current period presentation. Our critical accounting policies include the determination of the allowance for loan losses and the valuation of capitalized mortgage loan servicing rights. Refer to our 2018 Annual Report on Form 10-K for a disclosure of our accounting policies.</w:t>
      </w:r>
    </w:p>
    <w:p>
      <w:pPr>
        <w:spacing w:after="0" w:line="18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New Accounting Standards</w:t>
      </w:r>
    </w:p>
    <w:p>
      <w:pPr>
        <w:spacing w:after="0" w:line="24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June 2016, the Financial Accounting Standards Board (“FASB”) issued Accounting Standards Update (“ASU”) 2016-13, “Financial Instruments — Credit Losses (Topic 326), Measurement of Credit Losses on Financial Instruments”. This ASU significantly changes how entities will measure credit losses for most financial assets and certain other instruments that are not measured at fair value through net income. This ASU:</w:t>
      </w:r>
    </w:p>
    <w:p>
      <w:pPr>
        <w:spacing w:after="0" w:line="219" w:lineRule="exact"/>
        <w:rPr>
          <w:sz w:val="20"/>
          <w:szCs w:val="20"/>
          <w:color w:val="auto"/>
        </w:rPr>
      </w:pPr>
    </w:p>
    <w:p>
      <w:pPr>
        <w:jc w:val="both"/>
        <w:ind w:left="260" w:hanging="252"/>
        <w:spacing w:after="0" w:line="256"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Replaces the existing incurred loss impairment guidance and establishes a single allowance framework for financial assets carried at amortized cost, which will reflect our estimate of credit losses over the full remaining expected life of the financial assets and will consider expected future changes in macroeconomic conditions.</w:t>
      </w:r>
    </w:p>
    <w:p>
      <w:pPr>
        <w:jc w:val="both"/>
        <w:ind w:left="260" w:hanging="252"/>
        <w:spacing w:after="0" w:line="250"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Eliminates existing guidance for purchase credit impaired (“PCI”) loans, and requires recognition of the nonaccretable difference as an increase to the allowance for expected credit losses on financial assets purchased with more than insignificant credit deterioration since origination, which will be offset by an increase in the recorded investment of the related loans.</w:t>
      </w:r>
    </w:p>
    <w:p>
      <w:pPr>
        <w:spacing w:after="0" w:line="1" w:lineRule="exact"/>
        <w:rPr>
          <w:rFonts w:ascii="Arial" w:cs="Arial" w:eastAsia="Arial" w:hAnsi="Arial"/>
          <w:sz w:val="18"/>
          <w:szCs w:val="18"/>
          <w:color w:val="auto"/>
        </w:rPr>
      </w:pPr>
    </w:p>
    <w:p>
      <w:pPr>
        <w:ind w:left="260" w:hanging="252"/>
        <w:spacing w:after="0" w:line="250"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Requires inclusion of expected recoveries, limited to the cumulative amount of prior write-offs, when estimating the allowance for credit losses for in scope financial assets (including collateral dependent assets).</w:t>
      </w:r>
    </w:p>
    <w:p>
      <w:pPr>
        <w:jc w:val="both"/>
        <w:ind w:left="260" w:hanging="252"/>
        <w:spacing w:after="0" w:line="250"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Amends existing impairment guidance for securities available for sale to incorporate an allowance, which will allow for reversals of credit impairments in the event that the credit of an issuer improves. Credit losses on securities available for sale are limited to the amount of the decline in fair value regardless of what the credit loss model would show for impairment.</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Generally requires a cumulative-effect adjustment to retained earnings as of the beginning of the reporting period of adoption.</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effective for us on January 1, 2020.</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We began evaluating this ASU in 2016 and established a company-wide, cross-discipline governance structure, which provides implementation oversight. We continue to test and refine our current expected credit loss models that satisfy the requirements of this ASU. Oversight and testing, as well as efforts to meet expanded disclosure requirements, will extend through the remainder of 2019. We expect that the allowance related to our loans will increase as it will cover credit losses over the full remaining expected life of the portfolio. We currently intend to estimate losses over approximately a two year forecast period using the Federal Open Market Committee median economic projections (which are typically published in March of each year) as well as considering other economic forecast sources, and then revert to longer term historical loss experience to estimate losses over more extended periods. We currently expect the increase in the allowance for loan losses to be in the range of $9.0 million to $11.0 million, primarily driven by the longer contractual maturities of our mortgage and consumer installment loan segments. This estimated range is based on our September 30, 2019 loan portfolio and currently available economic forecasts. The mid-point of the range utilizes a two year forecast period and a two year reversion period. This estimated range also includes a qualitative adjustment to the allowance for loan losses. In addition, we currently expect this ASU to increase the allowance for losses related to unfunded loan commitments between $0.5 million and $1.5 million. These estimates are subject to further refinement based on continuing reviews, testing, enhancements and approvals of models, methodologies and judgments. The ultimate impact will depend upon the nature and characteristics of our loan portfolio at the adoption date, the macroeconomic conditions and forecasts at that date, further regulatory or accounting guidance and other management judgments. We currently do not expect to record any allowance for loss on available for sale securities. The ultimate impact will depend upon the nature and characteristics of our securities available for sale (including issuer specific matters) at the adoption date, the macroeconomic conditions and forecasts at that date, and other management judgments.</w:t>
      </w:r>
    </w:p>
    <w:p>
      <w:pPr>
        <w:spacing w:after="0" w:line="200" w:lineRule="exact"/>
        <w:rPr>
          <w:sz w:val="20"/>
          <w:szCs w:val="20"/>
          <w:color w:val="auto"/>
        </w:rPr>
      </w:pP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 August 2018, the FASB issued ASU 2018-13, ‘‘Fair Value Measurement (Topic 820), Disclosure Framework – Changes to the Disclosure Requirements for Fair Value Measurement’’. This new ASU amends disclosure requirements in Topic 820 to eliminate, add and modify certain disclosure requirements for fair value measurements as part of its disclosure framework project. The amended guidance eliminates the requirements to disclose the amount of and reasons for transfers between Level 1 and Level 2 of the fair value hierarchy, the entity’s policy for the timing of transfers between levels of the fair value hierarchy and the entity’s valuation processes for Level 3 fair value measurements. The amended guidance adds the requirements to disclose the changes in unrealized gains and losses for the period included in other comprehensive income (loss) for recurring Level 3 fair value measurements of instruments held at the end of the reporting period and for recurring and nonrecurring Level 3 fair value measurements, the range and weighted average used to develop significant unobservable inputs and how the weighted average was calculated, with certain exceptions. This amended guidance is effective for us on January 1, 2020, and is not expected to have a material impact on our consolidated operating results or financial condition.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In February 2016, the FASB issued ASU 2016-02, “Leases (Topic 842)”. This ASU amends existing guidance related to the accounting for leases. These amendments, among other things, require lessees to account for most leases on the balance sheet while recognizing expense on the income statement in a manner similar to existing guidance. For lessors the guidance modifies the classification criteria and the accounting for sales-type and direct finance leases. This amended guidance was effective for us on January 1, 2019 and did not have a material impact on our consolidated operating results or financial condition. Based on our operating leases that we currently have in place we do not expect a material change in the recognition, measurement and presentation of lease expense or impact on cash flow. The primary impact was the recognition of certain operating leases on our Condensed Consolidated Statements of Financial Condition which resulted in the recording of right of use (“ROU”) assets and offsetting lease liabilities each totaling approximately $7.7 million at January 1, 2019. See note #16.</w:t>
      </w:r>
    </w:p>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In August 2017, the FASB issued ASU 2017-12, “Derivatives and Hedging (Topic 815), Targeted Improvements to Accounting for Hedging Activities”. This new ASU amends the hedge accounting model in Topic 815 to enable entities to better portray the economics of their risk management activities in the financial statements and enhance the transparency and understandability of hedge results. The amendments expand an entity’s ability to hedge nonfinancial and financial risk components and reduce complexity in fair value hedges of interest rate risk. The guidance eliminates the requirement to separately measure and report hedge ineffectiveness and generally requires the entire change in the fair value of a hedging instrument to be presented in the same income statement line as the hedged item. The guidance also eases certain documentation and assessment requirements and modifies the accounting for components excluded from the assessment of hedge effectiveness. This amended guidance was effective for us on January 1, 2019, and did not have a material impact on our consolidated operating results or financial condition.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2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u w:val="single" w:color="auto"/>
          <w:color w:val="auto"/>
        </w:rPr>
        <w:t>Securities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Securities available for sale consist of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Amortized</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Unrealized</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Gains</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Losses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Fair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September 30, 2019</w:t>
            </w: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80" w:type="dxa"/>
            <w:vAlign w:val="bottom"/>
            <w:gridSpan w:val="2"/>
            <w:vMerge w:val="continue"/>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agency</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15,145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U.S. agency residential mortgage-backed</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146,128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1,806</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147,720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agency commercial mortgage-backed</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11,182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155</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Private label mortgage-backed</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31,195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686</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 backed</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94,799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185</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99,352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1,880</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101,139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1,237</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Trust preferred</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government</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Total</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434,231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6,106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745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439,592</w:t>
            </w:r>
          </w:p>
        </w:tc>
        <w:tc>
          <w:tcPr>
            <w:tcW w:w="0" w:type="dxa"/>
            <w:vAlign w:val="bottom"/>
          </w:tcPr>
          <w:p>
            <w:pPr>
              <w:spacing w:after="0"/>
              <w:rPr>
                <w:sz w:val="1"/>
                <w:szCs w:val="1"/>
                <w:color w:val="auto"/>
              </w:rPr>
            </w:pPr>
          </w:p>
        </w:tc>
      </w:tr>
      <w:tr>
        <w:trPr>
          <w:trHeight w:val="21"/>
        </w:trPr>
        <w:tc>
          <w:tcPr>
            <w:tcW w:w="458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December 31, 2018</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agency</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20,198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U.S. agency residential mortgage-backed</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124,777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817</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123,751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agency commercial mortgage-backed</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Private label mortgage-backed</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29,735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 backed</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83,481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130,244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257</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127,555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34,866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Trust preferred</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1,964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government</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Total</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433,224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1,520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6,818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427,926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500" w:type="dxa"/>
            <w:vAlign w:val="bottom"/>
            <w:vMerge w:val="restart"/>
          </w:tcPr>
          <w:p>
            <w:pPr>
              <w:jc w:val="right"/>
              <w:ind w:right="214"/>
              <w:spacing w:after="0"/>
              <w:rPr>
                <w:sz w:val="20"/>
                <w:szCs w:val="20"/>
                <w:color w:val="auto"/>
              </w:rPr>
            </w:pPr>
            <w:r>
              <w:rPr>
                <w:rFonts w:ascii="Arial" w:cs="Arial" w:eastAsia="Arial" w:hAnsi="Arial"/>
                <w:sz w:val="14"/>
                <w:szCs w:val="14"/>
                <w:color w:val="auto"/>
              </w:rPr>
              <w:t>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5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Our investments’ gross unrealized losses and fair values aggregated by investment type and length of time that individual securities have been at a continuous unrealized loss position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6"/>
          </w:tcPr>
          <w:p>
            <w:pPr>
              <w:ind w:left="180"/>
              <w:spacing w:after="0"/>
              <w:rPr>
                <w:sz w:val="20"/>
                <w:szCs w:val="20"/>
                <w:color w:val="auto"/>
              </w:rPr>
            </w:pPr>
            <w:r>
              <w:rPr>
                <w:rFonts w:ascii="Arial" w:cs="Arial" w:eastAsia="Arial" w:hAnsi="Arial"/>
                <w:sz w:val="18"/>
                <w:szCs w:val="18"/>
                <w:color w:val="auto"/>
              </w:rPr>
              <w:t>Less Than Twelve Months</w:t>
            </w:r>
          </w:p>
        </w:tc>
        <w:tc>
          <w:tcPr>
            <w:tcW w:w="140" w:type="dxa"/>
            <w:vAlign w:val="bottom"/>
          </w:tcPr>
          <w:p>
            <w:pPr>
              <w:spacing w:after="0"/>
              <w:rPr>
                <w:sz w:val="20"/>
                <w:szCs w:val="20"/>
                <w:color w:val="auto"/>
              </w:rPr>
            </w:pPr>
          </w:p>
        </w:tc>
        <w:tc>
          <w:tcPr>
            <w:tcW w:w="2560" w:type="dxa"/>
            <w:vAlign w:val="bottom"/>
            <w:gridSpan w:val="6"/>
          </w:tcPr>
          <w:p>
            <w:pPr>
              <w:ind w:left="240"/>
              <w:spacing w:after="0"/>
              <w:rPr>
                <w:sz w:val="20"/>
                <w:szCs w:val="20"/>
                <w:color w:val="auto"/>
              </w:rPr>
            </w:pPr>
            <w:r>
              <w:rPr>
                <w:rFonts w:ascii="Arial" w:cs="Arial" w:eastAsia="Arial" w:hAnsi="Arial"/>
                <w:sz w:val="18"/>
                <w:szCs w:val="18"/>
                <w:color w:val="auto"/>
              </w:rPr>
              <w:t>Twelve Months or More</w:t>
            </w:r>
          </w:p>
        </w:tc>
        <w:tc>
          <w:tcPr>
            <w:tcW w:w="140" w:type="dxa"/>
            <w:vAlign w:val="bottom"/>
          </w:tcPr>
          <w:p>
            <w:pPr>
              <w:spacing w:after="0"/>
              <w:rPr>
                <w:sz w:val="20"/>
                <w:szCs w:val="20"/>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95"/>
              </w:rPr>
              <w:t>Unrealized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95"/>
              </w:rPr>
              <w:t>Unrealized</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95"/>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5"/>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Losses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Losses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6"/>
          </w:tcPr>
          <w:p>
            <w:pPr>
              <w:ind w:left="54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340" w:type="dxa"/>
            <w:vAlign w:val="bottom"/>
            <w:gridSpan w:val="2"/>
          </w:tcPr>
          <w:p>
            <w:pPr>
              <w:spacing w:after="0"/>
              <w:rPr>
                <w:sz w:val="20"/>
                <w:szCs w:val="20"/>
                <w:color w:val="auto"/>
              </w:rPr>
            </w:pPr>
            <w:r>
              <w:rPr>
                <w:rFonts w:ascii="Arial" w:cs="Arial" w:eastAsia="Arial" w:hAnsi="Arial"/>
                <w:sz w:val="18"/>
                <w:szCs w:val="18"/>
                <w:color w:val="auto"/>
              </w:rPr>
              <w:t>September 30, 2019</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agency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w w:val="95"/>
              </w:rPr>
              <w:t>U.S. agency residential mortgage-backed</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26,084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16,902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42,986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U.S. agency commercial mortgage-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backed</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Private label mortgage- backed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 backed</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Obligations of states and political</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subdivisions</w:t>
            </w: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14,457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18,819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Trust preferred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government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75,464</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294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40,571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451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116,035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
        </w:trPr>
        <w:tc>
          <w:tcPr>
            <w:tcW w:w="334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December 31, 2018</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agency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19,095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w w:val="95"/>
              </w:rPr>
              <w:t>U.S. agency residential mortgage-backed</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18,374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48,184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1,663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66,558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U.S. agency commercial mortgage-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backed</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Private label mortgage-backed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16,145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580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24,418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 backed</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Obligations of states and political</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subdivisions</w:t>
            </w: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25,423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262</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80,701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2,684</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106,124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Trust preferred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government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131,526</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184,420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5,706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315,946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6,818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Our portfolio of securities available for sale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 aforementioned recovery criteria, the amount of impairment recognized in earnings is limited to the amount related to credit losses, while impairment related to other factors is recognized in other comprehensive income (loss).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231F20"/>
        </w:rPr>
        <w:t>U.S. agency, U.S. agency residential mortgage-backed securities and U.S. agency commercial mortgage backed securities — at September 30, 2019, we had 26 U.S. agency, 98 U.S. agency residential mortgage-backed and eight U.S. agency commercial mortgage-backed securities whose fair market value is less than amortized cost. The unrealized losses are largely attributed to increases in interest rates since acquisition and widening spreads to Treasury bonds. As management does not intend to liquidate these securities and it is more likely than not that we will not be required to sell these securities prior to recovery of these unrealized losses, no declines are deemed to be other than temporary.</w:t>
      </w:r>
    </w:p>
    <w:p>
      <w:pPr>
        <w:spacing w:after="0" w:line="204"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231F20"/>
        </w:rPr>
        <w:t xml:space="preserve">Private label mortgage backed securities — at September 30, 2019, we </w:t>
      </w:r>
      <w:r>
        <w:rPr>
          <w:rFonts w:ascii="Arial" w:cs="Arial" w:eastAsia="Arial" w:hAnsi="Arial"/>
          <w:sz w:val="19"/>
          <w:szCs w:val="19"/>
          <w:color w:val="000000"/>
        </w:rPr>
        <w:t>had 12 of this type of security whose fair value is less than</w:t>
      </w:r>
      <w:r>
        <w:rPr>
          <w:rFonts w:ascii="Arial" w:cs="Arial" w:eastAsia="Arial" w:hAnsi="Arial"/>
          <w:sz w:val="19"/>
          <w:szCs w:val="19"/>
          <w:color w:val="231F20"/>
        </w:rPr>
        <w:t xml:space="preserve"> </w:t>
      </w:r>
      <w:r>
        <w:rPr>
          <w:rFonts w:ascii="Arial" w:cs="Arial" w:eastAsia="Arial" w:hAnsi="Arial"/>
          <w:sz w:val="19"/>
          <w:szCs w:val="19"/>
          <w:color w:val="000000"/>
        </w:rPr>
        <w:t xml:space="preserve">amortized cost. </w:t>
      </w:r>
      <w:r>
        <w:rPr>
          <w:rFonts w:ascii="Arial" w:cs="Arial" w:eastAsia="Arial" w:hAnsi="Arial"/>
          <w:sz w:val="19"/>
          <w:szCs w:val="19"/>
          <w:color w:val="231F20"/>
        </w:rPr>
        <w:t>Unrealized losses are primarily due to credit spread widening and increases in interest rates since their acquisition.</w:t>
      </w:r>
    </w:p>
    <w:p>
      <w:pPr>
        <w:spacing w:after="0" w:line="132"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Two private label mortgage-backed securities (discussed further below) were reviewed for other than temporary impairment (‘‘OTTI’’) utilizing a cash flow projection. The cash flow analysis forecasts cash flow from the underlying loans in each transaction and then applies these cash flows to the bonds in the securitization. See further discussion below.</w:t>
      </w:r>
    </w:p>
    <w:p>
      <w:pPr>
        <w:spacing w:after="0" w:line="194"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As management does not intend to liquidate these securities and it is more likely than not that we will not be required to sell these securities prior to recovery of these unrealized losses, no other declines discussed above are deemed to be other than temporary.</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231F20"/>
        </w:rPr>
        <w:t>Other asset backed — at September 30, 2019, we had 40 other asset backed securities whose fair value is less than amortized cost. The unrealized losses are primarily due to credit spread widening and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231F20"/>
        </w:rPr>
        <w:t xml:space="preserve">Obligations of states and political subdivisions — at September 30, 2019, we had 59 municipal securities whose fair value is less than amortized cost. </w:t>
      </w:r>
      <w:r>
        <w:rPr>
          <w:rFonts w:ascii="Arial" w:cs="Arial" w:eastAsia="Arial" w:hAnsi="Arial"/>
          <w:sz w:val="19"/>
          <w:szCs w:val="19"/>
          <w:color w:val="000000"/>
        </w:rPr>
        <w:t>The unrealized losses are primarily due to wider benchmark pricing spreads and increases in interest rates</w:t>
      </w:r>
      <w:r>
        <w:rPr>
          <w:rFonts w:ascii="Arial" w:cs="Arial" w:eastAsia="Arial" w:hAnsi="Arial"/>
          <w:sz w:val="19"/>
          <w:szCs w:val="19"/>
          <w:color w:val="231F20"/>
        </w:rPr>
        <w:t xml:space="preserve"> </w:t>
      </w:r>
      <w:r>
        <w:rPr>
          <w:rFonts w:ascii="Arial" w:cs="Arial" w:eastAsia="Arial" w:hAnsi="Arial"/>
          <w:sz w:val="19"/>
          <w:szCs w:val="19"/>
          <w:color w:val="000000"/>
        </w:rPr>
        <w:t xml:space="preserve">since acquisition. </w:t>
      </w:r>
      <w:r>
        <w:rPr>
          <w:rFonts w:ascii="Arial" w:cs="Arial" w:eastAsia="Arial" w:hAnsi="Arial"/>
          <w:sz w:val="19"/>
          <w:szCs w:val="19"/>
          <w:color w:val="231F20"/>
        </w:rPr>
        <w:t>As management does not intend to liquidate these securities and it is more likely than not that we will not be</w:t>
      </w:r>
      <w:r>
        <w:rPr>
          <w:rFonts w:ascii="Arial" w:cs="Arial" w:eastAsia="Arial" w:hAnsi="Arial"/>
          <w:sz w:val="19"/>
          <w:szCs w:val="19"/>
          <w:color w:val="000000"/>
        </w:rPr>
        <w:t xml:space="preserve"> </w:t>
      </w:r>
      <w:r>
        <w:rPr>
          <w:rFonts w:ascii="Arial" w:cs="Arial" w:eastAsia="Arial" w:hAnsi="Arial"/>
          <w:sz w:val="19"/>
          <w:szCs w:val="19"/>
          <w:color w:val="231F20"/>
        </w:rPr>
        <w:t>required to sell these securities prior to recovery of these unrealized losses, no declines are deemed to be other than temporary.</w:t>
      </w:r>
    </w:p>
    <w:p>
      <w:pPr>
        <w:spacing w:after="0" w:line="17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231F20"/>
        </w:rPr>
        <w:t>Corporate — at September 30, 2019, we had two corporate securities whose fair value is less than amortized cost. The unrealized losses are primarily due to credit spread widening and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231F20"/>
        </w:rPr>
        <w:t xml:space="preserve">Trust preferred securities — at September 30, 2019, </w:t>
      </w:r>
      <w:r>
        <w:rPr>
          <w:rFonts w:ascii="Arial" w:cs="Arial" w:eastAsia="Arial" w:hAnsi="Arial"/>
          <w:sz w:val="19"/>
          <w:szCs w:val="19"/>
          <w:color w:val="000000"/>
        </w:rPr>
        <w:t>we had two trust preferred securities whose fair value is less than amortized</w:t>
      </w:r>
      <w:r>
        <w:rPr>
          <w:rFonts w:ascii="Arial" w:cs="Arial" w:eastAsia="Arial" w:hAnsi="Arial"/>
          <w:sz w:val="19"/>
          <w:szCs w:val="19"/>
          <w:color w:val="231F20"/>
        </w:rPr>
        <w:t xml:space="preserve"> </w:t>
      </w:r>
      <w:r>
        <w:rPr>
          <w:rFonts w:ascii="Arial" w:cs="Arial" w:eastAsia="Arial" w:hAnsi="Arial"/>
          <w:sz w:val="19"/>
          <w:szCs w:val="19"/>
          <w:color w:val="000000"/>
        </w:rPr>
        <w:t>cost. Both of our trust preferred securities are single issue securities issued by a trust subsidiary of a bank holding company. The pricing of trust preferred securities has suffered from credit spread widening. One of the securities is rated by a major rating agency as investment grade while the other one is non-rated. The non-rated issue is a relatively small bank and was never rated. The issuer of this non-rated trust preferred security, which had a total amortized cost of $1.0 million and total fair value of $0.90 million as of September 30, 2019, continues to have satisfactory credit metrics and make interest payments. As management does not intend to liquidate this security and it is more likely than not that we will not be required to sell this security prior to recovery of the unrealized loss, this decline is not deemed to be other than temporary.</w:t>
      </w:r>
    </w:p>
    <w:p>
      <w:pPr>
        <w:spacing w:after="0" w:line="185" w:lineRule="exact"/>
        <w:rPr>
          <w:sz w:val="20"/>
          <w:szCs w:val="20"/>
          <w:color w:val="auto"/>
        </w:rPr>
      </w:pPr>
    </w:p>
    <w:p>
      <w:pPr>
        <w:jc w:val="both"/>
        <w:ind w:right="100"/>
        <w:spacing w:after="0" w:line="238" w:lineRule="auto"/>
        <w:rPr>
          <w:sz w:val="20"/>
          <w:szCs w:val="20"/>
          <w:color w:val="auto"/>
        </w:rPr>
      </w:pPr>
      <w:r>
        <w:rPr>
          <w:rFonts w:ascii="Arial" w:cs="Arial" w:eastAsia="Arial" w:hAnsi="Arial"/>
          <w:sz w:val="22"/>
          <w:szCs w:val="22"/>
          <w:color w:val="231F20"/>
        </w:rPr>
        <w:t xml:space="preserve">Foreign government — at September 30, 2019, we had </w:t>
      </w:r>
      <w:r>
        <w:rPr>
          <w:rFonts w:ascii="Arial" w:cs="Arial" w:eastAsia="Arial" w:hAnsi="Arial"/>
          <w:sz w:val="22"/>
          <w:szCs w:val="22"/>
          <w:color w:val="000000"/>
        </w:rPr>
        <w:t>one</w:t>
      </w:r>
      <w:r>
        <w:rPr>
          <w:rFonts w:ascii="Arial" w:cs="Arial" w:eastAsia="Arial" w:hAnsi="Arial"/>
          <w:sz w:val="22"/>
          <w:szCs w:val="22"/>
          <w:color w:val="231F20"/>
        </w:rPr>
        <w:t xml:space="preserve"> foreign government security whose fair value is less than amortized cost. The unrealized loss is primarily due to increases in interest rates since acquisition. As management does not intend to liquidate this security and it is more likely than not that we will not be required to sell this security prior to recovery of this unrealized loss, this decline is not deemed to be other than temporary.</w:t>
      </w:r>
    </w:p>
    <w:p>
      <w:pPr>
        <w:spacing w:after="0" w:line="212"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We recorded no credit related OTTI charges in our Condensed Consolidated Statements of Operations related to securities available for sale during the three and nine month periods ended September 30, 2019 and 2018,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color w:val="auto"/>
        </w:rPr>
        <w:t>At September 30, 2019, two private label mortgage-backed securities had credit related OTTI and are summarized as follows:</w:t>
      </w: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color w:val="auto"/>
                <w:w w:val="87"/>
              </w:rPr>
              <w:t>Super</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Senior</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color w:val="auto"/>
                <w:w w:val="88"/>
              </w:rPr>
              <w:t>Senior</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Security</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Security</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8"/>
              </w:rPr>
              <w:t>(In thousands)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246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Amortized cost</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Non-credit unrealized loss</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Unrealized gain</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Cumulative credit related OTTI</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Both of these securities are receiving principal and interest payments similar to principal reductions in the underlying collateral and have unrealized gains at September 30, 2019. The original amortized cost (current amortized cost excluding cumulative credit related OTTI) for each of these securities has been permanently adjusted downward for previously recorded credit related OTTI. The unrealized loss (based on original amortized cost) for these securities is now less than previously recorded credit related OTTI amounts.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 roll forward of credit losses recognized in earnings on securities available for sale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28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360" w:type="dxa"/>
            <w:vAlign w:val="bottom"/>
            <w:gridSpan w:val="6"/>
          </w:tcPr>
          <w:p>
            <w:pPr>
              <w:ind w:left="300"/>
              <w:spacing w:after="0"/>
              <w:rPr>
                <w:sz w:val="20"/>
                <w:szCs w:val="20"/>
                <w:color w:val="auto"/>
              </w:rPr>
            </w:pPr>
            <w:r>
              <w:rPr>
                <w:rFonts w:ascii="Arial" w:cs="Arial" w:eastAsia="Arial" w:hAnsi="Arial"/>
                <w:sz w:val="18"/>
                <w:szCs w:val="18"/>
                <w:color w:val="auto"/>
              </w:rPr>
              <w:t>Nine months ended</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ind w:left="480"/>
              <w:spacing w:after="0"/>
              <w:rPr>
                <w:sz w:val="20"/>
                <w:szCs w:val="20"/>
                <w:color w:val="auto"/>
              </w:rPr>
            </w:pPr>
            <w:r>
              <w:rPr>
                <w:rFonts w:ascii="Arial" w:cs="Arial" w:eastAsia="Arial" w:hAnsi="Arial"/>
                <w:sz w:val="18"/>
                <w:szCs w:val="18"/>
                <w:color w:val="auto"/>
              </w:rPr>
              <w:t>September 30,</w:t>
            </w:r>
          </w:p>
        </w:tc>
      </w:tr>
      <w:tr>
        <w:trPr>
          <w:trHeight w:val="237"/>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2018</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620" w:type="dxa"/>
            <w:vAlign w:val="bottom"/>
            <w:gridSpan w:val="3"/>
          </w:tcPr>
          <w:p>
            <w:pPr>
              <w:jc w:val="right"/>
              <w:spacing w:after="0"/>
              <w:rPr>
                <w:sz w:val="20"/>
                <w:szCs w:val="20"/>
                <w:color w:val="auto"/>
              </w:rPr>
            </w:pPr>
            <w:r>
              <w:rPr>
                <w:rFonts w:ascii="Arial" w:cs="Arial" w:eastAsia="Arial" w:hAnsi="Arial"/>
                <w:sz w:val="17"/>
                <w:szCs w:val="17"/>
                <w:color w:val="auto"/>
                <w:w w:val="71"/>
              </w:rPr>
              <w:t>thousands)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ind w:left="50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1,594</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1,594</w:t>
            </w:r>
          </w:p>
        </w:tc>
      </w:tr>
      <w:tr>
        <w:trPr>
          <w:trHeight w:val="202"/>
        </w:trPr>
        <w:tc>
          <w:tcPr>
            <w:tcW w:w="20" w:type="dxa"/>
            <w:vAlign w:val="bottom"/>
          </w:tcPr>
          <w:p>
            <w:pPr>
              <w:spacing w:after="0"/>
              <w:rPr>
                <w:sz w:val="17"/>
                <w:szCs w:val="17"/>
                <w:color w:val="auto"/>
              </w:rPr>
            </w:pPr>
          </w:p>
        </w:tc>
        <w:tc>
          <w:tcPr>
            <w:tcW w:w="5700" w:type="dxa"/>
            <w:vAlign w:val="bottom"/>
          </w:tcPr>
          <w:p>
            <w:pPr>
              <w:ind w:left="160"/>
              <w:spacing w:after="0" w:line="201" w:lineRule="exact"/>
              <w:rPr>
                <w:sz w:val="20"/>
                <w:szCs w:val="20"/>
                <w:color w:val="auto"/>
              </w:rPr>
            </w:pPr>
            <w:r>
              <w:rPr>
                <w:rFonts w:ascii="Arial" w:cs="Arial" w:eastAsia="Arial" w:hAnsi="Arial"/>
                <w:sz w:val="18"/>
                <w:szCs w:val="18"/>
                <w:color w:val="auto"/>
                <w:w w:val="98"/>
              </w:rPr>
              <w:t>Additions to credit losses on securities for which no previous OTTI was</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700" w:type="dxa"/>
            <w:vAlign w:val="bottom"/>
          </w:tcPr>
          <w:p>
            <w:pPr>
              <w:jc w:val="right"/>
              <w:ind w:right="4510"/>
              <w:spacing w:after="0"/>
              <w:rPr>
                <w:sz w:val="20"/>
                <w:szCs w:val="20"/>
                <w:color w:val="auto"/>
              </w:rPr>
            </w:pPr>
            <w:r>
              <w:rPr>
                <w:rFonts w:ascii="Arial" w:cs="Arial" w:eastAsia="Arial" w:hAnsi="Arial"/>
                <w:sz w:val="18"/>
                <w:szCs w:val="18"/>
                <w:color w:val="auto"/>
              </w:rPr>
              <w:t>recognized</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57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Increases to credit losses on securities for which OTTI was previously</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700" w:type="dxa"/>
            <w:vAlign w:val="bottom"/>
            <w:shd w:val="clear" w:color="auto" w:fill="CCEEFF"/>
          </w:tcPr>
          <w:p>
            <w:pPr>
              <w:jc w:val="right"/>
              <w:ind w:right="4510"/>
              <w:spacing w:after="0"/>
              <w:rPr>
                <w:sz w:val="20"/>
                <w:szCs w:val="20"/>
                <w:color w:val="auto"/>
              </w:rPr>
            </w:pPr>
            <w:r>
              <w:rPr>
                <w:rFonts w:ascii="Arial" w:cs="Arial" w:eastAsia="Arial" w:hAnsi="Arial"/>
                <w:sz w:val="18"/>
                <w:szCs w:val="18"/>
                <w:color w:val="auto"/>
              </w:rPr>
              <w:t>recognized</w:t>
            </w: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700" w:type="dxa"/>
            <w:vAlign w:val="bottom"/>
          </w:tcPr>
          <w:p>
            <w:pPr>
              <w:jc w:val="right"/>
              <w:ind w:right="4510"/>
              <w:spacing w:after="0"/>
              <w:rPr>
                <w:sz w:val="20"/>
                <w:szCs w:val="20"/>
                <w:color w:val="auto"/>
              </w:rPr>
            </w:pPr>
            <w:r>
              <w:rPr>
                <w:rFonts w:ascii="Arial" w:cs="Arial" w:eastAsia="Arial" w:hAnsi="Arial"/>
                <w:sz w:val="18"/>
                <w:szCs w:val="18"/>
                <w:color w:val="auto"/>
              </w:rPr>
              <w:t>Reduction(1)</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36"/>
          <w:szCs w:val="36"/>
          <w:color w:val="auto"/>
          <w:vertAlign w:val="superscript"/>
        </w:rPr>
        <w:t>(1)</w:t>
      </w:r>
      <w:r>
        <w:rPr>
          <w:rFonts w:ascii="Arial" w:cs="Arial" w:eastAsia="Arial" w:hAnsi="Arial"/>
          <w:sz w:val="22"/>
          <w:szCs w:val="22"/>
          <w:color w:val="auto"/>
        </w:rPr>
        <w:t>During the third quarter of 2019 one security with previously recorded OTTI was settled and balance is now zero.</w:t>
      </w:r>
    </w:p>
    <w:p>
      <w:pPr>
        <w:spacing w:after="0" w:line="79" w:lineRule="exact"/>
        <w:rPr>
          <w:sz w:val="20"/>
          <w:szCs w:val="20"/>
          <w:color w:val="auto"/>
        </w:rPr>
      </w:pPr>
    </w:p>
    <w:p>
      <w:pPr>
        <w:spacing w:after="0"/>
        <w:rPr>
          <w:sz w:val="20"/>
          <w:szCs w:val="20"/>
          <w:color w:val="auto"/>
        </w:rPr>
      </w:pPr>
      <w:r>
        <w:rPr>
          <w:rFonts w:ascii="Arial" w:cs="Arial" w:eastAsia="Arial" w:hAnsi="Arial"/>
          <w:sz w:val="21"/>
          <w:szCs w:val="21"/>
          <w:color w:val="auto"/>
        </w:rPr>
        <w:t>The amortized cost and fair value of securities available for sale at September 30, 2019, by contractual maturity, follow: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95"/>
              <w:spacing w:after="0"/>
              <w:rPr>
                <w:sz w:val="20"/>
                <w:szCs w:val="20"/>
                <w:color w:val="auto"/>
              </w:rPr>
            </w:pPr>
            <w:r>
              <w:rPr>
                <w:rFonts w:ascii="Arial" w:cs="Arial" w:eastAsia="Arial" w:hAnsi="Arial"/>
                <w:sz w:val="18"/>
                <w:szCs w:val="18"/>
                <w:color w:val="auto"/>
                <w:w w:val="98"/>
              </w:rPr>
              <w:t>Amortized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Fair</w:t>
            </w:r>
          </w:p>
        </w:tc>
      </w:tr>
      <w:tr>
        <w:trPr>
          <w:trHeight w:val="237"/>
        </w:trPr>
        <w:tc>
          <w:tcPr>
            <w:tcW w:w="8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r>
      <w:tr>
        <w:trPr>
          <w:trHeight w:val="216"/>
        </w:trPr>
        <w:tc>
          <w:tcPr>
            <w:tcW w:w="8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Maturing within one year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13,331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13,347</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Maturing after one year but within five years</w:t>
            </w:r>
          </w:p>
        </w:tc>
        <w:tc>
          <w:tcPr>
            <w:tcW w:w="140" w:type="dxa"/>
            <w:vAlign w:val="bottom"/>
          </w:tcPr>
          <w:p>
            <w:pPr>
              <w:spacing w:after="0"/>
              <w:rPr>
                <w:sz w:val="18"/>
                <w:szCs w:val="18"/>
                <w:color w:val="auto"/>
              </w:rPr>
            </w:pPr>
          </w:p>
        </w:tc>
        <w:tc>
          <w:tcPr>
            <w:tcW w:w="1100" w:type="dxa"/>
            <w:vAlign w:val="bottom"/>
            <w:gridSpan w:val="2"/>
          </w:tcPr>
          <w:p>
            <w:pPr>
              <w:jc w:val="right"/>
              <w:ind w:right="15"/>
              <w:spacing w:after="0"/>
              <w:rPr>
                <w:sz w:val="20"/>
                <w:szCs w:val="20"/>
                <w:color w:val="auto"/>
              </w:rPr>
            </w:pPr>
            <w:r>
              <w:rPr>
                <w:rFonts w:ascii="Arial" w:cs="Arial" w:eastAsia="Arial" w:hAnsi="Arial"/>
                <w:sz w:val="18"/>
                <w:szCs w:val="18"/>
                <w:color w:val="auto"/>
              </w:rPr>
              <w:t>53,809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54,524</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Maturing after five years but within ten years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47,726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49,239</w:t>
            </w: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Maturing after ten years</w:t>
            </w:r>
          </w:p>
        </w:tc>
        <w:tc>
          <w:tcPr>
            <w:tcW w:w="140" w:type="dxa"/>
            <w:vAlign w:val="bottom"/>
          </w:tcPr>
          <w:p>
            <w:pPr>
              <w:spacing w:after="0"/>
              <w:rPr>
                <w:sz w:val="19"/>
                <w:szCs w:val="19"/>
                <w:color w:val="auto"/>
              </w:rPr>
            </w:pPr>
          </w:p>
        </w:tc>
        <w:tc>
          <w:tcPr>
            <w:tcW w:w="1100" w:type="dxa"/>
            <w:vAlign w:val="bottom"/>
            <w:gridSpan w:val="2"/>
          </w:tcPr>
          <w:p>
            <w:pPr>
              <w:jc w:val="right"/>
              <w:ind w:right="15"/>
              <w:spacing w:after="0"/>
              <w:rPr>
                <w:sz w:val="20"/>
                <w:szCs w:val="20"/>
                <w:color w:val="auto"/>
              </w:rPr>
            </w:pPr>
            <w:r>
              <w:rPr>
                <w:rFonts w:ascii="Arial" w:cs="Arial" w:eastAsia="Arial" w:hAnsi="Arial"/>
                <w:sz w:val="18"/>
                <w:szCs w:val="18"/>
                <w:color w:val="auto"/>
              </w:rPr>
              <w:t>36,061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36,832</w:t>
            </w:r>
          </w:p>
        </w:tc>
      </w:tr>
      <w:tr>
        <w:trPr>
          <w:trHeight w:val="216"/>
        </w:trPr>
        <w:tc>
          <w:tcPr>
            <w:tcW w:w="88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153,942</w:t>
            </w: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U.S. agency residential mortgage-backed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146,128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147,720</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U.S. agency commercial mortgage-backed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11,319</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Private label mortgage-backed</w:t>
            </w:r>
          </w:p>
        </w:tc>
        <w:tc>
          <w:tcPr>
            <w:tcW w:w="140" w:type="dxa"/>
            <w:vAlign w:val="bottom"/>
          </w:tcPr>
          <w:p>
            <w:pPr>
              <w:spacing w:after="0"/>
              <w:rPr>
                <w:sz w:val="18"/>
                <w:szCs w:val="18"/>
                <w:color w:val="auto"/>
              </w:rPr>
            </w:pPr>
          </w:p>
        </w:tc>
        <w:tc>
          <w:tcPr>
            <w:tcW w:w="1100" w:type="dxa"/>
            <w:vAlign w:val="bottom"/>
            <w:gridSpan w:val="2"/>
          </w:tcPr>
          <w:p>
            <w:pPr>
              <w:jc w:val="right"/>
              <w:ind w:right="15"/>
              <w:spacing w:after="0"/>
              <w:rPr>
                <w:sz w:val="20"/>
                <w:szCs w:val="20"/>
                <w:color w:val="auto"/>
              </w:rPr>
            </w:pPr>
            <w:r>
              <w:rPr>
                <w:rFonts w:ascii="Arial" w:cs="Arial" w:eastAsia="Arial" w:hAnsi="Arial"/>
                <w:sz w:val="18"/>
                <w:szCs w:val="18"/>
                <w:color w:val="auto"/>
              </w:rPr>
              <w:t>31,195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31,826</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 asset backed</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94,799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94,785</w:t>
            </w:r>
          </w:p>
        </w:tc>
      </w:tr>
      <w:tr>
        <w:trPr>
          <w:trHeight w:val="27"/>
        </w:trPr>
        <w:tc>
          <w:tcPr>
            <w:tcW w:w="88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434,231</w:t>
            </w:r>
          </w:p>
        </w:tc>
        <w:tc>
          <w:tcPr>
            <w:tcW w:w="1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439,592</w:t>
            </w:r>
          </w:p>
        </w:tc>
      </w:tr>
      <w:tr>
        <w:trPr>
          <w:trHeight w:val="21"/>
        </w:trPr>
        <w:tc>
          <w:tcPr>
            <w:tcW w:w="8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actual maturity may differ from the contractual maturity because issuers may have the right to call or prepay obligations with or without call or prepayment penalties.</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22"/>
          <w:szCs w:val="22"/>
          <w:color w:val="auto"/>
        </w:rPr>
        <w:t>Gains and losses realized on the sale of securities available for sale are determined using the specific identification method and are recognized on a trade-date basis. A summary of proceeds from the sale of securities available for sale and gains and losses for the nine month periods ending September 30,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Realized</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Proceeds</w:t>
            </w:r>
          </w:p>
        </w:tc>
        <w:tc>
          <w:tcPr>
            <w:tcW w:w="16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Gains (1)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w w:val="91"/>
              </w:rPr>
              <w:t>Losses</w:t>
            </w:r>
          </w:p>
        </w:tc>
        <w:tc>
          <w:tcPr>
            <w:tcW w:w="100" w:type="dxa"/>
            <w:vAlign w:val="bottom"/>
          </w:tcPr>
          <w:p>
            <w:pPr>
              <w:spacing w:after="0"/>
              <w:rPr>
                <w:sz w:val="19"/>
                <w:szCs w:val="19"/>
                <w:color w:val="auto"/>
              </w:rPr>
            </w:pPr>
          </w:p>
        </w:tc>
      </w:tr>
      <w:tr>
        <w:trPr>
          <w:trHeight w:val="216"/>
        </w:trPr>
        <w:tc>
          <w:tcPr>
            <w:tcW w:w="7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2"/>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jc w:val="right"/>
              <w:ind w:right="6990"/>
              <w:spacing w:after="0"/>
              <w:rPr>
                <w:sz w:val="20"/>
                <w:szCs w:val="20"/>
                <w:color w:val="auto"/>
              </w:rPr>
            </w:pPr>
            <w:r>
              <w:rPr>
                <w:rFonts w:ascii="Arial" w:cs="Arial" w:eastAsia="Arial" w:hAnsi="Arial"/>
                <w:sz w:val="18"/>
                <w:szCs w:val="18"/>
                <w:color w:val="auto"/>
                <w:w w:val="84"/>
              </w:rPr>
              <w:t>2019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r>
      <w:tr>
        <w:trPr>
          <w:trHeight w:val="230"/>
        </w:trPr>
        <w:tc>
          <w:tcPr>
            <w:tcW w:w="7440" w:type="dxa"/>
            <w:vAlign w:val="bottom"/>
          </w:tcPr>
          <w:p>
            <w:pPr>
              <w:jc w:val="right"/>
              <w:ind w:right="6990"/>
              <w:spacing w:after="0"/>
              <w:rPr>
                <w:sz w:val="20"/>
                <w:szCs w:val="20"/>
                <w:color w:val="auto"/>
              </w:rPr>
            </w:pPr>
            <w:r>
              <w:rPr>
                <w:rFonts w:ascii="Arial" w:cs="Arial" w:eastAsia="Arial" w:hAnsi="Arial"/>
                <w:sz w:val="18"/>
                <w:szCs w:val="18"/>
                <w:color w:val="auto"/>
                <w:w w:val="84"/>
              </w:rPr>
              <w:t>2018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31,445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4490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(1) 2018 excludes a $0.144 million gain on the sale of 1,000 VISA class B shares.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231F20"/>
        </w:rPr>
        <w:t xml:space="preserve">Certain preferred stocks which were all sold during the first quarter of 2019 had been classified as equity securities at fair value in our Condensed Consolidated Statement of Financial Condition. During the nine months ended September 30, 2019 and 2018 we recognized gains (losses) on these preferred stocks of $0.167 million </w:t>
      </w:r>
      <w:r>
        <w:rPr>
          <w:rFonts w:ascii="Arial" w:cs="Arial" w:eastAsia="Arial" w:hAnsi="Arial"/>
          <w:sz w:val="22"/>
          <w:szCs w:val="22"/>
          <w:color w:val="000000"/>
        </w:rPr>
        <w:t>and $(0.170) million, respectively, that are included in net</w:t>
      </w:r>
      <w:r>
        <w:rPr>
          <w:rFonts w:ascii="Arial" w:cs="Arial" w:eastAsia="Arial" w:hAnsi="Arial"/>
          <w:sz w:val="22"/>
          <w:szCs w:val="22"/>
          <w:color w:val="231F20"/>
        </w:rPr>
        <w:t xml:space="preserve"> </w:t>
      </w:r>
      <w:r>
        <w:rPr>
          <w:rFonts w:ascii="Arial" w:cs="Arial" w:eastAsia="Arial" w:hAnsi="Arial"/>
          <w:sz w:val="22"/>
          <w:szCs w:val="22"/>
          <w:color w:val="000000"/>
        </w:rPr>
        <w:t>gains (losses) on securities in the Condensed Consolidated Statements of Operations. Zero and $(0.170) million of these gains (losses) during the nine months ended September 30, 2019 and 2018, respectively relate to preferred stock still held at each respective period end.</w:t>
      </w:r>
    </w:p>
    <w:p>
      <w:pPr>
        <w:spacing w:after="0" w:line="223"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Loans</w:t>
      </w:r>
    </w:p>
    <w:p>
      <w:pPr>
        <w:spacing w:after="0" w:line="245"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Our assessment of the allowance for loan losses is based on an evaluation of the loan portfolio, recent and historical loss experience, current economic conditions and other pertinent factors.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An analysis of the allowance for loan losses by portfolio segment for the three months ended September 30,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Subjective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Commercial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Mortgage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Installment</w:t>
            </w:r>
          </w:p>
        </w:tc>
        <w:tc>
          <w:tcPr>
            <w:tcW w:w="1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Allocation</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3840" w:type="dxa"/>
            <w:vAlign w:val="bottom"/>
            <w:gridSpan w:val="2"/>
            <w:vMerge w:val="restart"/>
          </w:tcPr>
          <w:p>
            <w:pPr>
              <w:jc w:val="right"/>
              <w:ind w:right="3390"/>
              <w:spacing w:after="0"/>
              <w:rPr>
                <w:sz w:val="20"/>
                <w:szCs w:val="20"/>
                <w:color w:val="auto"/>
              </w:rPr>
            </w:pPr>
            <w:r>
              <w:rPr>
                <w:rFonts w:ascii="Arial" w:cs="Arial" w:eastAsia="Arial" w:hAnsi="Arial"/>
                <w:sz w:val="18"/>
                <w:szCs w:val="18"/>
                <w:color w:val="auto"/>
                <w:w w:val="84"/>
              </w:rPr>
              <w:t>2019</w:t>
            </w:r>
          </w:p>
        </w:tc>
        <w:tc>
          <w:tcPr>
            <w:tcW w:w="8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5"/>
              </w:rPr>
              <w:t>(In thousands)</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40" w:type="dxa"/>
            <w:vAlign w:val="bottom"/>
            <w:gridSpan w:val="2"/>
            <w:vMerge w:val="continue"/>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at beginning of period</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8,121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8,062</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20"/>
              <w:spacing w:after="0"/>
              <w:rPr>
                <w:sz w:val="20"/>
                <w:szCs w:val="20"/>
                <w:color w:val="auto"/>
              </w:rPr>
            </w:pPr>
            <w:r>
              <w:rPr>
                <w:rFonts w:ascii="Arial" w:cs="Arial" w:eastAsia="Arial" w:hAnsi="Arial"/>
                <w:sz w:val="18"/>
                <w:szCs w:val="18"/>
                <w:color w:val="auto"/>
              </w:rPr>
              <w:t>Additions (deductions)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loan losses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20"/>
              <w:spacing w:after="0"/>
              <w:rPr>
                <w:sz w:val="20"/>
                <w:szCs w:val="20"/>
                <w:color w:val="auto"/>
              </w:rPr>
            </w:pPr>
            <w:r>
              <w:rPr>
                <w:rFonts w:ascii="Arial" w:cs="Arial" w:eastAsia="Arial" w:hAnsi="Arial"/>
                <w:sz w:val="18"/>
                <w:szCs w:val="18"/>
                <w:color w:val="auto"/>
              </w:rPr>
              <w:t>Recoveries credited to the allowance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charged against the allowance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Balance at end of period</w:t>
            </w:r>
          </w:p>
        </w:tc>
        <w:tc>
          <w:tcPr>
            <w:tcW w:w="8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8,223</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7,983</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1,348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8,594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26,148</w:t>
            </w:r>
          </w:p>
        </w:tc>
        <w:tc>
          <w:tcPr>
            <w:tcW w:w="0" w:type="dxa"/>
            <w:vAlign w:val="bottom"/>
          </w:tcPr>
          <w:p>
            <w:pPr>
              <w:spacing w:after="0"/>
              <w:rPr>
                <w:sz w:val="1"/>
                <w:szCs w:val="1"/>
                <w:color w:val="auto"/>
              </w:rPr>
            </w:pPr>
          </w:p>
        </w:tc>
      </w:tr>
      <w:tr>
        <w:trPr>
          <w:trHeight w:val="21"/>
        </w:trPr>
        <w:tc>
          <w:tcPr>
            <w:tcW w:w="3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2018</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at beginning of period</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6,073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8,296</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20"/>
              <w:spacing w:after="0"/>
              <w:rPr>
                <w:sz w:val="20"/>
                <w:szCs w:val="20"/>
                <w:color w:val="auto"/>
              </w:rPr>
            </w:pPr>
            <w:r>
              <w:rPr>
                <w:rFonts w:ascii="Arial" w:cs="Arial" w:eastAsia="Arial" w:hAnsi="Arial"/>
                <w:sz w:val="18"/>
                <w:szCs w:val="18"/>
                <w:color w:val="auto"/>
              </w:rPr>
              <w:t>Additions (deductions)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loan losses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20"/>
              <w:spacing w:after="0"/>
              <w:rPr>
                <w:sz w:val="20"/>
                <w:szCs w:val="20"/>
                <w:color w:val="auto"/>
              </w:rPr>
            </w:pPr>
            <w:r>
              <w:rPr>
                <w:rFonts w:ascii="Arial" w:cs="Arial" w:eastAsia="Arial" w:hAnsi="Arial"/>
                <w:sz w:val="18"/>
                <w:szCs w:val="18"/>
                <w:color w:val="auto"/>
              </w:rPr>
              <w:t>Recoveries credited to the allowance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298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charged against the allowance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Balance at end of period</w:t>
            </w:r>
          </w:p>
        </w:tc>
        <w:tc>
          <w:tcPr>
            <w:tcW w:w="8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6,359</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8,455</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836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8,751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24,401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8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An analysis of the allowance for loan losses by portfolio segment for the nine months ended September 30,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Commercial</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Mortgage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Installment</w:t>
            </w:r>
          </w:p>
        </w:tc>
        <w:tc>
          <w:tcPr>
            <w:tcW w:w="1680" w:type="dxa"/>
            <w:vAlign w:val="bottom"/>
            <w:gridSpan w:val="3"/>
          </w:tcPr>
          <w:p>
            <w:pPr>
              <w:spacing w:after="0"/>
              <w:rPr>
                <w:sz w:val="20"/>
                <w:szCs w:val="20"/>
                <w:color w:val="auto"/>
              </w:rPr>
            </w:pPr>
            <w:r>
              <w:rPr>
                <w:rFonts w:ascii="Arial" w:cs="Arial" w:eastAsia="Arial" w:hAnsi="Arial"/>
                <w:sz w:val="18"/>
                <w:szCs w:val="18"/>
                <w:color w:val="auto"/>
                <w:w w:val="99"/>
              </w:rPr>
              <w:t>Subjective Allocation</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440" w:type="dxa"/>
            <w:vAlign w:val="bottom"/>
            <w:gridSpan w:val="2"/>
            <w:vMerge w:val="restart"/>
          </w:tcPr>
          <w:p>
            <w:pPr>
              <w:jc w:val="right"/>
              <w:ind w:right="3990"/>
              <w:spacing w:after="0"/>
              <w:rPr>
                <w:sz w:val="20"/>
                <w:szCs w:val="20"/>
                <w:color w:val="auto"/>
              </w:rPr>
            </w:pPr>
            <w:r>
              <w:rPr>
                <w:rFonts w:ascii="Arial" w:cs="Arial" w:eastAsia="Arial" w:hAnsi="Arial"/>
                <w:sz w:val="18"/>
                <w:szCs w:val="18"/>
                <w:color w:val="auto"/>
                <w:w w:val="84"/>
              </w:rPr>
              <w:t>2019</w:t>
            </w: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(In thousands)</w:t>
            </w:r>
          </w:p>
        </w:tc>
        <w:tc>
          <w:tcPr>
            <w:tcW w:w="2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4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7,090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7,978</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895</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8,925</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Additions (deductions)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loan losses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20"/>
              <w:spacing w:after="0"/>
              <w:rPr>
                <w:sz w:val="20"/>
                <w:szCs w:val="20"/>
                <w:color w:val="auto"/>
              </w:rPr>
            </w:pPr>
            <w:r>
              <w:rPr>
                <w:rFonts w:ascii="Arial" w:cs="Arial" w:eastAsia="Arial" w:hAnsi="Arial"/>
                <w:sz w:val="18"/>
                <w:szCs w:val="18"/>
                <w:color w:val="auto"/>
              </w:rPr>
              <w:t>Recoveries credited to the allowance</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1,720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786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603</w:t>
            </w:r>
          </w:p>
        </w:tc>
        <w:tc>
          <w:tcPr>
            <w:tcW w:w="6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charged against the allowance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(1,171)</w:t>
            </w: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Balance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8,223</w:t>
            </w:r>
          </w:p>
        </w:tc>
        <w:tc>
          <w:tcPr>
            <w:tcW w:w="8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7,983</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1,348</w:t>
            </w:r>
          </w:p>
        </w:tc>
        <w:tc>
          <w:tcPr>
            <w:tcW w:w="2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8,594</w:t>
            </w: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26,148</w:t>
            </w:r>
          </w:p>
        </w:tc>
        <w:tc>
          <w:tcPr>
            <w:tcW w:w="0" w:type="dxa"/>
            <w:vAlign w:val="bottom"/>
          </w:tcPr>
          <w:p>
            <w:pPr>
              <w:spacing w:after="0"/>
              <w:rPr>
                <w:sz w:val="1"/>
                <w:szCs w:val="1"/>
                <w:color w:val="auto"/>
              </w:rPr>
            </w:pPr>
          </w:p>
        </w:tc>
      </w:tr>
      <w:tr>
        <w:trPr>
          <w:trHeight w:val="21"/>
        </w:trPr>
        <w:tc>
          <w:tcPr>
            <w:tcW w:w="44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5,595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8,733</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864</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7,395</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Additions (deductions)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loan losses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w:t>
            </w: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20"/>
              <w:spacing w:after="0"/>
              <w:rPr>
                <w:sz w:val="20"/>
                <w:szCs w:val="20"/>
                <w:color w:val="auto"/>
              </w:rPr>
            </w:pPr>
            <w:r>
              <w:rPr>
                <w:rFonts w:ascii="Arial" w:cs="Arial" w:eastAsia="Arial" w:hAnsi="Arial"/>
                <w:sz w:val="18"/>
                <w:szCs w:val="18"/>
                <w:color w:val="auto"/>
              </w:rPr>
              <w:t>Recoveries credited to the allowance</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2,458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761</w:t>
            </w:r>
          </w:p>
        </w:tc>
        <w:tc>
          <w:tcPr>
            <w:tcW w:w="6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charged against the allowance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(971)</w:t>
            </w: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Balance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6,359</w:t>
            </w:r>
          </w:p>
        </w:tc>
        <w:tc>
          <w:tcPr>
            <w:tcW w:w="8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8,455</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836</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8,751</w:t>
            </w: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24,401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76"/>
              </w:rPr>
              <w:t>17</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Allowance for loan losses and recorded investment in loans by portfolio segment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Subjective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w w:val="93"/>
              </w:rPr>
              <w:t>Commercial</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Mortgage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color w:val="auto"/>
              </w:rPr>
              <w:t>Installment</w:t>
            </w:r>
          </w:p>
        </w:tc>
        <w:tc>
          <w:tcPr>
            <w:tcW w:w="1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Allocation</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September 30, 2019</w:t>
            </w:r>
          </w:p>
        </w:tc>
        <w:tc>
          <w:tcPr>
            <w:tcW w:w="4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5"/>
              </w:rPr>
              <w:t>(In thousands)</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22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Allowance for loan losses: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Individually evaluated for impairment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Collectively evaluated for impairment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7,352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1,051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8,594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acquired with deteriorated credit quality</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Total ending allowance for loan losses balance</w:t>
            </w:r>
          </w:p>
        </w:tc>
        <w:tc>
          <w:tcPr>
            <w:tcW w:w="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8,223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7,983</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1,348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8,594</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26,148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Loans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Individually evaluated for impairment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42,590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3,223</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Collectively evaluated for impairment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1,182,825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1,031,163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460,973</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2,674,961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acquired with deteriorated credit quality</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Total loans recorded investment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1,192,022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1,074,335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464,525</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2,730,882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interest included in recorded investment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Total loans</w:t>
            </w:r>
          </w:p>
        </w:tc>
        <w:tc>
          <w:tcPr>
            <w:tcW w:w="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1,189,017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1,070,035</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463,394</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2,722,446</w:t>
            </w:r>
          </w:p>
        </w:tc>
        <w:tc>
          <w:tcPr>
            <w:tcW w:w="0" w:type="dxa"/>
            <w:vAlign w:val="bottom"/>
          </w:tcPr>
          <w:p>
            <w:pPr>
              <w:spacing w:after="0"/>
              <w:rPr>
                <w:sz w:val="1"/>
                <w:szCs w:val="1"/>
                <w:color w:val="auto"/>
              </w:rPr>
            </w:pPr>
          </w:p>
        </w:tc>
      </w:tr>
      <w:tr>
        <w:trPr>
          <w:trHeight w:val="21"/>
        </w:trPr>
        <w:tc>
          <w:tcPr>
            <w:tcW w:w="4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December 31, 2018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loan losses: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Individually evaluated for impairment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1,305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4,799</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Collectively evaluated for impairment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Loans acquired with deteriorated credit quality</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ending allowance for loan losses balance</w:t>
            </w: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7,090</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Individually evaluated for impairment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8,697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46,394</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3,370</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Collectively evaluated for impairment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1,137,586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392,460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2,530,084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Loans acquired with deteriorated credit quality</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349</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loans recorded investment</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1,147,892</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1,046,987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Accrued interest included in recorded investment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3,411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1,030</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8,538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loans</w:t>
            </w: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1,144,481</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1,042,890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395,149</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2,582,520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2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Loans on non-accrual status and past due more than 90 days (“Non-performing Loans”) follow: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80" w:type="dxa"/>
            <w:vAlign w:val="bottom"/>
          </w:tcPr>
          <w:p>
            <w:pPr>
              <w:jc w:val="center"/>
              <w:ind w:left="95"/>
              <w:spacing w:after="0"/>
              <w:rPr>
                <w:sz w:val="20"/>
                <w:szCs w:val="20"/>
                <w:color w:val="auto"/>
              </w:rPr>
            </w:pPr>
            <w:r>
              <w:rPr>
                <w:rFonts w:ascii="Arial" w:cs="Arial" w:eastAsia="Arial" w:hAnsi="Arial"/>
                <w:sz w:val="18"/>
                <w:szCs w:val="18"/>
                <w:color w:val="auto"/>
                <w:w w:val="91"/>
              </w:rPr>
              <w:t>90+ and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Total Non-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80" w:type="dxa"/>
            <w:vAlign w:val="bottom"/>
          </w:tcPr>
          <w:p>
            <w:pPr>
              <w:jc w:val="center"/>
              <w:ind w:left="75"/>
              <w:spacing w:after="0"/>
              <w:rPr>
                <w:sz w:val="20"/>
                <w:szCs w:val="20"/>
                <w:color w:val="auto"/>
              </w:rPr>
            </w:pPr>
            <w:r>
              <w:rPr>
                <w:rFonts w:ascii="Arial" w:cs="Arial" w:eastAsia="Arial" w:hAnsi="Arial"/>
                <w:sz w:val="18"/>
                <w:szCs w:val="18"/>
                <w:color w:val="auto"/>
              </w:rPr>
              <w:t>Still</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Non-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Performing</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80" w:type="dxa"/>
            <w:vAlign w:val="bottom"/>
            <w:tcBorders>
              <w:bottom w:val="single" w:sz="8" w:color="auto"/>
            </w:tcBorders>
          </w:tcPr>
          <w:p>
            <w:pPr>
              <w:jc w:val="center"/>
              <w:ind w:left="95"/>
              <w:spacing w:after="0"/>
              <w:rPr>
                <w:sz w:val="20"/>
                <w:szCs w:val="20"/>
                <w:color w:val="auto"/>
              </w:rPr>
            </w:pPr>
            <w:r>
              <w:rPr>
                <w:rFonts w:ascii="Arial" w:cs="Arial" w:eastAsia="Arial" w:hAnsi="Arial"/>
                <w:sz w:val="18"/>
                <w:szCs w:val="18"/>
                <w:color w:val="auto"/>
                <w:w w:val="97"/>
              </w:rPr>
              <w:t>Accruing</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Accrual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Loans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September 30, 2019</w:t>
            </w:r>
          </w:p>
        </w:tc>
        <w:tc>
          <w:tcPr>
            <w:tcW w:w="2520" w:type="dxa"/>
            <w:vAlign w:val="bottom"/>
          </w:tcPr>
          <w:p>
            <w:pPr>
              <w:spacing w:after="0"/>
              <w:rPr>
                <w:sz w:val="20"/>
                <w:szCs w:val="20"/>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3"/>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920" w:type="dxa"/>
            <w:vAlign w:val="bottom"/>
            <w:gridSpan w:val="2"/>
            <w:vMerge w:val="continue"/>
          </w:tcPr>
          <w:p>
            <w:pPr>
              <w:spacing w:after="0"/>
              <w:rPr>
                <w:sz w:val="16"/>
                <w:szCs w:val="16"/>
                <w:color w:val="auto"/>
              </w:rPr>
            </w:pPr>
          </w:p>
        </w:tc>
        <w:tc>
          <w:tcPr>
            <w:tcW w:w="2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2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3500" w:type="dxa"/>
            <w:vAlign w:val="bottom"/>
            <w:gridSpan w:val="2"/>
            <w:shd w:val="clear" w:color="auto" w:fill="CCEEFF"/>
          </w:tcPr>
          <w:p>
            <w:pPr>
              <w:jc w:val="right"/>
              <w:ind w:right="81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Land, land development and construction - real estate</w:t>
            </w:r>
          </w:p>
        </w:tc>
        <w:tc>
          <w:tcPr>
            <w:tcW w:w="2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2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Mortgage</w:t>
            </w:r>
          </w:p>
        </w:tc>
        <w:tc>
          <w:tcPr>
            <w:tcW w:w="2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2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2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2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2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2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2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2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2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2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Other</w:t>
            </w:r>
          </w:p>
        </w:tc>
        <w:tc>
          <w:tcPr>
            <w:tcW w:w="2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recorded investment</w:t>
            </w:r>
          </w:p>
        </w:tc>
        <w:tc>
          <w:tcPr>
            <w:tcW w:w="25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ind w:right="815"/>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Accrued interest included in recorded investment</w:t>
            </w:r>
          </w:p>
        </w:tc>
        <w:tc>
          <w:tcPr>
            <w:tcW w:w="3500" w:type="dxa"/>
            <w:vAlign w:val="bottom"/>
            <w:gridSpan w:val="2"/>
          </w:tcPr>
          <w:p>
            <w:pPr>
              <w:jc w:val="right"/>
              <w:ind w:right="815"/>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2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2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3500" w:type="dxa"/>
            <w:vAlign w:val="bottom"/>
            <w:gridSpan w:val="2"/>
            <w:shd w:val="clear" w:color="auto" w:fill="CCEEFF"/>
          </w:tcPr>
          <w:p>
            <w:pPr>
              <w:jc w:val="right"/>
              <w:ind w:right="81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Land, land development and construction - real estate</w:t>
            </w:r>
          </w:p>
        </w:tc>
        <w:tc>
          <w:tcPr>
            <w:tcW w:w="2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2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Mortgage</w:t>
            </w:r>
          </w:p>
        </w:tc>
        <w:tc>
          <w:tcPr>
            <w:tcW w:w="2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2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2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2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2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2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2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2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2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2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Other</w:t>
            </w:r>
          </w:p>
        </w:tc>
        <w:tc>
          <w:tcPr>
            <w:tcW w:w="2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recorded investment</w:t>
            </w:r>
          </w:p>
        </w:tc>
        <w:tc>
          <w:tcPr>
            <w:tcW w:w="25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ind w:right="815"/>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Accrued interest included in recorded investment</w:t>
            </w:r>
          </w:p>
        </w:tc>
        <w:tc>
          <w:tcPr>
            <w:tcW w:w="3500" w:type="dxa"/>
            <w:vAlign w:val="bottom"/>
            <w:gridSpan w:val="2"/>
          </w:tcPr>
          <w:p>
            <w:pPr>
              <w:jc w:val="right"/>
              <w:ind w:right="815"/>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520" w:type="dxa"/>
            <w:vAlign w:val="bottom"/>
            <w:vMerge w:val="restart"/>
          </w:tcPr>
          <w:p>
            <w:pPr>
              <w:jc w:val="right"/>
              <w:ind w:right="1574"/>
              <w:spacing w:after="0"/>
              <w:rPr>
                <w:sz w:val="20"/>
                <w:szCs w:val="20"/>
                <w:color w:val="auto"/>
              </w:rPr>
            </w:pPr>
            <w:r>
              <w:rPr>
                <w:rFonts w:ascii="Arial" w:cs="Arial" w:eastAsia="Arial" w:hAnsi="Arial"/>
                <w:sz w:val="14"/>
                <w:szCs w:val="14"/>
                <w:color w:val="auto"/>
              </w:rPr>
              <w:t>19</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90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An aging analysis of loans by class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8"/>
                <w:szCs w:val="18"/>
                <w:color w:val="auto"/>
              </w:rPr>
              <w:t>Loans Past Due</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Loans not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color w:val="auto"/>
              </w:rPr>
              <w:t>30-59 days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60-89 days</w:t>
            </w:r>
          </w:p>
        </w:tc>
        <w:tc>
          <w:tcPr>
            <w:tcW w:w="18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90+ days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color w:val="auto"/>
                <w:w w:val="89"/>
              </w:rPr>
              <w:t>Total</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Past Due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Loans</w:t>
            </w:r>
          </w:p>
        </w:tc>
        <w:tc>
          <w:tcPr>
            <w:tcW w:w="0" w:type="dxa"/>
            <w:vAlign w:val="bottom"/>
          </w:tcPr>
          <w:p>
            <w:pPr>
              <w:spacing w:after="0"/>
              <w:rPr>
                <w:sz w:val="1"/>
                <w:szCs w:val="1"/>
                <w:color w:val="auto"/>
              </w:rPr>
            </w:pPr>
          </w:p>
        </w:tc>
      </w:tr>
      <w:tr>
        <w:trPr>
          <w:trHeight w:val="230"/>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September 30, 2019</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(In thousands)</w:t>
            </w:r>
          </w:p>
        </w:tc>
        <w:tc>
          <w:tcPr>
            <w:tcW w:w="7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424,472</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424,516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320"/>
              <w:spacing w:after="0" w:line="201" w:lineRule="exact"/>
              <w:rPr>
                <w:sz w:val="20"/>
                <w:szCs w:val="20"/>
                <w:color w:val="auto"/>
              </w:rPr>
            </w:pPr>
            <w:r>
              <w:rPr>
                <w:rFonts w:ascii="Arial" w:cs="Arial" w:eastAsia="Arial" w:hAnsi="Arial"/>
                <w:sz w:val="18"/>
                <w:szCs w:val="18"/>
                <w:color w:val="auto"/>
              </w:rPr>
              <w:t>Land, land development and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480"/>
              <w:spacing w:after="0"/>
              <w:rPr>
                <w:sz w:val="20"/>
                <w:szCs w:val="20"/>
                <w:color w:val="auto"/>
              </w:rPr>
            </w:pPr>
            <w:r>
              <w:rPr>
                <w:rFonts w:ascii="Arial" w:cs="Arial" w:eastAsia="Arial" w:hAnsi="Arial"/>
                <w:sz w:val="18"/>
                <w:szCs w:val="18"/>
                <w:color w:val="auto"/>
              </w:rPr>
              <w:t>construction - real estate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102,227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102,227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664,770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5,430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841,658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877</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69,949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37,069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344</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1,340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117,745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119,085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814</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205,526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206,340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152,904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422</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93,630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94,052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recorded investment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10,229</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2,720,653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2,730,882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Pr>
          <w:p>
            <w:pPr>
              <w:ind w:left="160"/>
              <w:spacing w:after="0" w:line="195" w:lineRule="exact"/>
              <w:rPr>
                <w:sz w:val="20"/>
                <w:szCs w:val="20"/>
                <w:color w:val="auto"/>
              </w:rPr>
            </w:pPr>
            <w:r>
              <w:rPr>
                <w:rFonts w:ascii="Arial" w:cs="Arial" w:eastAsia="Arial" w:hAnsi="Arial"/>
                <w:sz w:val="18"/>
                <w:szCs w:val="18"/>
                <w:color w:val="auto"/>
              </w:rPr>
              <w:t>Accrued interest included in recorded</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investment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8,354</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8,436</w:t>
            </w:r>
          </w:p>
        </w:tc>
        <w:tc>
          <w:tcPr>
            <w:tcW w:w="0" w:type="dxa"/>
            <w:vAlign w:val="bottom"/>
          </w:tcPr>
          <w:p>
            <w:pPr>
              <w:spacing w:after="0"/>
              <w:rPr>
                <w:sz w:val="1"/>
                <w:szCs w:val="1"/>
                <w:color w:val="auto"/>
              </w:rPr>
            </w:pPr>
          </w:p>
        </w:tc>
      </w:tr>
      <w:tr>
        <w:trPr>
          <w:trHeight w:val="21"/>
        </w:trPr>
        <w:tc>
          <w:tcPr>
            <w:tcW w:w="33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December 31, 2018</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388,729</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388,773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Land, land development and</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construction - real estate</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84,458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1,538</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673,123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674,661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6,684</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833,760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840,444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80,774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335</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38,909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361</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6,683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Boat lending</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169,117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Recreational vehicle lending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125,780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125,836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85,392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480"/>
              <w:spacing w:after="0"/>
              <w:rPr>
                <w:sz w:val="20"/>
                <w:szCs w:val="20"/>
                <w:color w:val="auto"/>
              </w:rPr>
            </w:pPr>
            <w:r>
              <w:rPr>
                <w:rFonts w:ascii="Arial" w:cs="Arial" w:eastAsia="Arial" w:hAnsi="Arial"/>
                <w:sz w:val="18"/>
                <w:szCs w:val="18"/>
                <w:color w:val="auto"/>
              </w:rPr>
              <w:t>Total recorded investment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4,960</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7,015</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12,795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2,578,263</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2,591,058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shd w:val="clear" w:color="auto" w:fill="CCEEFF"/>
          </w:tcPr>
          <w:p>
            <w:pPr>
              <w:ind w:left="160"/>
              <w:spacing w:after="0" w:line="195" w:lineRule="exact"/>
              <w:rPr>
                <w:sz w:val="20"/>
                <w:szCs w:val="20"/>
                <w:color w:val="auto"/>
              </w:rPr>
            </w:pPr>
            <w:r>
              <w:rPr>
                <w:rFonts w:ascii="Arial" w:cs="Arial" w:eastAsia="Arial" w:hAnsi="Arial"/>
                <w:sz w:val="18"/>
                <w:szCs w:val="18"/>
                <w:color w:val="auto"/>
              </w:rPr>
              <w:t>Accrued interest included in recorded</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8,483</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8,538</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3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20</w:t>
            </w: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Impaired loans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40" w:type="dxa"/>
            <w:vAlign w:val="bottom"/>
            <w:gridSpan w:val="3"/>
          </w:tcPr>
          <w:p>
            <w:pPr>
              <w:jc w:val="right"/>
              <w:ind w:right="75"/>
              <w:spacing w:after="0"/>
              <w:rPr>
                <w:sz w:val="20"/>
                <w:szCs w:val="20"/>
                <w:color w:val="auto"/>
              </w:rPr>
            </w:pPr>
            <w:r>
              <w:rPr>
                <w:rFonts w:ascii="Arial" w:cs="Arial" w:eastAsia="Arial" w:hAnsi="Arial"/>
                <w:sz w:val="18"/>
                <w:szCs w:val="18"/>
                <w:color w:val="auto"/>
                <w:w w:val="89"/>
              </w:rPr>
              <w:t>September 30,</w:t>
            </w:r>
          </w:p>
        </w:tc>
        <w:tc>
          <w:tcPr>
            <w:tcW w:w="120" w:type="dxa"/>
            <w:vAlign w:val="bottom"/>
          </w:tcPr>
          <w:p>
            <w:pPr>
              <w:spacing w:after="0"/>
              <w:rPr>
                <w:sz w:val="18"/>
                <w:szCs w:val="18"/>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w w:val="93"/>
              </w:rPr>
              <w:t>December 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Impaired loans with no allocated allowance for loan losses</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Troubled debt restructurings (“TDR”)</w:t>
            </w:r>
          </w:p>
        </w:tc>
        <w:tc>
          <w:tcPr>
            <w:tcW w:w="2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Non - TDR</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an allocated allowance for loan losses</w:t>
            </w: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TDR - allowance based on collateral</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2,787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TDR - allowance based on present value cash flow</w:t>
            </w: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49,094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53,258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Non - TDR - allowance based on collateral</w:t>
            </w: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2,145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impaired loans</w:t>
            </w:r>
          </w:p>
        </w:tc>
        <w:tc>
          <w:tcPr>
            <w:tcW w:w="27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53,336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58,190</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Amount of allowance for loan losses allocated</w:t>
            </w: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TDR - allowance based on collateral</w:t>
            </w:r>
          </w:p>
        </w:tc>
        <w:tc>
          <w:tcPr>
            <w:tcW w:w="2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769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TDR - allowance based on present value cash flow</w:t>
            </w: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4,849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Non - TDR - allowance based on collateral</w:t>
            </w: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692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amount of allowance for loan losses allocated</w:t>
            </w:r>
          </w:p>
        </w:tc>
        <w:tc>
          <w:tcPr>
            <w:tcW w:w="27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6,310</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720" w:type="dxa"/>
            <w:vAlign w:val="bottom"/>
          </w:tcPr>
          <w:p>
            <w:pPr>
              <w:jc w:val="right"/>
              <w:ind w:right="1796"/>
              <w:spacing w:after="0"/>
              <w:rPr>
                <w:sz w:val="20"/>
                <w:szCs w:val="20"/>
                <w:color w:val="auto"/>
              </w:rPr>
            </w:pPr>
            <w:r>
              <w:rPr>
                <w:rFonts w:ascii="Arial" w:cs="Arial" w:eastAsia="Arial" w:hAnsi="Arial"/>
                <w:sz w:val="14"/>
                <w:szCs w:val="14"/>
                <w:color w:val="auto"/>
              </w:rPr>
              <w:t>21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920" w:type="dxa"/>
            <w:vAlign w:val="bottom"/>
            <w:tcBorders>
              <w:bottom w:val="single" w:sz="8" w:color="auto"/>
            </w:tcBorders>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Impaired loans by class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color w:val="auto"/>
                <w:w w:val="88"/>
              </w:rPr>
              <w:t>September 30, 2019</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89"/>
              </w:rPr>
              <w:t>December 31, 2018</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86"/>
              </w:rPr>
              <w:t>Related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70"/>
              <w:spacing w:after="0" w:line="201" w:lineRule="exact"/>
              <w:rPr>
                <w:sz w:val="20"/>
                <w:szCs w:val="20"/>
                <w:color w:val="auto"/>
              </w:rPr>
            </w:pPr>
            <w:r>
              <w:rPr>
                <w:rFonts w:ascii="Arial" w:cs="Arial" w:eastAsia="Arial" w:hAnsi="Arial"/>
                <w:sz w:val="18"/>
                <w:szCs w:val="18"/>
                <w:color w:val="auto"/>
                <w:w w:val="90"/>
              </w:rPr>
              <w:t>Related</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Unpaid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Allowance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Unpaid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Allowance</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w w:val="99"/>
              </w:rPr>
              <w:t>Recorded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Principal</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For Loan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w w:val="97"/>
              </w:rPr>
              <w:t>Recorded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Principal</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For Loan</w:t>
            </w: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w w:val="95"/>
              </w:rPr>
              <w:t>Investment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Balance</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Losses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w w:val="93"/>
              </w:rPr>
              <w:t>Investment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Balance</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Losses</w:t>
            </w:r>
          </w:p>
        </w:tc>
      </w:tr>
      <w:tr>
        <w:trPr>
          <w:trHeight w:val="198"/>
        </w:trPr>
        <w:tc>
          <w:tcPr>
            <w:tcW w:w="334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4"/>
              </w:rPr>
              <w:t>With no related allowance for loan losses</w:t>
            </w: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3320" w:type="dxa"/>
            <w:vAlign w:val="bottom"/>
          </w:tcPr>
          <w:p>
            <w:pPr>
              <w:ind w:left="120"/>
              <w:spacing w:after="0"/>
              <w:rPr>
                <w:sz w:val="20"/>
                <w:szCs w:val="20"/>
                <w:color w:val="auto"/>
              </w:rPr>
            </w:pPr>
            <w:r>
              <w:rPr>
                <w:rFonts w:ascii="Arial" w:cs="Arial" w:eastAsia="Arial" w:hAnsi="Arial"/>
                <w:sz w:val="18"/>
                <w:szCs w:val="18"/>
                <w:b w:val="1"/>
                <w:bCs w:val="1"/>
                <w:color w:val="auto"/>
              </w:rPr>
              <w:t>recorded:</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3320" w:type="dxa"/>
            <w:vAlign w:val="bottom"/>
          </w:tcPr>
          <w:p>
            <w:pPr>
              <w:ind w:left="320"/>
              <w:spacing w:after="0" w:line="201" w:lineRule="exact"/>
              <w:rPr>
                <w:sz w:val="20"/>
                <w:szCs w:val="20"/>
                <w:color w:val="auto"/>
              </w:rPr>
            </w:pPr>
            <w:r>
              <w:rPr>
                <w:rFonts w:ascii="Arial" w:cs="Arial" w:eastAsia="Arial" w:hAnsi="Arial"/>
                <w:sz w:val="18"/>
                <w:szCs w:val="18"/>
                <w:color w:val="auto"/>
              </w:rPr>
              <w:t>Land, land development &amp;</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construction-real estate</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734</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line="198" w:lineRule="exact"/>
              <w:rPr>
                <w:sz w:val="20"/>
                <w:szCs w:val="20"/>
                <w:color w:val="auto"/>
              </w:rPr>
            </w:pPr>
            <w:r>
              <w:rPr>
                <w:rFonts w:ascii="Arial" w:cs="Arial" w:eastAsia="Arial" w:hAnsi="Arial"/>
                <w:sz w:val="18"/>
                <w:szCs w:val="18"/>
                <w:b w:val="1"/>
                <w:bCs w:val="1"/>
                <w:color w:val="auto"/>
              </w:rPr>
              <w:t>With an allowance for loan losses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3320" w:type="dxa"/>
            <w:vAlign w:val="bottom"/>
          </w:tcPr>
          <w:p>
            <w:pPr>
              <w:ind w:left="120"/>
              <w:spacing w:after="0"/>
              <w:rPr>
                <w:sz w:val="20"/>
                <w:szCs w:val="20"/>
                <w:color w:val="auto"/>
              </w:rPr>
            </w:pPr>
            <w:r>
              <w:rPr>
                <w:rFonts w:ascii="Arial" w:cs="Arial" w:eastAsia="Arial" w:hAnsi="Arial"/>
                <w:sz w:val="18"/>
                <w:szCs w:val="18"/>
                <w:b w:val="1"/>
                <w:bCs w:val="1"/>
                <w:color w:val="auto"/>
              </w:rPr>
              <w:t>recorded:</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5,859</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5,837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4,770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4,758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Land, land development &amp;</w:t>
            </w:r>
          </w:p>
        </w:tc>
        <w:tc>
          <w:tcPr>
            <w:tcW w:w="12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construction-real estate</w:t>
            </w:r>
          </w:p>
        </w:tc>
        <w:tc>
          <w:tcPr>
            <w:tcW w:w="120" w:type="dxa"/>
            <w:vAlign w:val="bottom"/>
            <w:shd w:val="clear" w:color="auto" w:fill="CCEEFF"/>
          </w:tcPr>
          <w:p>
            <w:pPr>
              <w:spacing w:after="0"/>
              <w:rPr>
                <w:sz w:val="20"/>
                <w:szCs w:val="20"/>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1,244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3,637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3,735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967</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29,521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31,657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32,842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34,427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2,859</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11,949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13,354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1,927</w:t>
            </w: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1,417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1,491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Boat lending</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Recreational vehicle lending</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52,445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55,192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5,778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58,457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60,282</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6,310</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r>
      <w:tr>
        <w:trPr>
          <w:trHeight w:val="202"/>
        </w:trPr>
        <w:tc>
          <w:tcPr>
            <w:tcW w:w="20" w:type="dxa"/>
            <w:vAlign w:val="bottom"/>
          </w:tcPr>
          <w:p>
            <w:pPr>
              <w:spacing w:after="0"/>
              <w:rPr>
                <w:sz w:val="17"/>
                <w:szCs w:val="17"/>
                <w:color w:val="auto"/>
              </w:rPr>
            </w:pPr>
          </w:p>
        </w:tc>
        <w:tc>
          <w:tcPr>
            <w:tcW w:w="3320" w:type="dxa"/>
            <w:vAlign w:val="bottom"/>
          </w:tcPr>
          <w:p>
            <w:pPr>
              <w:ind w:left="320"/>
              <w:spacing w:after="0" w:line="201" w:lineRule="exact"/>
              <w:rPr>
                <w:sz w:val="20"/>
                <w:szCs w:val="20"/>
                <w:color w:val="auto"/>
              </w:rPr>
            </w:pPr>
            <w:r>
              <w:rPr>
                <w:rFonts w:ascii="Arial" w:cs="Arial" w:eastAsia="Arial" w:hAnsi="Arial"/>
                <w:sz w:val="18"/>
                <w:szCs w:val="18"/>
                <w:color w:val="auto"/>
              </w:rPr>
              <w:t>Land, land development &amp;</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construction-real estate</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847</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w:t>
            </w: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32,431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32,845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34,901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2,859</w:t>
            </w: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11,949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13,328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13,354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1,927</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657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1,395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1,646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23"/>
        </w:trPr>
        <w:tc>
          <w:tcPr>
            <w:tcW w:w="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501</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421</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53,589</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56,744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58,461</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60,898</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5"/>
        </w:trPr>
        <w:tc>
          <w:tcPr>
            <w:tcW w:w="20" w:type="dxa"/>
            <w:vAlign w:val="bottom"/>
          </w:tcPr>
          <w:p>
            <w:pPr>
              <w:spacing w:after="0"/>
              <w:rPr>
                <w:sz w:val="16"/>
                <w:szCs w:val="16"/>
                <w:color w:val="auto"/>
              </w:rPr>
            </w:pPr>
          </w:p>
        </w:tc>
        <w:tc>
          <w:tcPr>
            <w:tcW w:w="3320" w:type="dxa"/>
            <w:vAlign w:val="bottom"/>
          </w:tcPr>
          <w:p>
            <w:pPr>
              <w:spacing w:after="0" w:line="195" w:lineRule="exact"/>
              <w:rPr>
                <w:sz w:val="20"/>
                <w:szCs w:val="20"/>
                <w:color w:val="auto"/>
              </w:rPr>
            </w:pPr>
            <w:r>
              <w:rPr>
                <w:rFonts w:ascii="Arial" w:cs="Arial" w:eastAsia="Arial" w:hAnsi="Arial"/>
                <w:sz w:val="18"/>
                <w:szCs w:val="18"/>
                <w:color w:val="auto"/>
              </w:rPr>
              <w:t>Accrued interest included in recorded</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investment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33"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33" w:gutter="0" w:footer="0" w:header="0"/>
          <w:type w:val="continuous"/>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ind w:right="-899"/>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ind w:right="-899"/>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Average recorded investment in and interest income earned on impaired loans by class for the three month periods ending</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September 30,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10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2018</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line="201" w:lineRule="exact"/>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7"/>
                <w:szCs w:val="17"/>
                <w:color w:val="auto"/>
              </w:rPr>
            </w:pPr>
          </w:p>
        </w:tc>
        <w:tc>
          <w:tcPr>
            <w:tcW w:w="104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Interest</w:t>
            </w: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Recorded</w:t>
            </w:r>
          </w:p>
        </w:tc>
        <w:tc>
          <w:tcPr>
            <w:tcW w:w="120" w:type="dxa"/>
            <w:vAlign w:val="bottom"/>
          </w:tcPr>
          <w:p>
            <w:pPr>
              <w:spacing w:after="0"/>
              <w:rPr>
                <w:sz w:val="18"/>
                <w:szCs w:val="18"/>
                <w:color w:val="auto"/>
              </w:rPr>
            </w:pPr>
          </w:p>
        </w:tc>
        <w:tc>
          <w:tcPr>
            <w:tcW w:w="1260" w:type="dxa"/>
            <w:vAlign w:val="bottom"/>
            <w:gridSpan w:val="2"/>
          </w:tcPr>
          <w:p>
            <w:pPr>
              <w:jc w:val="center"/>
              <w:ind w:right="235"/>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Recorded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Income</w:t>
            </w:r>
          </w:p>
        </w:tc>
      </w:tr>
      <w:tr>
        <w:trPr>
          <w:trHeight w:val="237"/>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Investment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Recognized</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Investment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Recognized</w:t>
            </w:r>
          </w:p>
        </w:tc>
        <w:tc>
          <w:tcPr>
            <w:tcW w:w="120" w:type="dxa"/>
            <w:vAlign w:val="bottom"/>
          </w:tcPr>
          <w:p>
            <w:pPr>
              <w:spacing w:after="0"/>
              <w:rPr>
                <w:sz w:val="20"/>
                <w:szCs w:val="20"/>
                <w:color w:val="auto"/>
              </w:rPr>
            </w:pPr>
          </w:p>
        </w:tc>
      </w:tr>
      <w:tr>
        <w:trPr>
          <w:trHeight w:val="202"/>
        </w:trPr>
        <w:tc>
          <w:tcPr>
            <w:tcW w:w="44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With no related allowance for loan losses recorded: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(In</w:t>
            </w:r>
          </w:p>
        </w:tc>
        <w:tc>
          <w:tcPr>
            <w:tcW w:w="1360" w:type="dxa"/>
            <w:vAlign w:val="bottom"/>
            <w:gridSpan w:val="3"/>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Mortgage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4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With an allowance for loan losses recorded: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Income producing - real estate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1-4 family</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34,731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458</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Resort lending</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Boat lending</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Recreational vehicle lending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r>
      <w:tr>
        <w:trPr>
          <w:trHeight w:val="27"/>
        </w:trPr>
        <w:tc>
          <w:tcPr>
            <w:tcW w:w="20" w:type="dxa"/>
            <w:vAlign w:val="bottom"/>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53,636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60,330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770</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Mortgage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14,276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161</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r>
      <w:tr>
        <w:trPr>
          <w:trHeight w:val="257"/>
        </w:trPr>
        <w:tc>
          <w:tcPr>
            <w:tcW w:w="20" w:type="dxa"/>
            <w:vAlign w:val="bottom"/>
          </w:tcPr>
          <w:p>
            <w:pPr>
              <w:spacing w:after="0"/>
              <w:rPr>
                <w:sz w:val="22"/>
                <w:szCs w:val="22"/>
                <w:color w:val="auto"/>
              </w:rPr>
            </w:pPr>
          </w:p>
        </w:tc>
        <w:tc>
          <w:tcPr>
            <w:tcW w:w="4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54,515</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63,279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0540"/>
          </w:cols>
          <w:pgMar w:left="240" w:top="121" w:right="1119" w:bottom="1440" w:gutter="0" w:footer="0" w:header="0"/>
        </w:sectPr>
      </w:pPr>
    </w:p>
    <w:p>
      <w:pPr>
        <w:spacing w:after="0" w:line="213"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540"/>
          </w:cols>
          <w:pgMar w:left="240" w:top="121" w:right="1119" w:bottom="1440" w:gutter="0" w:footer="0" w:header="0"/>
          <w:type w:val="continuous"/>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ind w:right="-959"/>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ind w:right="-959"/>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Average recorded investment in and interest income earned on impaired loans by class for the nine month periods ending</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September 30,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10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2018</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line="201" w:lineRule="exact"/>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7"/>
                <w:szCs w:val="17"/>
                <w:color w:val="auto"/>
              </w:rPr>
            </w:pPr>
          </w:p>
        </w:tc>
        <w:tc>
          <w:tcPr>
            <w:tcW w:w="104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Interest</w:t>
            </w: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Recorded</w:t>
            </w:r>
          </w:p>
        </w:tc>
        <w:tc>
          <w:tcPr>
            <w:tcW w:w="120" w:type="dxa"/>
            <w:vAlign w:val="bottom"/>
          </w:tcPr>
          <w:p>
            <w:pPr>
              <w:spacing w:after="0"/>
              <w:rPr>
                <w:sz w:val="18"/>
                <w:szCs w:val="18"/>
                <w:color w:val="auto"/>
              </w:rPr>
            </w:pPr>
          </w:p>
        </w:tc>
        <w:tc>
          <w:tcPr>
            <w:tcW w:w="1260" w:type="dxa"/>
            <w:vAlign w:val="bottom"/>
            <w:gridSpan w:val="2"/>
          </w:tcPr>
          <w:p>
            <w:pPr>
              <w:jc w:val="center"/>
              <w:ind w:right="235"/>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Recorded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Income</w:t>
            </w:r>
          </w:p>
        </w:tc>
      </w:tr>
      <w:tr>
        <w:trPr>
          <w:trHeight w:val="237"/>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Investment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Recognized</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Investment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Recognized</w:t>
            </w:r>
          </w:p>
        </w:tc>
        <w:tc>
          <w:tcPr>
            <w:tcW w:w="120" w:type="dxa"/>
            <w:vAlign w:val="bottom"/>
          </w:tcPr>
          <w:p>
            <w:pPr>
              <w:spacing w:after="0"/>
              <w:rPr>
                <w:sz w:val="20"/>
                <w:szCs w:val="20"/>
                <w:color w:val="auto"/>
              </w:rPr>
            </w:pPr>
          </w:p>
        </w:tc>
      </w:tr>
      <w:tr>
        <w:trPr>
          <w:trHeight w:val="202"/>
        </w:trPr>
        <w:tc>
          <w:tcPr>
            <w:tcW w:w="44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With no related allowance for loan losses recorded: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(In</w:t>
            </w:r>
          </w:p>
        </w:tc>
        <w:tc>
          <w:tcPr>
            <w:tcW w:w="1360" w:type="dxa"/>
            <w:vAlign w:val="bottom"/>
            <w:gridSpan w:val="3"/>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Mortgage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44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With an allowance for loan losses recorded: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Income producing - real estate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5,306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202</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1-4 family</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31,273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1,280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35,549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1,347</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Resort lending</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475</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Boat lending</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Recreational vehicle lending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r>
      <w:tr>
        <w:trPr>
          <w:trHeight w:val="27"/>
        </w:trPr>
        <w:tc>
          <w:tcPr>
            <w:tcW w:w="20" w:type="dxa"/>
            <w:vAlign w:val="bottom"/>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55,786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62,299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2,308</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Mortgage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1,289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1,365</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15,027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475</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r>
      <w:tr>
        <w:trPr>
          <w:trHeight w:val="223"/>
        </w:trPr>
        <w:tc>
          <w:tcPr>
            <w:tcW w:w="20" w:type="dxa"/>
            <w:vAlign w:val="bottom"/>
          </w:tcPr>
          <w:p>
            <w:pPr>
              <w:spacing w:after="0"/>
              <w:rPr>
                <w:sz w:val="19"/>
                <w:szCs w:val="19"/>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r>
      <w:tr>
        <w:trPr>
          <w:trHeight w:val="257"/>
        </w:trPr>
        <w:tc>
          <w:tcPr>
            <w:tcW w:w="20" w:type="dxa"/>
            <w:vAlign w:val="bottom"/>
          </w:tcPr>
          <w:p>
            <w:pPr>
              <w:spacing w:after="0"/>
              <w:rPr>
                <w:sz w:val="22"/>
                <w:szCs w:val="22"/>
                <w:color w:val="auto"/>
              </w:rPr>
            </w:pPr>
          </w:p>
        </w:tc>
        <w:tc>
          <w:tcPr>
            <w:tcW w:w="4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56,315</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64,043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0480"/>
          </w:cols>
          <w:pgMar w:left="240" w:top="121" w:right="1179" w:bottom="1440" w:gutter="0" w:footer="0" w:header="0"/>
        </w:sectPr>
      </w:pPr>
    </w:p>
    <w:p>
      <w:pPr>
        <w:spacing w:after="0" w:line="213"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480"/>
          </w:cols>
          <w:pgMar w:left="240" w:top="121" w:right="1179" w:bottom="1440" w:gutter="0" w:footer="0" w:header="0"/>
          <w:type w:val="continuous"/>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Cash receipts on impaired loans on non-accrual status are generally applied to the principal balance.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TDRs follow: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September 30, 2019</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19"/>
                <w:szCs w:val="19"/>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Retail (1)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r>
      <w:tr>
        <w:trPr>
          <w:trHeight w:val="216"/>
        </w:trPr>
        <w:tc>
          <w:tcPr>
            <w:tcW w:w="4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(In thousands)</w:t>
            </w: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40,873</w:t>
            </w:r>
          </w:p>
        </w:tc>
        <w:tc>
          <w:tcPr>
            <w:tcW w:w="6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47,820</w:t>
            </w: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Non-performing TDRs(2)</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2,357</w:t>
            </w:r>
          </w:p>
        </w:tc>
        <w:tc>
          <w:tcPr>
            <w:tcW w:w="340" w:type="dxa"/>
            <w:vAlign w:val="bottom"/>
          </w:tcPr>
          <w:p>
            <w:pPr>
              <w:jc w:val="right"/>
              <w:ind w:right="56"/>
              <w:spacing w:after="0"/>
              <w:rPr>
                <w:sz w:val="20"/>
                <w:szCs w:val="20"/>
                <w:color w:val="auto"/>
              </w:rPr>
            </w:pPr>
            <w:r>
              <w:rPr>
                <w:rFonts w:ascii="Arial" w:cs="Arial" w:eastAsia="Arial" w:hAnsi="Arial"/>
                <w:sz w:val="15"/>
                <w:szCs w:val="15"/>
                <w:color w:val="auto"/>
                <w:w w:val="97"/>
              </w:rPr>
              <w:t>(3)</w:t>
            </w:r>
          </w:p>
        </w:tc>
        <w:tc>
          <w:tcPr>
            <w:tcW w:w="2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2,403</w:t>
            </w:r>
          </w:p>
        </w:tc>
      </w:tr>
      <w:tr>
        <w:trPr>
          <w:trHeight w:val="257"/>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6,993</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43,230</w:t>
            </w: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50,223</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10"/>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4"/>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4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gridSpan w:val="4"/>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10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r>
      <w:tr>
        <w:trPr>
          <w:trHeight w:val="223"/>
        </w:trPr>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19"/>
                <w:szCs w:val="19"/>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Retail (1)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color w:val="auto"/>
              </w:rPr>
              <w:t>Total</w:t>
            </w:r>
          </w:p>
        </w:tc>
      </w:tr>
      <w:tr>
        <w:trPr>
          <w:trHeight w:val="216"/>
        </w:trPr>
        <w:tc>
          <w:tcPr>
            <w:tcW w:w="47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(In thousands)</w:t>
            </w:r>
          </w:p>
        </w:tc>
        <w:tc>
          <w:tcPr>
            <w:tcW w:w="3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Performing TDRs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6,460</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46,627</w:t>
            </w:r>
          </w:p>
        </w:tc>
        <w:tc>
          <w:tcPr>
            <w:tcW w:w="6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53,087</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Non-performing TDRs(2)</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340" w:type="dxa"/>
            <w:vAlign w:val="bottom"/>
            <w:shd w:val="clear" w:color="auto" w:fill="CCEEFF"/>
          </w:tcPr>
          <w:p>
            <w:pPr>
              <w:jc w:val="right"/>
              <w:ind w:right="56"/>
              <w:spacing w:after="0"/>
              <w:rPr>
                <w:sz w:val="20"/>
                <w:szCs w:val="20"/>
                <w:color w:val="auto"/>
              </w:rPr>
            </w:pPr>
            <w:r>
              <w:rPr>
                <w:rFonts w:ascii="Arial" w:cs="Arial" w:eastAsia="Arial" w:hAnsi="Arial"/>
                <w:sz w:val="15"/>
                <w:szCs w:val="15"/>
                <w:color w:val="auto"/>
                <w:w w:val="97"/>
              </w:rPr>
              <w:t>(3)</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2,958</w:t>
            </w:r>
          </w:p>
        </w:tc>
      </w:tr>
      <w:tr>
        <w:trPr>
          <w:trHeight w:val="27"/>
        </w:trPr>
        <w:tc>
          <w:tcPr>
            <w:tcW w:w="47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6,534</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49,511</w:t>
            </w:r>
          </w:p>
        </w:tc>
        <w:tc>
          <w:tcPr>
            <w:tcW w:w="6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56,045</w:t>
            </w:r>
          </w:p>
        </w:tc>
      </w:tr>
      <w:tr>
        <w:trPr>
          <w:trHeight w:val="21"/>
        </w:trPr>
        <w:tc>
          <w:tcPr>
            <w:tcW w:w="4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Retail loans include mortgage and installment loan segments.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Included in non-performing loans table above.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Also includes loans on non-accrual at the time of modification until six payments are received on a timely basis.</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We allocated $5.1 million and $5.6 million of specific reserves to customers whose loan terms have been modified in troubled debt restructurings as of September 30, 2019 and December 31, 2018, respectively.</w:t>
      </w:r>
    </w:p>
    <w:p>
      <w:pPr>
        <w:spacing w:after="0" w:line="200"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During the nine months ended September 30, 2019 and 2018, the terms of certain loans were modified as troubled debt restructurings. The modification of the terms of such loans generally included one or a combination of the following: a reduction of the stated interest rate of the loan; an extension of the maturity date at a stated rate of interest lower than the current market rate for new debt with similar risk; or a permanent reduction of the recorded investment in the loan.</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Modifications involving a reduction of the stated interest rate of the loan have generally been for periods ranging from 9 months to 36 months but have extended to as much as 480 months in certain circumstances. Modifications involving an extension of the maturity date have generally been for periods ranging from 1 month to 60 months but have extended to as much as 230 months in certain circumstances.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Loans that have been classified as troubled debt restructurings during the three-month periods ended September 30 follow: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rPr>
              <w:t>Pre-modification</w:t>
            </w:r>
          </w:p>
        </w:tc>
        <w:tc>
          <w:tcPr>
            <w:tcW w:w="1400" w:type="dxa"/>
            <w:vAlign w:val="bottom"/>
            <w:gridSpan w:val="3"/>
          </w:tcPr>
          <w:p>
            <w:pPr>
              <w:spacing w:after="0"/>
              <w:rPr>
                <w:sz w:val="20"/>
                <w:szCs w:val="20"/>
                <w:color w:val="auto"/>
              </w:rPr>
            </w:pPr>
            <w:r>
              <w:rPr>
                <w:rFonts w:ascii="Arial" w:cs="Arial" w:eastAsia="Arial" w:hAnsi="Arial"/>
                <w:sz w:val="18"/>
                <w:szCs w:val="18"/>
                <w:color w:val="auto"/>
                <w:w w:val="99"/>
              </w:rPr>
              <w:t>Post-modification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000" w:type="dxa"/>
            <w:vAlign w:val="bottom"/>
          </w:tcPr>
          <w:p>
            <w:pPr>
              <w:jc w:val="center"/>
              <w:ind w:left="5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color w:val="auto"/>
              </w:rPr>
              <w:t>Recorded</w:t>
            </w:r>
          </w:p>
        </w:tc>
        <w:tc>
          <w:tcPr>
            <w:tcW w:w="20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Recorded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0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0"/>
              </w:rPr>
              <w:t>Contracts</w:t>
            </w:r>
          </w:p>
        </w:tc>
        <w:tc>
          <w:tcPr>
            <w:tcW w:w="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Balance</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40" w:type="dxa"/>
            <w:vAlign w:val="bottom"/>
            <w:gridSpan w:val="2"/>
            <w:vMerge w:val="restart"/>
          </w:tcPr>
          <w:p>
            <w:pPr>
              <w:jc w:val="right"/>
              <w:ind w:right="6790"/>
              <w:spacing w:after="0"/>
              <w:rPr>
                <w:sz w:val="20"/>
                <w:szCs w:val="20"/>
                <w:color w:val="auto"/>
              </w:rPr>
            </w:pPr>
            <w:r>
              <w:rPr>
                <w:rFonts w:ascii="Arial" w:cs="Arial" w:eastAsia="Arial" w:hAnsi="Arial"/>
                <w:sz w:val="18"/>
                <w:szCs w:val="18"/>
                <w:color w:val="auto"/>
                <w:w w:val="84"/>
              </w:rPr>
              <w:t>2019</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4"/>
          </w:tcPr>
          <w:p>
            <w:pPr>
              <w:spacing w:after="0"/>
              <w:rPr>
                <w:sz w:val="20"/>
                <w:szCs w:val="20"/>
                <w:color w:val="auto"/>
              </w:rPr>
            </w:pPr>
            <w:r>
              <w:rPr>
                <w:rFonts w:ascii="Arial" w:cs="Arial" w:eastAsia="Arial" w:hAnsi="Arial"/>
                <w:sz w:val="18"/>
                <w:szCs w:val="18"/>
                <w:color w:val="auto"/>
                <w:w w:val="91"/>
              </w:rPr>
              <w:t>(Dollars in thousands)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240" w:type="dxa"/>
            <w:vAlign w:val="bottom"/>
            <w:gridSpan w:val="2"/>
            <w:vMerge w:val="continue"/>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Mortgage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320"/>
              <w:spacing w:after="0"/>
              <w:rPr>
                <w:sz w:val="20"/>
                <w:szCs w:val="20"/>
                <w:color w:val="auto"/>
              </w:rPr>
            </w:pPr>
            <w:r>
              <w:rPr>
                <w:rFonts w:ascii="Arial" w:cs="Arial" w:eastAsia="Arial" w:hAnsi="Arial"/>
                <w:sz w:val="18"/>
                <w:szCs w:val="18"/>
                <w:color w:val="auto"/>
              </w:rPr>
              <w:t>Resort lending</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320"/>
              <w:spacing w:after="0"/>
              <w:rPr>
                <w:sz w:val="20"/>
                <w:szCs w:val="20"/>
                <w:color w:val="auto"/>
              </w:rPr>
            </w:pPr>
            <w:r>
              <w:rPr>
                <w:rFonts w:ascii="Arial" w:cs="Arial" w:eastAsia="Arial" w:hAnsi="Arial"/>
                <w:sz w:val="18"/>
                <w:szCs w:val="18"/>
                <w:color w:val="auto"/>
              </w:rPr>
              <w:t>Home equity - 2nd lien</w:t>
            </w:r>
          </w:p>
        </w:tc>
        <w:tc>
          <w:tcPr>
            <w:tcW w:w="1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320"/>
              <w:spacing w:after="0"/>
              <w:rPr>
                <w:sz w:val="20"/>
                <w:szCs w:val="20"/>
                <w:color w:val="auto"/>
              </w:rPr>
            </w:pPr>
            <w:r>
              <w:rPr>
                <w:rFonts w:ascii="Arial" w:cs="Arial" w:eastAsia="Arial" w:hAnsi="Arial"/>
                <w:sz w:val="18"/>
                <w:szCs w:val="18"/>
                <w:color w:val="auto"/>
              </w:rPr>
              <w:t>Home equity - 1st lien</w:t>
            </w:r>
          </w:p>
        </w:tc>
        <w:tc>
          <w:tcPr>
            <w:tcW w:w="1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320"/>
              <w:spacing w:after="0"/>
              <w:rPr>
                <w:sz w:val="20"/>
                <w:szCs w:val="20"/>
                <w:color w:val="auto"/>
              </w:rPr>
            </w:pPr>
            <w:r>
              <w:rPr>
                <w:rFonts w:ascii="Arial" w:cs="Arial" w:eastAsia="Arial" w:hAnsi="Arial"/>
                <w:sz w:val="18"/>
                <w:szCs w:val="18"/>
                <w:color w:val="auto"/>
              </w:rPr>
              <w:t>Boat lending</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ind w:left="320"/>
              <w:spacing w:after="0"/>
              <w:rPr>
                <w:sz w:val="20"/>
                <w:szCs w:val="20"/>
                <w:color w:val="auto"/>
              </w:rPr>
            </w:pPr>
            <w:r>
              <w:rPr>
                <w:rFonts w:ascii="Arial" w:cs="Arial" w:eastAsia="Arial" w:hAnsi="Arial"/>
                <w:sz w:val="18"/>
                <w:szCs w:val="18"/>
                <w:color w:val="auto"/>
              </w:rPr>
              <w:t>Other</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Mortgage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609</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320"/>
              <w:spacing w:after="0"/>
              <w:rPr>
                <w:sz w:val="20"/>
                <w:szCs w:val="20"/>
                <w:color w:val="auto"/>
              </w:rPr>
            </w:pPr>
            <w:r>
              <w:rPr>
                <w:rFonts w:ascii="Arial" w:cs="Arial" w:eastAsia="Arial" w:hAnsi="Arial"/>
                <w:sz w:val="18"/>
                <w:szCs w:val="18"/>
                <w:color w:val="auto"/>
              </w:rPr>
              <w:t>Resort lending</w:t>
            </w:r>
          </w:p>
        </w:tc>
        <w:tc>
          <w:tcPr>
            <w:tcW w:w="1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320"/>
              <w:spacing w:after="0"/>
              <w:rPr>
                <w:sz w:val="20"/>
                <w:szCs w:val="20"/>
                <w:color w:val="auto"/>
              </w:rPr>
            </w:pPr>
            <w:r>
              <w:rPr>
                <w:rFonts w:ascii="Arial" w:cs="Arial" w:eastAsia="Arial" w:hAnsi="Arial"/>
                <w:sz w:val="18"/>
                <w:szCs w:val="18"/>
                <w:color w:val="auto"/>
              </w:rPr>
              <w:t>Home equity - 2nd lien</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320"/>
              <w:spacing w:after="0"/>
              <w:rPr>
                <w:sz w:val="20"/>
                <w:szCs w:val="20"/>
                <w:color w:val="auto"/>
              </w:rPr>
            </w:pPr>
            <w:r>
              <w:rPr>
                <w:rFonts w:ascii="Arial" w:cs="Arial" w:eastAsia="Arial" w:hAnsi="Arial"/>
                <w:sz w:val="18"/>
                <w:szCs w:val="18"/>
                <w:color w:val="auto"/>
              </w:rPr>
              <w:t>Home equity - 1st lien</w:t>
            </w:r>
          </w:p>
        </w:tc>
        <w:tc>
          <w:tcPr>
            <w:tcW w:w="1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320"/>
              <w:spacing w:after="0"/>
              <w:rPr>
                <w:sz w:val="20"/>
                <w:szCs w:val="20"/>
                <w:color w:val="auto"/>
              </w:rPr>
            </w:pPr>
            <w:r>
              <w:rPr>
                <w:rFonts w:ascii="Arial" w:cs="Arial" w:eastAsia="Arial" w:hAnsi="Arial"/>
                <w:sz w:val="18"/>
                <w:szCs w:val="18"/>
                <w:color w:val="auto"/>
              </w:rPr>
              <w:t>Boat lending</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ind w:left="320"/>
              <w:spacing w:after="0"/>
              <w:rPr>
                <w:sz w:val="20"/>
                <w:szCs w:val="20"/>
                <w:color w:val="auto"/>
              </w:rPr>
            </w:pPr>
            <w:r>
              <w:rPr>
                <w:rFonts w:ascii="Arial" w:cs="Arial" w:eastAsia="Arial" w:hAnsi="Arial"/>
                <w:sz w:val="18"/>
                <w:szCs w:val="18"/>
                <w:color w:val="auto"/>
              </w:rPr>
              <w:t>Other</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7240" w:type="dxa"/>
            <w:vAlign w:val="bottom"/>
            <w:gridSpan w:val="2"/>
          </w:tcPr>
          <w:p>
            <w:pPr>
              <w:jc w:val="right"/>
              <w:ind w:right="1370"/>
              <w:spacing w:after="0"/>
              <w:rPr>
                <w:sz w:val="20"/>
                <w:szCs w:val="20"/>
                <w:color w:val="auto"/>
              </w:rPr>
            </w:pPr>
            <w:r>
              <w:rPr>
                <w:rFonts w:ascii="Arial" w:cs="Arial" w:eastAsia="Arial" w:hAnsi="Arial"/>
                <w:sz w:val="14"/>
                <w:szCs w:val="14"/>
                <w:color w:val="auto"/>
              </w:rPr>
              <w:t>26</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Loans that have been classified as troubled debt restructurings during the nine-month periods ended September 30 follow: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rPr>
              <w:t>Pre-modification</w:t>
            </w:r>
          </w:p>
        </w:tc>
        <w:tc>
          <w:tcPr>
            <w:tcW w:w="1400" w:type="dxa"/>
            <w:vAlign w:val="bottom"/>
            <w:gridSpan w:val="3"/>
          </w:tcPr>
          <w:p>
            <w:pPr>
              <w:spacing w:after="0"/>
              <w:rPr>
                <w:sz w:val="20"/>
                <w:szCs w:val="20"/>
                <w:color w:val="auto"/>
              </w:rPr>
            </w:pPr>
            <w:r>
              <w:rPr>
                <w:rFonts w:ascii="Arial" w:cs="Arial" w:eastAsia="Arial" w:hAnsi="Arial"/>
                <w:sz w:val="18"/>
                <w:szCs w:val="18"/>
                <w:color w:val="auto"/>
                <w:w w:val="99"/>
              </w:rPr>
              <w:t>Post-modification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Number of</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color w:val="auto"/>
              </w:rPr>
              <w:t>Recorded</w:t>
            </w:r>
          </w:p>
        </w:tc>
        <w:tc>
          <w:tcPr>
            <w:tcW w:w="20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Recorded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Contracts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Balance</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40" w:type="dxa"/>
            <w:vAlign w:val="bottom"/>
            <w:gridSpan w:val="2"/>
            <w:vMerge w:val="restart"/>
          </w:tcPr>
          <w:p>
            <w:pPr>
              <w:jc w:val="right"/>
              <w:ind w:right="6790"/>
              <w:spacing w:after="0"/>
              <w:rPr>
                <w:sz w:val="20"/>
                <w:szCs w:val="20"/>
                <w:color w:val="auto"/>
              </w:rPr>
            </w:pPr>
            <w:r>
              <w:rPr>
                <w:rFonts w:ascii="Arial" w:cs="Arial" w:eastAsia="Arial" w:hAnsi="Arial"/>
                <w:sz w:val="18"/>
                <w:szCs w:val="18"/>
                <w:color w:val="auto"/>
                <w:w w:val="84"/>
              </w:rPr>
              <w:t>2019</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4"/>
          </w:tcPr>
          <w:p>
            <w:pPr>
              <w:spacing w:after="0"/>
              <w:rPr>
                <w:sz w:val="20"/>
                <w:szCs w:val="20"/>
                <w:color w:val="auto"/>
              </w:rPr>
            </w:pPr>
            <w:r>
              <w:rPr>
                <w:rFonts w:ascii="Arial" w:cs="Arial" w:eastAsia="Arial" w:hAnsi="Arial"/>
                <w:sz w:val="18"/>
                <w:szCs w:val="18"/>
                <w:color w:val="auto"/>
                <w:w w:val="91"/>
              </w:rPr>
              <w:t>(Dollars in thousands)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240" w:type="dxa"/>
            <w:vAlign w:val="bottom"/>
            <w:gridSpan w:val="2"/>
            <w:vMerge w:val="continue"/>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985</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Other</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611</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903</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Other</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troubled debt restructurings described above for 2019 increased the allowance for loan losses by $0.04 million and resulted in zero charge offs during the three months ended September 30, 2019, and increased the allowance for loan losses by $0.09 million and resulted in zero charge offs during the nine months ended September 30, 2019.</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troubled debt restructurings described above for 2018 decreased the allowance for loan losses by $0.01 million and resulted in zero charge offs during the three months ended September 30, 2018, and decreased the allowance by $0.004 million and resulted in zero charge offs during the nine months ended September 30, 2018.</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There were no troubled debt restructurings that subsequently defaulted within twelve months following the modification during the three and nine months periods ended September 30, 2019 and 2018.</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color w:val="auto"/>
        </w:rPr>
        <w:t>A loan is considered to be in payment default generally once it is 90 days contractually past due under the modified terms.</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207" w:lineRule="exact"/>
        <w:rPr>
          <w:sz w:val="20"/>
          <w:szCs w:val="20"/>
          <w:color w:val="auto"/>
        </w:rPr>
      </w:pPr>
    </w:p>
    <w:p>
      <w:pPr>
        <w:jc w:val="both"/>
        <w:spacing w:after="0" w:line="301" w:lineRule="auto"/>
        <w:rPr>
          <w:sz w:val="20"/>
          <w:szCs w:val="20"/>
          <w:color w:val="auto"/>
        </w:rPr>
      </w:pPr>
      <w:r>
        <w:rPr>
          <w:rFonts w:ascii="Arial" w:cs="Arial" w:eastAsia="Arial" w:hAnsi="Arial"/>
          <w:sz w:val="19"/>
          <w:szCs w:val="19"/>
          <w:b w:val="1"/>
          <w:bCs w:val="1"/>
          <w:color w:val="auto"/>
        </w:rPr>
        <w:t xml:space="preserve">Credit Quality Indicators </w:t>
      </w:r>
      <w:r>
        <w:rPr>
          <w:rFonts w:ascii="Arial" w:cs="Arial" w:eastAsia="Arial" w:hAnsi="Arial"/>
          <w:sz w:val="19"/>
          <w:szCs w:val="19"/>
          <w:color w:val="auto"/>
        </w:rPr>
        <w:t>– As part of our on-going monitoring of the credit quality of our loan portfolios, we track certain credit</w:t>
      </w:r>
      <w:r>
        <w:rPr>
          <w:rFonts w:ascii="Arial" w:cs="Arial" w:eastAsia="Arial" w:hAnsi="Arial"/>
          <w:sz w:val="19"/>
          <w:szCs w:val="19"/>
          <w:b w:val="1"/>
          <w:bCs w:val="1"/>
          <w:color w:val="auto"/>
        </w:rPr>
        <w:t xml:space="preserve"> </w:t>
      </w:r>
      <w:r>
        <w:rPr>
          <w:rFonts w:ascii="Arial" w:cs="Arial" w:eastAsia="Arial" w:hAnsi="Arial"/>
          <w:sz w:val="19"/>
          <w:szCs w:val="19"/>
          <w:color w:val="auto"/>
        </w:rPr>
        <w:t>quality indicators including (a) weighted-average risk grade of commercial loans, (b) the level of classified commercial loans, (c) credit scores of mortgage and installment loan borrowers, and (d) delinquency history and non-performing loans.</w:t>
      </w:r>
    </w:p>
    <w:p>
      <w:pPr>
        <w:spacing w:after="0" w:line="15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For commercial loans, we use a loan rating system that is similar to those employed by state and federal banking regulators. Loans are graded on a scale of 1 to 12. A description of the general characteristics of the ratings follows:</w:t>
      </w:r>
    </w:p>
    <w:p>
      <w:pPr>
        <w:spacing w:after="0" w:line="200"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i w:val="1"/>
          <w:iCs w:val="1"/>
          <w:color w:val="auto"/>
        </w:rPr>
        <w:t>Rating 1 through 6</w:t>
      </w:r>
      <w:r>
        <w:rPr>
          <w:rFonts w:ascii="Arial" w:cs="Arial" w:eastAsia="Arial" w:hAnsi="Arial"/>
          <w:sz w:val="22"/>
          <w:szCs w:val="22"/>
          <w:color w:val="auto"/>
        </w:rPr>
        <w:t>: These loans are generally referred to as our “non-watch” commercial credits that include very high or</w:t>
      </w:r>
      <w:r>
        <w:rPr>
          <w:rFonts w:ascii="Arial" w:cs="Arial" w:eastAsia="Arial" w:hAnsi="Arial"/>
          <w:sz w:val="22"/>
          <w:szCs w:val="22"/>
          <w:i w:val="1"/>
          <w:iCs w:val="1"/>
          <w:color w:val="auto"/>
        </w:rPr>
        <w:t xml:space="preserve"> </w:t>
      </w:r>
      <w:r>
        <w:rPr>
          <w:rFonts w:ascii="Arial" w:cs="Arial" w:eastAsia="Arial" w:hAnsi="Arial"/>
          <w:sz w:val="22"/>
          <w:szCs w:val="22"/>
          <w:color w:val="auto"/>
        </w:rPr>
        <w:t>exceptional credit fundamentals through acceptable credit fundamentals.</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21"/>
          <w:szCs w:val="21"/>
          <w:i w:val="1"/>
          <w:iCs w:val="1"/>
          <w:color w:val="auto"/>
        </w:rPr>
        <w:t>Rating 7 and 8</w:t>
      </w:r>
      <w:r>
        <w:rPr>
          <w:rFonts w:ascii="Arial" w:cs="Arial" w:eastAsia="Arial" w:hAnsi="Arial"/>
          <w:sz w:val="21"/>
          <w:szCs w:val="21"/>
          <w:color w:val="auto"/>
        </w:rPr>
        <w:t>: These loans are generally referred to as our “watch” commercial credits. These ratings include loans to borrowers</w:t>
      </w:r>
      <w:r>
        <w:rPr>
          <w:rFonts w:ascii="Arial" w:cs="Arial" w:eastAsia="Arial" w:hAnsi="Arial"/>
          <w:sz w:val="21"/>
          <w:szCs w:val="21"/>
          <w:i w:val="1"/>
          <w:iCs w:val="1"/>
          <w:color w:val="auto"/>
        </w:rPr>
        <w:t xml:space="preserve"> </w:t>
      </w:r>
      <w:r>
        <w:rPr>
          <w:rFonts w:ascii="Arial" w:cs="Arial" w:eastAsia="Arial" w:hAnsi="Arial"/>
          <w:sz w:val="21"/>
          <w:szCs w:val="21"/>
          <w:color w:val="auto"/>
        </w:rPr>
        <w:t>that exhibit potential credit weakness or downward trends. If not checked or cured these trends could weaken our asset or credit position. While potentially weak, no loss of principal or interest is envisioned with these ratings.</w:t>
      </w:r>
    </w:p>
    <w:p>
      <w:pPr>
        <w:spacing w:after="0" w:line="19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color w:val="auto"/>
        </w:rPr>
        <w:t>Rating 9</w:t>
      </w:r>
      <w:r>
        <w:rPr>
          <w:rFonts w:ascii="Arial" w:cs="Arial" w:eastAsia="Arial" w:hAnsi="Arial"/>
          <w:sz w:val="22"/>
          <w:szCs w:val="22"/>
          <w:color w:val="auto"/>
        </w:rPr>
        <w:t>: These loans are generally referred to as our “substandard accruing” commercial credits. This rating includes loans to</w:t>
      </w:r>
      <w:r>
        <w:rPr>
          <w:rFonts w:ascii="Arial" w:cs="Arial" w:eastAsia="Arial" w:hAnsi="Arial"/>
          <w:sz w:val="22"/>
          <w:szCs w:val="22"/>
          <w:i w:val="1"/>
          <w:iCs w:val="1"/>
          <w:color w:val="auto"/>
        </w:rPr>
        <w:t xml:space="preserve"> </w:t>
      </w:r>
      <w:r>
        <w:rPr>
          <w:rFonts w:ascii="Arial" w:cs="Arial" w:eastAsia="Arial" w:hAnsi="Arial"/>
          <w:sz w:val="22"/>
          <w:szCs w:val="22"/>
          <w:color w:val="auto"/>
        </w:rPr>
        <w:t>borrowers that exhibit a well-defined weakness where payment default is probable and loss is possible if deficiencies are not corrected. Generally, loans with this rating are considered collectible as to both principal and interest primarily due to collateral coverage.</w:t>
      </w:r>
    </w:p>
    <w:p>
      <w:pPr>
        <w:spacing w:after="0" w:line="212" w:lineRule="exact"/>
        <w:rPr>
          <w:sz w:val="20"/>
          <w:szCs w:val="20"/>
          <w:color w:val="auto"/>
        </w:rPr>
      </w:pPr>
    </w:p>
    <w:p>
      <w:pPr>
        <w:jc w:val="both"/>
        <w:ind w:right="140"/>
        <w:spacing w:after="0" w:line="287" w:lineRule="auto"/>
        <w:rPr>
          <w:sz w:val="20"/>
          <w:szCs w:val="20"/>
          <w:color w:val="auto"/>
        </w:rPr>
      </w:pPr>
      <w:r>
        <w:rPr>
          <w:rFonts w:ascii="Arial" w:cs="Arial" w:eastAsia="Arial" w:hAnsi="Arial"/>
          <w:sz w:val="19"/>
          <w:szCs w:val="19"/>
          <w:i w:val="1"/>
          <w:iCs w:val="1"/>
          <w:color w:val="auto"/>
        </w:rPr>
        <w:t>Rating 10 and 11</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231F20"/>
        </w:rPr>
        <w:t>These loans are generally referred to as our ‘‘substandard - non-accrual’’ and ‘‘doubtful’’ commercial credits.</w:t>
      </w:r>
      <w:r>
        <w:rPr>
          <w:rFonts w:ascii="Arial" w:cs="Arial" w:eastAsia="Arial" w:hAnsi="Arial"/>
          <w:sz w:val="19"/>
          <w:szCs w:val="19"/>
          <w:i w:val="1"/>
          <w:iCs w:val="1"/>
          <w:color w:val="auto"/>
        </w:rPr>
        <w:t xml:space="preserve"> </w:t>
      </w:r>
      <w:r>
        <w:rPr>
          <w:rFonts w:ascii="Arial" w:cs="Arial" w:eastAsia="Arial" w:hAnsi="Arial"/>
          <w:sz w:val="19"/>
          <w:szCs w:val="19"/>
          <w:color w:val="231F20"/>
        </w:rPr>
        <w:t>Our doubtful rating includes a sub classification for a loss rate other than 50% (which is the standard doubtful loss rate). These ratings include loans to borrowers with weaknesses that make collection of debt in full, on the basis of current facts, conditions and values at best questionable and at worst improbable. All of these loans are placed in non-accrual.</w:t>
      </w:r>
    </w:p>
    <w:p>
      <w:pPr>
        <w:spacing w:after="0" w:line="170" w:lineRule="exact"/>
        <w:rPr>
          <w:sz w:val="20"/>
          <w:szCs w:val="20"/>
          <w:color w:val="auto"/>
        </w:rPr>
      </w:pPr>
    </w:p>
    <w:p>
      <w:pPr>
        <w:spacing w:after="0" w:line="251" w:lineRule="auto"/>
        <w:rPr>
          <w:sz w:val="20"/>
          <w:szCs w:val="20"/>
          <w:color w:val="auto"/>
        </w:rPr>
      </w:pPr>
      <w:r>
        <w:rPr>
          <w:rFonts w:ascii="Arial" w:cs="Arial" w:eastAsia="Arial" w:hAnsi="Arial"/>
          <w:sz w:val="22"/>
          <w:szCs w:val="22"/>
          <w:i w:val="1"/>
          <w:iCs w:val="1"/>
          <w:color w:val="auto"/>
        </w:rPr>
        <w:t>Rating 12</w:t>
      </w:r>
      <w:r>
        <w:rPr>
          <w:rFonts w:ascii="Arial" w:cs="Arial" w:eastAsia="Arial" w:hAnsi="Arial"/>
          <w:sz w:val="22"/>
          <w:szCs w:val="22"/>
          <w:color w:val="auto"/>
        </w:rPr>
        <w:t>: These loans are generally referred to as our “loss” commercial credits. This rating includes loans to borrowers that are</w:t>
      </w:r>
      <w:r>
        <w:rPr>
          <w:rFonts w:ascii="Arial" w:cs="Arial" w:eastAsia="Arial" w:hAnsi="Arial"/>
          <w:sz w:val="22"/>
          <w:szCs w:val="22"/>
          <w:i w:val="1"/>
          <w:iCs w:val="1"/>
          <w:color w:val="auto"/>
        </w:rPr>
        <w:t xml:space="preserve"> </w:t>
      </w:r>
      <w:r>
        <w:rPr>
          <w:rFonts w:ascii="Arial" w:cs="Arial" w:eastAsia="Arial" w:hAnsi="Arial"/>
          <w:sz w:val="22"/>
          <w:szCs w:val="22"/>
          <w:color w:val="auto"/>
        </w:rPr>
        <w:t>deemed incapable of repayment and are charged-off.</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loan ratings by loan class for our commercial loan segment: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Commercial</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86"/>
              </w:rPr>
              <w:t>Substandard</w:t>
            </w:r>
          </w:p>
        </w:tc>
        <w:tc>
          <w:tcPr>
            <w:tcW w:w="200" w:type="dxa"/>
            <w:vAlign w:val="bottom"/>
          </w:tcPr>
          <w:p>
            <w:pPr>
              <w:spacing w:after="0"/>
              <w:rPr>
                <w:sz w:val="17"/>
                <w:szCs w:val="17"/>
                <w:color w:val="auto"/>
              </w:rPr>
            </w:pPr>
          </w:p>
        </w:tc>
        <w:tc>
          <w:tcPr>
            <w:tcW w:w="104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7"/>
              </w:rPr>
              <w:t>Non-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w w:val="95"/>
              </w:rPr>
              <w:t>Non-watch</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Watch</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Accrual</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Accrual</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color w:val="auto"/>
                <w:w w:val="79"/>
              </w:rPr>
              <w:t>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1"/>
              </w:rPr>
              <w:t>10-11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September 30, 2019</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7"/>
              </w:rPr>
              <w:t>(In thousands)</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408,132</w:t>
            </w: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15,619</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Land, land development and construction -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93,563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8,010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102,227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604,311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665,279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1,106,006</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83,054</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2,221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741</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1,192,022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0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interest included in 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Income producing - real estate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375,142</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13,387</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388,773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Land, land development and construction - real estate</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76,120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631,345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35,469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5,577</w:t>
            </w: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674,661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1,082,607</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57,184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5,777</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1,147,892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Accrued interest included in 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3,107</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For each of our mortgage and installment segment classes, we generally monitor credit quality based on the credit scores of the borrowers. These credit scores are generally updated semi-annually.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tables summarize credit scores by loan class for our mortgage and installment loan segments: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color w:val="auto"/>
                <w:w w:val="95"/>
              </w:rPr>
              <w:t>Mortgage (1)</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91"/>
              </w:rPr>
              <w:t>Home</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91"/>
              </w:rPr>
              <w:t>Home</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color w:val="auto"/>
                <w:w w:val="86"/>
              </w:rPr>
              <w:t>Resort</w:t>
            </w:r>
          </w:p>
        </w:tc>
        <w:tc>
          <w:tcPr>
            <w:tcW w:w="18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95"/>
              </w:rPr>
              <w:t>Equity</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Equity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w w:val="97"/>
              </w:rPr>
              <w:t>1-4 Family</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Lending</w:t>
            </w:r>
          </w:p>
        </w:tc>
        <w:tc>
          <w:tcPr>
            <w:tcW w:w="18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1st Lien</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2nd Lien</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September 30, 2019</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7"/>
              </w:rPr>
              <w:t>(In thousands)</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800 and above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101,927</w:t>
            </w:r>
          </w:p>
        </w:tc>
        <w:tc>
          <w:tcPr>
            <w:tcW w:w="4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12,177</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750-799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385,243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31,372</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16,300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52,564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485,479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700-749</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204,241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15,323</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9,209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650-699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84,458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7,612</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3,747</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13,168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600-649</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30,819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2,241</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668</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550-599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1,171</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663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500-549</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Under 500</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3,718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Unknown</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20"/>
              <w:spacing w:after="0" w:line="196" w:lineRule="exact"/>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847,088</w:t>
            </w:r>
          </w:p>
        </w:tc>
        <w:tc>
          <w:tcPr>
            <w:tcW w:w="420" w:type="dxa"/>
            <w:vAlign w:val="bottom"/>
            <w:gridSpan w:val="2"/>
          </w:tcPr>
          <w:p>
            <w:pPr>
              <w:jc w:val="right"/>
              <w:ind w:right="25"/>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70,826</w:t>
            </w:r>
          </w:p>
        </w:tc>
        <w:tc>
          <w:tcPr>
            <w:tcW w:w="1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37,336</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119,085</w:t>
            </w:r>
          </w:p>
        </w:tc>
        <w:tc>
          <w:tcPr>
            <w:tcW w:w="340" w:type="dxa"/>
            <w:vAlign w:val="bottom"/>
            <w:gridSpan w:val="2"/>
          </w:tcPr>
          <w:p>
            <w:pPr>
              <w:jc w:val="right"/>
              <w:ind w:right="65"/>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1,074,335</w:t>
            </w:r>
          </w:p>
        </w:tc>
        <w:tc>
          <w:tcPr>
            <w:tcW w:w="0" w:type="dxa"/>
            <w:vAlign w:val="bottom"/>
          </w:tcPr>
          <w:p>
            <w:pPr>
              <w:spacing w:after="0"/>
              <w:rPr>
                <w:sz w:val="1"/>
                <w:szCs w:val="1"/>
                <w:color w:val="auto"/>
              </w:rPr>
            </w:pPr>
          </w:p>
        </w:tc>
      </w:tr>
      <w:tr>
        <w:trPr>
          <w:trHeight w:val="21"/>
        </w:trPr>
        <w:tc>
          <w:tcPr>
            <w:tcW w:w="47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00" w:type="dxa"/>
            <w:vAlign w:val="bottom"/>
            <w:tcBorders>
              <w:bottom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Accrued interest included in 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3,327</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343</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800 and above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94,492</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10,898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6,784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8,838</w:t>
            </w:r>
          </w:p>
        </w:tc>
        <w:tc>
          <w:tcPr>
            <w:tcW w:w="100" w:type="dxa"/>
            <w:vAlign w:val="bottom"/>
          </w:tcPr>
          <w:p>
            <w:pPr>
              <w:spacing w:after="0"/>
              <w:rPr>
                <w:sz w:val="18"/>
                <w:szCs w:val="18"/>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121,012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750-799</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384,344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36,542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17,303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700-749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202,440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17,282</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9,155</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23,249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650-699</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91,847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9,945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3,987</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600-649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34,342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3,088</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959</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550-599</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13,771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1,867</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500-549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418</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Under 500</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Unknown</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8,236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1,910</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10,912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tcBorders>
              <w:bottom w:val="single" w:sz="8" w:color="CCEEFF"/>
              <w:right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840,444</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81,781</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39,244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85,518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1,046,987</w:t>
            </w:r>
          </w:p>
        </w:tc>
        <w:tc>
          <w:tcPr>
            <w:tcW w:w="0" w:type="dxa"/>
            <w:vAlign w:val="bottom"/>
          </w:tcPr>
          <w:p>
            <w:pPr>
              <w:spacing w:after="0"/>
              <w:rPr>
                <w:sz w:val="1"/>
                <w:szCs w:val="1"/>
                <w:color w:val="auto"/>
              </w:rPr>
            </w:pPr>
          </w:p>
        </w:tc>
      </w:tr>
      <w:tr>
        <w:trPr>
          <w:trHeight w:val="210"/>
        </w:trPr>
        <w:tc>
          <w:tcPr>
            <w:tcW w:w="4720" w:type="dxa"/>
            <w:vAlign w:val="bottom"/>
            <w:gridSpan w:val="2"/>
          </w:tcPr>
          <w:p>
            <w:pPr>
              <w:spacing w:after="0" w:line="196" w:lineRule="exact"/>
              <w:rPr>
                <w:sz w:val="20"/>
                <w:szCs w:val="20"/>
                <w:color w:val="auto"/>
              </w:rPr>
            </w:pPr>
            <w:r>
              <w:rPr>
                <w:rFonts w:ascii="Arial" w:cs="Arial" w:eastAsia="Arial" w:hAnsi="Arial"/>
                <w:sz w:val="18"/>
                <w:szCs w:val="18"/>
                <w:color w:val="auto"/>
              </w:rPr>
              <w:t>Accrued interest included in 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3,079</w:t>
            </w:r>
          </w:p>
        </w:tc>
        <w:tc>
          <w:tcPr>
            <w:tcW w:w="420" w:type="dxa"/>
            <w:vAlign w:val="bottom"/>
            <w:gridSpan w:val="2"/>
          </w:tcPr>
          <w:p>
            <w:pPr>
              <w:jc w:val="right"/>
              <w:ind w:right="25"/>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363</w:t>
            </w:r>
          </w:p>
        </w:tc>
        <w:tc>
          <w:tcPr>
            <w:tcW w:w="1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199</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456</w:t>
            </w:r>
          </w:p>
        </w:tc>
        <w:tc>
          <w:tcPr>
            <w:tcW w:w="340" w:type="dxa"/>
            <w:vAlign w:val="bottom"/>
            <w:gridSpan w:val="2"/>
          </w:tcPr>
          <w:p>
            <w:pPr>
              <w:jc w:val="right"/>
              <w:ind w:right="65"/>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4,097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Credit scores have been updated within the last twelve months.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ind w:left="380"/>
              <w:spacing w:after="0"/>
              <w:rPr>
                <w:sz w:val="20"/>
                <w:szCs w:val="20"/>
                <w:color w:val="auto"/>
              </w:rPr>
            </w:pPr>
            <w:r>
              <w:rPr>
                <w:rFonts w:ascii="Arial" w:cs="Arial" w:eastAsia="Arial" w:hAnsi="Arial"/>
                <w:sz w:val="18"/>
                <w:szCs w:val="18"/>
                <w:color w:val="auto"/>
              </w:rPr>
              <w:t>Installment(1)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center"/>
              <w:ind w:right="110"/>
              <w:spacing w:after="0" w:line="201" w:lineRule="exact"/>
              <w:rPr>
                <w:sz w:val="20"/>
                <w:szCs w:val="20"/>
                <w:color w:val="auto"/>
              </w:rPr>
            </w:pPr>
            <w:r>
              <w:rPr>
                <w:rFonts w:ascii="Arial" w:cs="Arial" w:eastAsia="Arial" w:hAnsi="Arial"/>
                <w:sz w:val="18"/>
                <w:szCs w:val="18"/>
                <w:color w:val="auto"/>
                <w:w w:val="91"/>
              </w:rPr>
              <w:t>Home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91"/>
              </w:rPr>
              <w:t>Home</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91"/>
              </w:rPr>
              <w:t>Recreational</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color w:val="auto"/>
                <w:w w:val="95"/>
              </w:rPr>
              <w:t>Equity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5"/>
              </w:rPr>
              <w:t>Equity</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Vehicle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1"/>
              </w:rPr>
              <w:t>1st Lien</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2nd Lien</w:t>
            </w: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Boat Lending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3"/>
              </w:rPr>
              <w:t>Lending</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September 30, 2019</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80" w:type="dxa"/>
            <w:vAlign w:val="bottom"/>
            <w:gridSpan w:val="6"/>
          </w:tcPr>
          <w:p>
            <w:pPr>
              <w:ind w:left="360"/>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800 and above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29,581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24,296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7,140</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750-799</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1,265</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120,085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90,692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35,671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248,817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700-749</w:t>
            </w: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1,123</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29,990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25,052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650-699</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1,104</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10,536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5,560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600-649</w:t>
            </w: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678</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550-599</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457</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617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500-549</w:t>
            </w: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Under 500</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Unknown</w:t>
            </w: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5,983</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5,119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206,340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153,031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94,052</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464,525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interest included in total</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800 and above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555</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20,767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20,197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6,272</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750-799</w:t>
            </w: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1,642</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74,154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31,483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700-749</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1,682</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35,455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24,890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24,369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650-699</w:t>
            </w: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1,217</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4,918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600-649</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1,272</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992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550-599</w:t>
            </w: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500-549</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229</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225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Under 500</w:t>
            </w: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Unknown</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9,690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7,044</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169,894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125,836</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85,968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396,179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340" w:type="dxa"/>
            <w:vAlign w:val="bottom"/>
            <w:gridSpan w:val="2"/>
          </w:tcPr>
          <w:p>
            <w:pPr>
              <w:spacing w:after="0" w:line="196" w:lineRule="exact"/>
              <w:rPr>
                <w:sz w:val="20"/>
                <w:szCs w:val="20"/>
                <w:color w:val="auto"/>
              </w:rPr>
            </w:pPr>
            <w:r>
              <w:rPr>
                <w:rFonts w:ascii="Arial" w:cs="Arial" w:eastAsia="Arial" w:hAnsi="Arial"/>
                <w:sz w:val="18"/>
                <w:szCs w:val="18"/>
                <w:color w:val="auto"/>
              </w:rPr>
              <w:t>Accrued interest included in total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380" w:type="dxa"/>
            <w:vAlign w:val="bottom"/>
            <w:gridSpan w:val="2"/>
          </w:tcPr>
          <w:p>
            <w:pPr>
              <w:jc w:val="right"/>
              <w:ind w:right="5"/>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25</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403</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311</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263</w:t>
            </w:r>
          </w:p>
        </w:tc>
        <w:tc>
          <w:tcPr>
            <w:tcW w:w="360" w:type="dxa"/>
            <w:vAlign w:val="bottom"/>
            <w:gridSpan w:val="2"/>
          </w:tcPr>
          <w:p>
            <w:pPr>
              <w:jc w:val="right"/>
              <w:ind w:right="85"/>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Credit scores have been updated within the last twelve months.</w:t>
      </w:r>
    </w:p>
    <w:p>
      <w:pPr>
        <w:spacing w:after="0" w:line="24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Foreclosed residential real estate properties included in other real estate and repossessed assets on our Condensed Consolidated Statements of Financial Condition totaled $1.2 million at both September 30, 2019 and December 31, 2018, respectively. Retail mortgage loans secured by residential real estate properties for which formal foreclosure proceedings are in process according to local requirements totaled $0.2 million and $0.3 million at September 30, 2019 and December 31, 2018, respectively.</w:t>
      </w:r>
    </w:p>
    <w:p>
      <w:pPr>
        <w:spacing w:after="0" w:line="170"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During the first quarter of 2019, we sold $40.6 million, of residential adjustable rate mortgage loans servicing released (classified on the Condensed Consolidated Statements of Financial Condition as held for sale, carried at the lower of cost or fair value at December 31, 2018) to another financial institution and recognized a gain on sale of $0.01 million. During the first quarter of 2019 we also securitized $29.8 million, of portfolio residential fixed rate mortgage loans servicing retained with Freddie Mac and recognized a gain on sale of $0.53 million. During the third quarter of 2019, we sold $9.9 million of residential fixed and adjustable rate portfolio mortgage loans servicing retained to another financial institution and recognized a gain on sale of $0.07 million. During the third quarter of 2019 we also transferred $36.6 million, of portfolio residential fixed rate mortgage loans to loans held for sale, carried at the lower of cost or fair value. At the time of transfer and at September 30, 2019 the fair value of these loans exceeded their cost. During the fourth quarter of 2019 these loans were securitized servicing retained with Freddie Mac and we recognized a gain on sale of approximately $1.0 million. These transactions were done primarily for asset/liability management purposes.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During the first and third quarters of 2018, we sold $16.5 million and $11.1 million, respectively, of residential fixed and adjustable rate portfolio mortgage loans servicing retained to another financial institution and recognized a gain (loss) on sale of $0.05 million and ($0.01) million, respectively. These mortgage loans were sold primarily for asset/liability management purposes.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Purchase Credit Impaired (“PCI”) Loans</w:t>
      </w: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Loans acquired in a business combination are recorded at estimated fair value on their purchase date with no carryover of the related allowance for loan losses. In determining the estimated fair value of purchased loans, we consider a number of factors including, among others, the remaining life of the acquired loans, estimated prepayments, estimated loss ratios, estimated value of the underlying collateral, and net present value of cash flows expected to be received. Purchased loans are accounted for in accordance with guidance for certain loans acquired in a transfer (ASC 310-30), when the loans have evidence of credit deterioration since origination and it is probable at the date of acquisition that the acquirer will not collect all contractually required principal and interest payments. The difference between contractually required payments and the cash flows expected to be collected at acquisition is referred to as the non-accretable difference. Subsequent decreases to the expected cash flows will generally result in a provision for loan losses. Subsequent increases in expected cash flows will result in a reversal of the provision for loan losses to the extent of prior charges and then an adjustment to accretable yield, which would have a positive impact on interest income.</w:t>
      </w:r>
    </w:p>
    <w:p>
      <w:pPr>
        <w:spacing w:after="0" w:line="21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a result of our acquisition of TCSB Bancorp, Inc. (“TCSB”) (see note #17) we purchased loans for which there was, at acquisition, evidence of deterioration of credit quality since origination and it was probable, at acquisition, that all contractually required payments would not be collected. For these loans that meet the criteria of ASC 310-30 treatment, the carrying amount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40" w:type="dxa"/>
            <w:vAlign w:val="bottom"/>
            <w:gridSpan w:val="3"/>
          </w:tcPr>
          <w:p>
            <w:pPr>
              <w:jc w:val="center"/>
              <w:ind w:right="35"/>
              <w:spacing w:after="0"/>
              <w:rPr>
                <w:sz w:val="20"/>
                <w:szCs w:val="20"/>
                <w:color w:val="auto"/>
              </w:rPr>
            </w:pPr>
            <w:r>
              <w:rPr>
                <w:rFonts w:ascii="Arial" w:cs="Arial" w:eastAsia="Arial" w:hAnsi="Arial"/>
                <w:sz w:val="18"/>
                <w:szCs w:val="18"/>
                <w:color w:val="auto"/>
                <w:w w:val="88"/>
              </w:rPr>
              <w:t>September 30,</w:t>
            </w:r>
          </w:p>
        </w:tc>
        <w:tc>
          <w:tcPr>
            <w:tcW w:w="120" w:type="dxa"/>
            <w:vAlign w:val="bottom"/>
          </w:tcPr>
          <w:p>
            <w:pPr>
              <w:spacing w:after="0"/>
              <w:rPr>
                <w:sz w:val="18"/>
                <w:szCs w:val="18"/>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ind w:left="48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4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1,421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Mortgage</w:t>
            </w:r>
          </w:p>
        </w:tc>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5"/>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Installment</w:t>
            </w:r>
          </w:p>
        </w:tc>
        <w:tc>
          <w:tcPr>
            <w:tcW w:w="4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Total carrying amount</w:t>
            </w:r>
          </w:p>
        </w:tc>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5"/>
              <w:spacing w:after="0"/>
              <w:rPr>
                <w:sz w:val="20"/>
                <w:szCs w:val="20"/>
                <w:color w:val="auto"/>
              </w:rPr>
            </w:pPr>
            <w:r>
              <w:rPr>
                <w:rFonts w:ascii="Arial" w:cs="Arial" w:eastAsia="Arial" w:hAnsi="Arial"/>
                <w:sz w:val="18"/>
                <w:szCs w:val="18"/>
                <w:color w:val="auto"/>
              </w:rPr>
              <w:t>2,332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4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Carrying amount, net of allowance for loan losses</w:t>
            </w:r>
          </w:p>
        </w:tc>
        <w:tc>
          <w:tcPr>
            <w:tcW w:w="4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5"/>
              <w:spacing w:after="0"/>
              <w:rPr>
                <w:sz w:val="20"/>
                <w:szCs w:val="20"/>
                <w:color w:val="auto"/>
              </w:rPr>
            </w:pPr>
            <w:r>
              <w:rPr>
                <w:rFonts w:ascii="Arial" w:cs="Arial" w:eastAsia="Arial" w:hAnsi="Arial"/>
                <w:sz w:val="18"/>
                <w:szCs w:val="18"/>
                <w:color w:val="auto"/>
              </w:rPr>
              <w:t>2,332</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4120" w:type="dxa"/>
            <w:vAlign w:val="bottom"/>
            <w:vMerge w:val="restart"/>
          </w:tcPr>
          <w:p>
            <w:pPr>
              <w:jc w:val="right"/>
              <w:ind w:right="2956"/>
              <w:spacing w:after="0"/>
              <w:rPr>
                <w:sz w:val="20"/>
                <w:szCs w:val="20"/>
                <w:color w:val="auto"/>
              </w:rPr>
            </w:pPr>
            <w:r>
              <w:rPr>
                <w:rFonts w:ascii="Arial" w:cs="Arial" w:eastAsia="Arial" w:hAnsi="Arial"/>
                <w:sz w:val="14"/>
                <w:szCs w:val="14"/>
                <w:color w:val="auto"/>
              </w:rPr>
              <w:t>32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470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700" w:type="dxa"/>
            <w:vAlign w:val="bottom"/>
            <w:tcBorders>
              <w:bottom w:val="single" w:sz="8" w:color="auto"/>
            </w:tcBorders>
          </w:tcPr>
          <w:p>
            <w:pPr>
              <w:spacing w:after="0"/>
              <w:rPr>
                <w:sz w:val="4"/>
                <w:szCs w:val="4"/>
                <w:color w:val="auto"/>
              </w:rPr>
            </w:pPr>
          </w:p>
        </w:tc>
        <w:tc>
          <w:tcPr>
            <w:tcW w:w="4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accretable difference on PCI loans is the difference between the expected cash flows and the net present value of expected cash flows with such difference accreted into earnings using the effective yield method over the term of the loans. Accretion recorded as loan interest income is included in the table below. Accretable yield of PCI loans, or income expected to be collected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0" w:type="dxa"/>
            <w:vAlign w:val="bottom"/>
            <w:gridSpan w:val="5"/>
          </w:tcPr>
          <w:p>
            <w:pPr>
              <w:jc w:val="center"/>
              <w:ind w:left="235"/>
              <w:spacing w:after="0"/>
              <w:rPr>
                <w:sz w:val="20"/>
                <w:szCs w:val="20"/>
                <w:color w:val="auto"/>
              </w:rPr>
            </w:pPr>
            <w:r>
              <w:rPr>
                <w:rFonts w:ascii="Arial" w:cs="Arial" w:eastAsia="Arial" w:hAnsi="Arial"/>
                <w:sz w:val="18"/>
                <w:szCs w:val="18"/>
                <w:color w:val="auto"/>
                <w:w w:val="89"/>
              </w:rPr>
              <w:t>Three months ended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color w:val="auto"/>
                <w:w w:val="89"/>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0" w:type="dxa"/>
            <w:vAlign w:val="bottom"/>
            <w:gridSpan w:val="5"/>
          </w:tcPr>
          <w:p>
            <w:pPr>
              <w:jc w:val="center"/>
              <w:ind w:left="235"/>
              <w:spacing w:after="0"/>
              <w:rPr>
                <w:sz w:val="20"/>
                <w:szCs w:val="20"/>
                <w:color w:val="auto"/>
              </w:rPr>
            </w:pPr>
            <w:r>
              <w:rPr>
                <w:rFonts w:ascii="Arial" w:cs="Arial" w:eastAsia="Arial" w:hAnsi="Arial"/>
                <w:sz w:val="18"/>
                <w:szCs w:val="18"/>
                <w:color w:val="auto"/>
                <w:w w:val="88"/>
              </w:rPr>
              <w:t>September 30,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3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center"/>
              <w:ind w:right="390"/>
              <w:spacing w:after="0"/>
              <w:rPr>
                <w:sz w:val="20"/>
                <w:szCs w:val="20"/>
                <w:color w:val="auto"/>
              </w:rPr>
            </w:pPr>
            <w:r>
              <w:rPr>
                <w:rFonts w:ascii="Arial" w:cs="Arial" w:eastAsia="Arial" w:hAnsi="Arial"/>
                <w:sz w:val="18"/>
                <w:szCs w:val="18"/>
                <w:color w:val="auto"/>
                <w:w w:val="92"/>
              </w:rPr>
              <w:t>(unaudited)</w:t>
            </w:r>
          </w:p>
        </w:tc>
        <w:tc>
          <w:tcPr>
            <w:tcW w:w="3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color w:val="auto"/>
                <w:w w:val="90"/>
              </w:rPr>
              <w:t>(unaudited)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200" w:type="dxa"/>
            <w:vAlign w:val="bottom"/>
            <w:gridSpan w:val="5"/>
          </w:tcPr>
          <w:p>
            <w:pPr>
              <w:jc w:val="center"/>
              <w:ind w:left="235"/>
              <w:spacing w:after="0"/>
              <w:rPr>
                <w:sz w:val="20"/>
                <w:szCs w:val="20"/>
                <w:color w:val="auto"/>
              </w:rPr>
            </w:pPr>
            <w:r>
              <w:rPr>
                <w:rFonts w:ascii="Arial" w:cs="Arial" w:eastAsia="Arial" w:hAnsi="Arial"/>
                <w:sz w:val="18"/>
                <w:szCs w:val="18"/>
                <w:color w:val="auto"/>
                <w:w w:val="90"/>
              </w:rPr>
              <w:t>(In thousands)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center"/>
              <w:ind w:right="150"/>
              <w:spacing w:after="0"/>
              <w:rPr>
                <w:sz w:val="20"/>
                <w:szCs w:val="20"/>
                <w:color w:val="auto"/>
              </w:rPr>
            </w:pPr>
            <w:r>
              <w:rPr>
                <w:rFonts w:ascii="Arial" w:cs="Arial" w:eastAsia="Arial" w:hAnsi="Arial"/>
                <w:sz w:val="18"/>
                <w:szCs w:val="18"/>
                <w:color w:val="auto"/>
                <w:w w:val="88"/>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5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420" w:type="dxa"/>
            <w:vAlign w:val="bottom"/>
            <w:gridSpan w:val="2"/>
          </w:tcPr>
          <w:p>
            <w:pPr>
              <w:spacing w:after="0"/>
              <w:rPr>
                <w:sz w:val="17"/>
                <w:szCs w:val="17"/>
                <w:color w:val="auto"/>
              </w:rPr>
            </w:pPr>
          </w:p>
        </w:tc>
        <w:tc>
          <w:tcPr>
            <w:tcW w:w="9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800" w:type="dxa"/>
            <w:vAlign w:val="bottom"/>
            <w:shd w:val="clear" w:color="auto" w:fill="CCEEFF"/>
          </w:tcPr>
          <w:p>
            <w:pPr>
              <w:jc w:val="right"/>
              <w:ind w:right="635"/>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462</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New loans purchased</w:t>
            </w: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Accretion recorded as loan interest income</w:t>
            </w: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Reclassification from (to) nonaccretable difference</w:t>
            </w: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365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Displosals/other adjustments</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800" w:type="dxa"/>
            <w:vAlign w:val="bottom"/>
          </w:tcPr>
          <w:p>
            <w:pPr>
              <w:jc w:val="right"/>
              <w:ind w:right="635"/>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693</w:t>
            </w:r>
          </w:p>
        </w:tc>
        <w:tc>
          <w:tcPr>
            <w:tcW w:w="140" w:type="dxa"/>
            <w:vAlign w:val="bottom"/>
          </w:tcPr>
          <w:p>
            <w:pPr>
              <w:spacing w:after="0"/>
              <w:rPr>
                <w:sz w:val="18"/>
                <w:szCs w:val="18"/>
                <w:color w:val="auto"/>
              </w:rPr>
            </w:pPr>
          </w:p>
        </w:tc>
        <w:tc>
          <w:tcPr>
            <w:tcW w:w="9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501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693</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Shareholders’ Equity and Earnings Per Common Share</w:t>
      </w:r>
    </w:p>
    <w:p>
      <w:pPr>
        <w:spacing w:after="0" w:line="245"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In December, 2018, our Board of Directors authorized a share repurchase plan (the “Repurchase Plan”) to buy back up to 5% of our outstanding common stock through December 31, 2019. In May 2019, we completed the repurchase of 5% of our outstanding common shares. In June 2019, our Board of Directors authorized a 300,000 share expansion of the 2019 repurchase plan. We expect to accomplish any remaining repurchases through open market transactions, though we could execute repurchases through other means, such as privately negotiated transactions. The timing and amount of any share repurchases will depend on a variety of factors, including, among others, securities law restrictions, the trading price of our common stock, regulatory requirements, potential alternative uses for capital, and our financial performance. The Repurchase Plan does not obligate us to acquire any particular amount of common stock, and it may be modified or suspended at any time at our discretion. We expect to fund any repurchases from cash on hand. During the nine month periods ended September 30, 2019 and 2018 repurchases were made totaling 1,204,688 shares and zero shares of common stock, respectively for an aggregate purchase price of $26.3 million and zero, respectively.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 reconciliation of basic and diluted net income per common share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6"/>
          </w:tcPr>
          <w:p>
            <w:pPr>
              <w:ind w:left="26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color w:val="auto"/>
                <w:w w:val="92"/>
              </w:rPr>
              <w:t>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2018</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40" w:type="dxa"/>
            <w:vAlign w:val="bottom"/>
            <w:gridSpan w:val="7"/>
          </w:tcPr>
          <w:p>
            <w:pPr>
              <w:jc w:val="right"/>
              <w:ind w:right="80"/>
              <w:spacing w:after="0"/>
              <w:rPr>
                <w:sz w:val="20"/>
                <w:szCs w:val="20"/>
                <w:color w:val="auto"/>
              </w:rPr>
            </w:pPr>
            <w:r>
              <w:rPr>
                <w:rFonts w:ascii="Arial" w:cs="Arial" w:eastAsia="Arial" w:hAnsi="Arial"/>
                <w:sz w:val="18"/>
                <w:szCs w:val="18"/>
                <w:color w:val="auto"/>
                <w:w w:val="91"/>
              </w:rPr>
              <w:t>(In thousands, except per share data)</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12,445</w:t>
            </w:r>
          </w:p>
        </w:tc>
        <w:tc>
          <w:tcPr>
            <w:tcW w:w="6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11,925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32,556</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22,486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24,149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Stock units for deferred compensation plan for non-employee directors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stock options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Performance share units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4"/>
              </w:rPr>
              <w:t>Weighted average shares outstanding for calculation of diluted earnings per</w:t>
            </w:r>
          </w:p>
        </w:tc>
        <w:tc>
          <w:tcPr>
            <w:tcW w:w="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share</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22,770</w:t>
            </w:r>
          </w:p>
        </w:tc>
        <w:tc>
          <w:tcPr>
            <w:tcW w:w="2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24,515</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23,319</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Basic (1)</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0.55</w:t>
            </w:r>
          </w:p>
        </w:tc>
        <w:tc>
          <w:tcPr>
            <w:tcW w:w="60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0.49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1.41</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28"/>
          <w:szCs w:val="28"/>
          <w:color w:val="auto"/>
          <w:vertAlign w:val="superscript"/>
        </w:rPr>
        <w:t>(1)</w:t>
      </w:r>
      <w:r>
        <w:rPr>
          <w:rFonts w:ascii="Arial" w:cs="Arial" w:eastAsia="Arial" w:hAnsi="Arial"/>
          <w:sz w:val="17"/>
          <w:szCs w:val="17"/>
          <w:color w:val="auto"/>
        </w:rPr>
        <w:t>Basic net income per common share includes weighted average common shares outstanding during the period and participating share awards.</w:t>
      </w:r>
    </w:p>
    <w:p>
      <w:pPr>
        <w:spacing w:after="0" w:line="140"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Weighted average stock options outstanding that were not considered in computing diluted net income per common share because they were anti-dilutive were zero for the three and nine month periods ended September 30, 2019 and 2018, respectively.</w:t>
      </w:r>
    </w:p>
    <w:p>
      <w:pPr>
        <w:spacing w:after="0" w:line="139"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are required to record derivatives on our Condensed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Our derivative financial instruments according to the type of hedge in which they are designated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88"/>
              </w:rPr>
              <w:t>September 30,</w:t>
            </w:r>
          </w:p>
        </w:tc>
        <w:tc>
          <w:tcPr>
            <w:tcW w:w="4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center"/>
              <w:ind w:left="170"/>
              <w:spacing w:after="0" w:line="201" w:lineRule="exact"/>
              <w:rPr>
                <w:sz w:val="20"/>
                <w:szCs w:val="20"/>
                <w:color w:val="auto"/>
              </w:rPr>
            </w:pPr>
            <w:r>
              <w:rPr>
                <w:rFonts w:ascii="Arial" w:cs="Arial" w:eastAsia="Arial" w:hAnsi="Arial"/>
                <w:sz w:val="18"/>
                <w:szCs w:val="18"/>
                <w:color w:val="auto"/>
                <w:w w:val="89"/>
              </w:rPr>
              <w:t>Average</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8"/>
                <w:szCs w:val="18"/>
                <w:color w:val="auto"/>
              </w:rPr>
              <w:t>Notional</w:t>
            </w:r>
          </w:p>
        </w:tc>
        <w:tc>
          <w:tcPr>
            <w:tcW w:w="200" w:type="dxa"/>
            <w:vAlign w:val="bottom"/>
          </w:tcPr>
          <w:p>
            <w:pPr>
              <w:spacing w:after="0"/>
              <w:rPr>
                <w:sz w:val="18"/>
                <w:szCs w:val="18"/>
                <w:color w:val="auto"/>
              </w:rPr>
            </w:pPr>
          </w:p>
        </w:tc>
        <w:tc>
          <w:tcPr>
            <w:tcW w:w="900" w:type="dxa"/>
            <w:vAlign w:val="bottom"/>
          </w:tcPr>
          <w:p>
            <w:pPr>
              <w:jc w:val="center"/>
              <w:ind w:left="150"/>
              <w:spacing w:after="0"/>
              <w:rPr>
                <w:sz w:val="20"/>
                <w:szCs w:val="20"/>
                <w:color w:val="auto"/>
              </w:rPr>
            </w:pPr>
            <w:r>
              <w:rPr>
                <w:rFonts w:ascii="Arial" w:cs="Arial" w:eastAsia="Arial" w:hAnsi="Arial"/>
                <w:sz w:val="18"/>
                <w:szCs w:val="18"/>
                <w:color w:val="auto"/>
                <w:w w:val="96"/>
              </w:rPr>
              <w:t>Maturity</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20"/>
                <w:szCs w:val="20"/>
                <w:color w:val="auto"/>
              </w:rPr>
            </w:pPr>
          </w:p>
        </w:tc>
        <w:tc>
          <w:tcPr>
            <w:tcW w:w="90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89"/>
              </w:rPr>
              <w:t>(years)</w:t>
            </w:r>
          </w:p>
        </w:tc>
        <w:tc>
          <w:tcPr>
            <w:tcW w:w="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60" w:type="dxa"/>
            <w:vAlign w:val="bottom"/>
            <w:gridSpan w:val="4"/>
          </w:tcPr>
          <w:p>
            <w:pPr>
              <w:jc w:val="center"/>
              <w:spacing w:after="0"/>
              <w:rPr>
                <w:sz w:val="20"/>
                <w:szCs w:val="20"/>
                <w:color w:val="auto"/>
              </w:rPr>
            </w:pPr>
            <w:r>
              <w:rPr>
                <w:rFonts w:ascii="Arial" w:cs="Arial" w:eastAsia="Arial" w:hAnsi="Arial"/>
                <w:sz w:val="18"/>
                <w:szCs w:val="18"/>
                <w:color w:val="auto"/>
                <w:w w:val="89"/>
              </w:rPr>
              <w:t>(Dollars in thousands)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224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w w:val="93"/>
              </w:rPr>
              <w:t>Fair value hedge designation - Pay-fixed interest rate swap agreements</w:t>
            </w:r>
          </w:p>
        </w:tc>
        <w:tc>
          <w:tcPr>
            <w:tcW w:w="22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7,117</w:t>
            </w: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 designation</w:t>
            </w: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Pay-fixed interest rate swap agreements</w:t>
            </w:r>
          </w:p>
        </w:tc>
        <w:tc>
          <w:tcPr>
            <w:tcW w:w="2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1.8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rate cap agreements</w:t>
            </w:r>
          </w:p>
        </w:tc>
        <w:tc>
          <w:tcPr>
            <w:tcW w:w="20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20"/>
              <w:spacing w:after="0"/>
              <w:rPr>
                <w:sz w:val="20"/>
                <w:szCs w:val="20"/>
                <w:color w:val="auto"/>
              </w:rPr>
            </w:pPr>
            <w:r>
              <w:rPr>
                <w:rFonts w:ascii="Arial" w:cs="Arial" w:eastAsia="Arial" w:hAnsi="Arial"/>
                <w:sz w:val="18"/>
                <w:szCs w:val="18"/>
                <w:color w:val="auto"/>
              </w:rPr>
              <w:t>Total</w:t>
            </w:r>
          </w:p>
        </w:tc>
        <w:tc>
          <w:tcPr>
            <w:tcW w:w="2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175,000</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2.7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
        </w:trPr>
        <w:tc>
          <w:tcPr>
            <w:tcW w:w="538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No hedge designation</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Rate-lock mortgage loan commitments</w:t>
            </w:r>
          </w:p>
        </w:tc>
        <w:tc>
          <w:tcPr>
            <w:tcW w:w="22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79,446</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Mandatory commitments to sell mortgage loans</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137,315</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Pay-fixed interest rate swap agreements - commercial</w:t>
            </w: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141,427</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Pay-variable interest rate swap agreements - commercial</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141,427</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Purchased options</w:t>
            </w: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Written options</w:t>
            </w:r>
          </w:p>
        </w:tc>
        <w:tc>
          <w:tcPr>
            <w:tcW w:w="2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3,028</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20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505,731</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3.1</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color w:val="auto"/>
                <w:w w:val="89"/>
              </w:rPr>
              <w:t>December 31, 2018</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center"/>
              <w:ind w:left="170"/>
              <w:spacing w:after="0" w:line="201" w:lineRule="exact"/>
              <w:rPr>
                <w:sz w:val="20"/>
                <w:szCs w:val="20"/>
                <w:color w:val="auto"/>
              </w:rPr>
            </w:pPr>
            <w:r>
              <w:rPr>
                <w:rFonts w:ascii="Arial" w:cs="Arial" w:eastAsia="Arial" w:hAnsi="Arial"/>
                <w:sz w:val="18"/>
                <w:szCs w:val="18"/>
                <w:color w:val="auto"/>
                <w:w w:val="89"/>
              </w:rPr>
              <w:t>Average</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8"/>
                <w:szCs w:val="18"/>
                <w:color w:val="auto"/>
              </w:rPr>
              <w:t>Notional</w:t>
            </w:r>
          </w:p>
        </w:tc>
        <w:tc>
          <w:tcPr>
            <w:tcW w:w="200" w:type="dxa"/>
            <w:vAlign w:val="bottom"/>
          </w:tcPr>
          <w:p>
            <w:pPr>
              <w:spacing w:after="0"/>
              <w:rPr>
                <w:sz w:val="18"/>
                <w:szCs w:val="18"/>
                <w:color w:val="auto"/>
              </w:rPr>
            </w:pPr>
          </w:p>
        </w:tc>
        <w:tc>
          <w:tcPr>
            <w:tcW w:w="900" w:type="dxa"/>
            <w:vAlign w:val="bottom"/>
          </w:tcPr>
          <w:p>
            <w:pPr>
              <w:jc w:val="center"/>
              <w:ind w:left="150"/>
              <w:spacing w:after="0"/>
              <w:rPr>
                <w:sz w:val="20"/>
                <w:szCs w:val="20"/>
                <w:color w:val="auto"/>
              </w:rPr>
            </w:pPr>
            <w:r>
              <w:rPr>
                <w:rFonts w:ascii="Arial" w:cs="Arial" w:eastAsia="Arial" w:hAnsi="Arial"/>
                <w:sz w:val="18"/>
                <w:szCs w:val="18"/>
                <w:color w:val="auto"/>
                <w:w w:val="96"/>
              </w:rPr>
              <w:t>Maturity</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20"/>
                <w:szCs w:val="20"/>
                <w:color w:val="auto"/>
              </w:rPr>
            </w:pPr>
          </w:p>
        </w:tc>
        <w:tc>
          <w:tcPr>
            <w:tcW w:w="90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89"/>
              </w:rPr>
              <w:t>(years)</w:t>
            </w:r>
          </w:p>
        </w:tc>
        <w:tc>
          <w:tcPr>
            <w:tcW w:w="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Cash flow hedge designation</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60" w:type="dxa"/>
            <w:vAlign w:val="bottom"/>
            <w:gridSpan w:val="4"/>
          </w:tcPr>
          <w:p>
            <w:pPr>
              <w:jc w:val="center"/>
              <w:spacing w:after="0"/>
              <w:rPr>
                <w:sz w:val="20"/>
                <w:szCs w:val="20"/>
                <w:color w:val="auto"/>
              </w:rPr>
            </w:pPr>
            <w:r>
              <w:rPr>
                <w:rFonts w:ascii="Arial" w:cs="Arial" w:eastAsia="Arial" w:hAnsi="Arial"/>
                <w:sz w:val="18"/>
                <w:szCs w:val="18"/>
                <w:color w:val="auto"/>
                <w:w w:val="89"/>
              </w:rPr>
              <w:t>(Dollars in thousands)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80" w:type="dxa"/>
            <w:vAlign w:val="bottom"/>
            <w:gridSpan w:val="2"/>
            <w:vMerge w:val="continue"/>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Pay-fixed interest rate swap agreements</w:t>
            </w:r>
          </w:p>
        </w:tc>
        <w:tc>
          <w:tcPr>
            <w:tcW w:w="22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Interest rate cap agreements</w:t>
            </w:r>
          </w:p>
        </w:tc>
        <w:tc>
          <w:tcPr>
            <w:tcW w:w="2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20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3.5</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No hedge designation</w:t>
            </w: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Rate-lock mortgage loan commitments</w:t>
            </w:r>
          </w:p>
        </w:tc>
        <w:tc>
          <w:tcPr>
            <w:tcW w:w="2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32,473</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0.1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Mandatory commitments to sell mortgage loans</w:t>
            </w: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57,583</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Pay-fixed interest rate swap agreements - commercial</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94,451</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Pay-variable interest rate swap agreements - commercial</w:t>
            </w: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94,451</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Purchased options</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3,095</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Written options</w:t>
            </w: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20"/>
              <w:spacing w:after="0"/>
              <w:rPr>
                <w:sz w:val="20"/>
                <w:szCs w:val="20"/>
                <w:color w:val="auto"/>
              </w:rPr>
            </w:pPr>
            <w:r>
              <w:rPr>
                <w:rFonts w:ascii="Arial" w:cs="Arial" w:eastAsia="Arial" w:hAnsi="Arial"/>
                <w:sz w:val="18"/>
                <w:szCs w:val="18"/>
                <w:color w:val="auto"/>
              </w:rPr>
              <w:t>Total</w:t>
            </w:r>
          </w:p>
        </w:tc>
        <w:tc>
          <w:tcPr>
            <w:tcW w:w="2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285,148</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3.7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60" w:type="dxa"/>
            <w:vAlign w:val="bottom"/>
            <w:vMerge w:val="restart"/>
          </w:tcPr>
          <w:p>
            <w:pPr>
              <w:jc w:val="right"/>
              <w:ind w:right="1572"/>
              <w:spacing w:after="0"/>
              <w:rPr>
                <w:sz w:val="20"/>
                <w:szCs w:val="20"/>
                <w:color w:val="auto"/>
              </w:rPr>
            </w:pPr>
            <w:r>
              <w:rPr>
                <w:rFonts w:ascii="Arial" w:cs="Arial" w:eastAsia="Arial" w:hAnsi="Arial"/>
                <w:sz w:val="14"/>
                <w:szCs w:val="14"/>
                <w:color w:val="auto"/>
              </w:rPr>
              <w:t>35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36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We use variable-rate and short-term fixed-rate (less than 12 months) debt obligations to fund a portion of our Condensed Consolidated Statements of Financial Condition, which exposes us to variability in interest rates. To meet our asset/liability management objectives, we may periodically enter into derivative financial instruments to mitigate exposure to fluctuations in cash flows resulting from changes in interest rates (“Cash Flow Hedges”). </w:t>
      </w:r>
      <w:r>
        <w:rPr>
          <w:rFonts w:ascii="Arial" w:cs="Arial" w:eastAsia="Arial" w:hAnsi="Arial"/>
          <w:sz w:val="19"/>
          <w:szCs w:val="19"/>
          <w:color w:val="231F20"/>
        </w:rPr>
        <w:t>Cash Flow Hedges included certain pay-fixed interest rate</w:t>
      </w:r>
      <w:r>
        <w:rPr>
          <w:rFonts w:ascii="Arial" w:cs="Arial" w:eastAsia="Arial" w:hAnsi="Arial"/>
          <w:sz w:val="19"/>
          <w:szCs w:val="19"/>
          <w:color w:val="auto"/>
        </w:rPr>
        <w:t xml:space="preserve"> </w:t>
      </w:r>
      <w:r>
        <w:rPr>
          <w:rFonts w:ascii="Arial" w:cs="Arial" w:eastAsia="Arial" w:hAnsi="Arial"/>
          <w:sz w:val="19"/>
          <w:szCs w:val="19"/>
          <w:color w:val="231F20"/>
        </w:rPr>
        <w:t xml:space="preserve">swaps and interest rate cap agreements. Pay-fixed interest rate swaps convert the variable-rate cash flows on debt obligations to fixed-rates. </w:t>
      </w:r>
      <w:r>
        <w:rPr>
          <w:rFonts w:ascii="Arial" w:cs="Arial" w:eastAsia="Arial" w:hAnsi="Arial"/>
          <w:sz w:val="19"/>
          <w:szCs w:val="19"/>
          <w:color w:val="000000"/>
        </w:rPr>
        <w:t>Under interest-rate cap agreements, we will receive cash if interest rates rise above a predetermined level. As a result,</w:t>
      </w:r>
      <w:r>
        <w:rPr>
          <w:rFonts w:ascii="Arial" w:cs="Arial" w:eastAsia="Arial" w:hAnsi="Arial"/>
          <w:sz w:val="19"/>
          <w:szCs w:val="19"/>
          <w:color w:val="231F20"/>
        </w:rPr>
        <w:t xml:space="preserve"> </w:t>
      </w:r>
      <w:r>
        <w:rPr>
          <w:rFonts w:ascii="Arial" w:cs="Arial" w:eastAsia="Arial" w:hAnsi="Arial"/>
          <w:sz w:val="19"/>
          <w:szCs w:val="19"/>
          <w:color w:val="000000"/>
        </w:rPr>
        <w:t>we effectively have variable-rate debt with an established maximum rate. We pay an upfront premium on interest rate caps which is recognized in earnings in the same period in which the hedged item affects earnings. Unrecognized premiums from interest rate caps aggregated to $2.4 million at September 30, 2019 and $2.7 million at December 31, 2018.</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We record the fair value of Cash Flow Hedges in accrued income and other assets and accrued expenses and other liabilities on our Condensed Consolidated Statements of Financial Condition. On an ongoing basis, we adjust our Condensed Consolidated Statements of Financial Condition to reflect the then current fair value of Cash Flow Hedges. The related gains or losses are reported in other comprehensive income or loss and are subsequently reclassified into earnings, as a yield adjustment in the same period in which the related interest on the hedged items (variable-rate debt obligations) affect earnings. It is anticipated that approximately $0.03 million, of unrealized losses on Cash Flow Hedges at September 30, 2019 will be reclassified to earnings over the next twelve months. The maximum term of the Cash Flow Hedge at September 30, 2019 is 4.0 years.</w:t>
      </w:r>
    </w:p>
    <w:p>
      <w:pPr>
        <w:spacing w:after="0" w:line="18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Beginning in the second quarter of 2019 we entered into a pay-fixed interest rate swap to protect a portion of the fair value of a certain fixed rate commercial loan commitment (“Fair Value Hedge”). As a result, changes in the fair value of the pay-fixed interest rate swap is expected to offset changes in the fair value of the fixed rate commercial loan commitment due to fluctuations in interest rates. We record the fair value of Fair Value Hedges in accrued income and other assets and accrued expenses and other liabilities on our Condensed Consolidated Statements of Financial Condition. The hedged item (fixed rate commercial loan commitment) is also recorded at fair value which offsets the adjustment to the Fair Value Hedge. On an ongoing basis, we adjust our Condensed Consolidated Statements of Financial Condition to reflect the then current fair value of both the Fair Value Hedge and the hedged item. The related gains or losses are reported in non-interest income – other in our Condensed Consolidated Statements of Operations.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Certain financial derivative instruments have not been designated as hedges. The fair value of these derivative financial instruments has been recorded on our Condensed Consolidated Statements of Financial Condition and is adjusted on an ongoing basis to reflect their then current fair value. The changes in fair value of derivative financial instruments not designated as hedges are recognized in our Condensed Consolidated Statements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Rate-Lock Commitments and Mandatory Commitments are recognized currently as part of net gains on mortgage loans in our Condensed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spacing w:after="0" w:line="20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In prior periods we offered to our deposit customers an equity linked time deposit product (“Altitude CD”). The Altitude CD was a time deposit that provides the customer a guaranteed return of principal at maturity plus a potential equity return (a written option), while we receive a like stream of funds based on the equity return (a purchased option). The written and purchased options will generally move in opposite directions resulting in little or no net impact on our Condensed Consolidated Statements of Operations. All of the written and purchased options in the table above relate to this Altitude CD product.</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Condensed Consolidated Statements of Operations. All of the interest rate swap agreements noted as commercial in the table above with no hedge designation relate to this program.</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following tables illustrate the impact that the derivative financial instruments discussed above have on individual line items in the Condensed Consolidated Statements of Financial Condition for the periods presented: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Fair Values of Derivative Instruments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8"/>
                <w:szCs w:val="18"/>
                <w:color w:val="auto"/>
                <w:w w:val="97"/>
              </w:rPr>
              <w:t>Asset Derivatives</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color w:val="auto"/>
                <w:w w:val="97"/>
              </w:rPr>
              <w:t>Liability Derivatives</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920" w:type="dxa"/>
            <w:vAlign w:val="bottom"/>
            <w:gridSpan w:val="5"/>
          </w:tcPr>
          <w:p>
            <w:pPr>
              <w:ind w:left="380"/>
              <w:spacing w:after="0" w:line="201" w:lineRule="exact"/>
              <w:rPr>
                <w:sz w:val="20"/>
                <w:szCs w:val="20"/>
                <w:color w:val="auto"/>
              </w:rPr>
            </w:pPr>
            <w:r>
              <w:rPr>
                <w:rFonts w:ascii="Arial" w:cs="Arial" w:eastAsia="Arial" w:hAnsi="Arial"/>
                <w:sz w:val="18"/>
                <w:szCs w:val="18"/>
                <w:color w:val="auto"/>
              </w:rPr>
              <w:t>September 30,</w:t>
            </w:r>
          </w:p>
        </w:tc>
        <w:tc>
          <w:tcPr>
            <w:tcW w:w="1800" w:type="dxa"/>
            <w:vAlign w:val="bottom"/>
            <w:gridSpan w:val="5"/>
          </w:tcPr>
          <w:p>
            <w:pPr>
              <w:jc w:val="right"/>
              <w:ind w:right="310"/>
              <w:spacing w:after="0" w:line="201" w:lineRule="exact"/>
              <w:rPr>
                <w:sz w:val="20"/>
                <w:szCs w:val="20"/>
                <w:color w:val="auto"/>
              </w:rPr>
            </w:pPr>
            <w:r>
              <w:rPr>
                <w:rFonts w:ascii="Arial" w:cs="Arial" w:eastAsia="Arial" w:hAnsi="Arial"/>
                <w:sz w:val="18"/>
                <w:szCs w:val="18"/>
                <w:color w:val="auto"/>
              </w:rPr>
              <w:t>December 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4"/>
          </w:tcPr>
          <w:p>
            <w:pPr>
              <w:jc w:val="center"/>
              <w:ind w:right="30"/>
              <w:spacing w:after="0" w:line="201" w:lineRule="exact"/>
              <w:rPr>
                <w:sz w:val="20"/>
                <w:szCs w:val="20"/>
                <w:color w:val="auto"/>
              </w:rPr>
            </w:pPr>
            <w:r>
              <w:rPr>
                <w:rFonts w:ascii="Arial" w:cs="Arial" w:eastAsia="Arial" w:hAnsi="Arial"/>
                <w:sz w:val="18"/>
                <w:szCs w:val="18"/>
                <w:color w:val="auto"/>
                <w:w w:val="88"/>
              </w:rPr>
              <w:t>September 30,</w:t>
            </w:r>
          </w:p>
        </w:tc>
        <w:tc>
          <w:tcPr>
            <w:tcW w:w="1860" w:type="dxa"/>
            <w:vAlign w:val="bottom"/>
            <w:gridSpan w:val="4"/>
          </w:tcPr>
          <w:p>
            <w:pPr>
              <w:ind w:left="420"/>
              <w:spacing w:after="0" w:line="201" w:lineRule="exact"/>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84"/>
              </w:rPr>
              <w:t>2019</w:t>
            </w: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84"/>
              </w:rPr>
              <w:t>2018</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2019</w:t>
            </w:r>
          </w:p>
        </w:tc>
        <w:tc>
          <w:tcPr>
            <w:tcW w:w="820" w:type="dxa"/>
            <w:vAlign w:val="bottom"/>
          </w:tcPr>
          <w:p>
            <w:pPr>
              <w:spacing w:after="0"/>
              <w:rPr>
                <w:sz w:val="20"/>
                <w:szCs w:val="20"/>
                <w:color w:val="auto"/>
              </w:rPr>
            </w:pPr>
          </w:p>
        </w:tc>
        <w:tc>
          <w:tcPr>
            <w:tcW w:w="1160" w:type="dxa"/>
            <w:vAlign w:val="bottom"/>
            <w:gridSpan w:val="3"/>
          </w:tcPr>
          <w:p>
            <w:pPr>
              <w:ind w:left="740"/>
              <w:spacing w:after="0"/>
              <w:rPr>
                <w:sz w:val="20"/>
                <w:szCs w:val="20"/>
                <w:color w:val="auto"/>
              </w:rPr>
            </w:pPr>
            <w:r>
              <w:rPr>
                <w:rFonts w:ascii="Arial" w:cs="Arial" w:eastAsia="Arial" w:hAnsi="Arial"/>
                <w:sz w:val="18"/>
                <w:szCs w:val="18"/>
                <w:color w:val="auto"/>
                <w:w w:val="99"/>
              </w:rPr>
              <w:t>2018</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720" w:type="dxa"/>
            <w:vAlign w:val="bottom"/>
            <w:tcBorders>
              <w:top w:val="single" w:sz="8" w:color="auto"/>
            </w:tcBorders>
          </w:tcPr>
          <w:p>
            <w:pPr>
              <w:jc w:val="center"/>
              <w:ind w:left="50"/>
              <w:spacing w:after="0" w:line="201" w:lineRule="exact"/>
              <w:rPr>
                <w:sz w:val="20"/>
                <w:szCs w:val="20"/>
                <w:color w:val="auto"/>
              </w:rPr>
            </w:pPr>
            <w:r>
              <w:rPr>
                <w:rFonts w:ascii="Arial" w:cs="Arial" w:eastAsia="Arial" w:hAnsi="Arial"/>
                <w:sz w:val="18"/>
                <w:szCs w:val="18"/>
                <w:color w:val="auto"/>
                <w:w w:val="89"/>
              </w:rPr>
              <w:t>Balance</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center"/>
              <w:ind w:left="11"/>
              <w:spacing w:after="0" w:line="201" w:lineRule="exact"/>
              <w:rPr>
                <w:sz w:val="20"/>
                <w:szCs w:val="20"/>
                <w:color w:val="auto"/>
              </w:rPr>
            </w:pPr>
            <w:r>
              <w:rPr>
                <w:rFonts w:ascii="Arial" w:cs="Arial" w:eastAsia="Arial" w:hAnsi="Arial"/>
                <w:sz w:val="18"/>
                <w:szCs w:val="18"/>
                <w:color w:val="auto"/>
                <w:w w:val="89"/>
              </w:rPr>
              <w:t>Balance</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gridSpan w:val="3"/>
          </w:tcPr>
          <w:p>
            <w:pPr>
              <w:ind w:left="160"/>
              <w:spacing w:after="0" w:line="201" w:lineRule="exact"/>
              <w:rPr>
                <w:sz w:val="20"/>
                <w:szCs w:val="20"/>
                <w:color w:val="auto"/>
              </w:rPr>
            </w:pPr>
            <w:r>
              <w:rPr>
                <w:rFonts w:ascii="Arial" w:cs="Arial" w:eastAsia="Arial" w:hAnsi="Arial"/>
                <w:sz w:val="18"/>
                <w:szCs w:val="18"/>
                <w:color w:val="auto"/>
              </w:rPr>
              <w:t>Balance</w:t>
            </w:r>
          </w:p>
        </w:tc>
        <w:tc>
          <w:tcPr>
            <w:tcW w:w="8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3"/>
          </w:tcPr>
          <w:p>
            <w:pPr>
              <w:ind w:left="160"/>
              <w:spacing w:after="0" w:line="201" w:lineRule="exact"/>
              <w:rPr>
                <w:sz w:val="20"/>
                <w:szCs w:val="20"/>
                <w:color w:val="auto"/>
              </w:rPr>
            </w:pPr>
            <w:r>
              <w:rPr>
                <w:rFonts w:ascii="Arial" w:cs="Arial" w:eastAsia="Arial" w:hAnsi="Arial"/>
                <w:sz w:val="18"/>
                <w:szCs w:val="18"/>
                <w:color w:val="auto"/>
              </w:rPr>
              <w:t>Balance</w:t>
            </w: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20" w:type="dxa"/>
            <w:vAlign w:val="bottom"/>
          </w:tcPr>
          <w:p>
            <w:pPr>
              <w:jc w:val="center"/>
              <w:ind w:left="30"/>
              <w:spacing w:after="0"/>
              <w:rPr>
                <w:sz w:val="20"/>
                <w:szCs w:val="20"/>
                <w:color w:val="auto"/>
              </w:rPr>
            </w:pPr>
            <w:r>
              <w:rPr>
                <w:rFonts w:ascii="Arial" w:cs="Arial" w:eastAsia="Arial" w:hAnsi="Arial"/>
                <w:sz w:val="18"/>
                <w:szCs w:val="18"/>
                <w:color w:val="auto"/>
                <w:w w:val="84"/>
              </w:rPr>
              <w:t>Sheet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rPr>
              <w:t>Fair</w:t>
            </w:r>
          </w:p>
        </w:tc>
        <w:tc>
          <w:tcPr>
            <w:tcW w:w="720" w:type="dxa"/>
            <w:vAlign w:val="bottom"/>
          </w:tcPr>
          <w:p>
            <w:pPr>
              <w:jc w:val="center"/>
              <w:ind w:left="31"/>
              <w:spacing w:after="0"/>
              <w:rPr>
                <w:sz w:val="20"/>
                <w:szCs w:val="20"/>
                <w:color w:val="auto"/>
              </w:rPr>
            </w:pPr>
            <w:r>
              <w:rPr>
                <w:rFonts w:ascii="Arial" w:cs="Arial" w:eastAsia="Arial" w:hAnsi="Arial"/>
                <w:sz w:val="18"/>
                <w:szCs w:val="18"/>
                <w:color w:val="auto"/>
                <w:w w:val="84"/>
              </w:rPr>
              <w:t>Sheet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center"/>
              <w:ind w:right="230"/>
              <w:spacing w:after="0"/>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8"/>
                <w:szCs w:val="18"/>
                <w:color w:val="auto"/>
              </w:rPr>
            </w:pPr>
          </w:p>
        </w:tc>
        <w:tc>
          <w:tcPr>
            <w:tcW w:w="1140" w:type="dxa"/>
            <w:vAlign w:val="bottom"/>
            <w:gridSpan w:val="3"/>
          </w:tcPr>
          <w:p>
            <w:pPr>
              <w:ind w:left="240"/>
              <w:spacing w:after="0"/>
              <w:rPr>
                <w:sz w:val="20"/>
                <w:szCs w:val="20"/>
                <w:color w:val="auto"/>
              </w:rPr>
            </w:pPr>
            <w:r>
              <w:rPr>
                <w:rFonts w:ascii="Arial" w:cs="Arial" w:eastAsia="Arial" w:hAnsi="Arial"/>
                <w:sz w:val="18"/>
                <w:szCs w:val="18"/>
                <w:color w:val="auto"/>
              </w:rPr>
              <w:t>Sheet</w:t>
            </w:r>
          </w:p>
        </w:tc>
        <w:tc>
          <w:tcPr>
            <w:tcW w:w="820" w:type="dxa"/>
            <w:vAlign w:val="bottom"/>
          </w:tcPr>
          <w:p>
            <w:pPr>
              <w:jc w:val="right"/>
              <w:ind w:right="330"/>
              <w:spacing w:after="0"/>
              <w:rPr>
                <w:sz w:val="20"/>
                <w:szCs w:val="20"/>
                <w:color w:val="auto"/>
              </w:rPr>
            </w:pPr>
            <w:r>
              <w:rPr>
                <w:rFonts w:ascii="Arial" w:cs="Arial" w:eastAsia="Arial" w:hAnsi="Arial"/>
                <w:sz w:val="18"/>
                <w:szCs w:val="18"/>
                <w:color w:val="auto"/>
              </w:rPr>
              <w:t>Fair</w:t>
            </w:r>
          </w:p>
        </w:tc>
        <w:tc>
          <w:tcPr>
            <w:tcW w:w="1160" w:type="dxa"/>
            <w:vAlign w:val="bottom"/>
            <w:gridSpan w:val="3"/>
          </w:tcPr>
          <w:p>
            <w:pPr>
              <w:ind w:left="240"/>
              <w:spacing w:after="0"/>
              <w:rPr>
                <w:sz w:val="20"/>
                <w:szCs w:val="20"/>
                <w:color w:val="auto"/>
              </w:rPr>
            </w:pPr>
            <w:r>
              <w:rPr>
                <w:rFonts w:ascii="Arial" w:cs="Arial" w:eastAsia="Arial" w:hAnsi="Arial"/>
                <w:sz w:val="18"/>
                <w:szCs w:val="18"/>
                <w:color w:val="auto"/>
              </w:rPr>
              <w:t>Sheet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Fair</w:t>
            </w: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3"/>
              </w:rPr>
              <w:t>Location</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1"/>
              </w:rPr>
              <w:t>Value</w:t>
            </w: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3"/>
              </w:rPr>
              <w:t>Location</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6"/>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Location</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5"/>
              </w:rPr>
              <w:t>Value</w:t>
            </w: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Location</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(In</w:t>
            </w:r>
          </w:p>
        </w:tc>
        <w:tc>
          <w:tcPr>
            <w:tcW w:w="106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w w:val="94"/>
              </w:rPr>
              <w:t>Derivatives designated as hedging instruments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72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jc w:val="right"/>
              <w:ind w:right="231"/>
              <w:spacing w:after="0" w:line="201" w:lineRule="exact"/>
              <w:rPr>
                <w:sz w:val="20"/>
                <w:szCs w:val="20"/>
                <w:color w:val="auto"/>
              </w:rPr>
            </w:pPr>
            <w:r>
              <w:rPr>
                <w:rFonts w:ascii="Arial" w:cs="Arial" w:eastAsia="Arial" w:hAnsi="Arial"/>
                <w:sz w:val="18"/>
                <w:szCs w:val="18"/>
                <w:color w:val="auto"/>
                <w:w w:val="84"/>
              </w:rPr>
              <w:t>Other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4"/>
          </w:tcPr>
          <w:p>
            <w:pPr>
              <w:ind w:left="100"/>
              <w:spacing w:after="0" w:line="201" w:lineRule="exact"/>
              <w:rPr>
                <w:sz w:val="20"/>
                <w:szCs w:val="20"/>
                <w:color w:val="auto"/>
              </w:rPr>
            </w:pPr>
            <w:r>
              <w:rPr>
                <w:rFonts w:ascii="Arial" w:cs="Arial" w:eastAsia="Arial" w:hAnsi="Arial"/>
                <w:sz w:val="18"/>
                <w:szCs w:val="18"/>
                <w:color w:val="auto"/>
              </w:rPr>
              <w:t>Other</w:t>
            </w:r>
          </w:p>
        </w:tc>
        <w:tc>
          <w:tcPr>
            <w:tcW w:w="820" w:type="dxa"/>
            <w:vAlign w:val="bottom"/>
          </w:tcPr>
          <w:p>
            <w:pPr>
              <w:spacing w:after="0"/>
              <w:rPr>
                <w:sz w:val="17"/>
                <w:szCs w:val="17"/>
                <w:color w:val="auto"/>
              </w:rPr>
            </w:pPr>
          </w:p>
        </w:tc>
        <w:tc>
          <w:tcPr>
            <w:tcW w:w="1160" w:type="dxa"/>
            <w:vAlign w:val="bottom"/>
            <w:gridSpan w:val="3"/>
          </w:tcPr>
          <w:p>
            <w:pPr>
              <w:spacing w:after="0" w:line="201" w:lineRule="exact"/>
              <w:rPr>
                <w:sz w:val="20"/>
                <w:szCs w:val="20"/>
                <w:color w:val="auto"/>
              </w:rPr>
            </w:pPr>
            <w:r>
              <w:rPr>
                <w:rFonts w:ascii="Arial" w:cs="Arial" w:eastAsia="Arial" w:hAnsi="Arial"/>
                <w:sz w:val="18"/>
                <w:szCs w:val="18"/>
                <w:color w:val="auto"/>
              </w:rPr>
              <w:t>Other</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Pay-fixed interest rate swap agreements</w:t>
            </w:r>
          </w:p>
        </w:tc>
        <w:tc>
          <w:tcPr>
            <w:tcW w:w="720" w:type="dxa"/>
            <w:vAlign w:val="bottom"/>
          </w:tcPr>
          <w:p>
            <w:pPr>
              <w:ind w:left="160"/>
              <w:spacing w:after="0"/>
              <w:rPr>
                <w:sz w:val="20"/>
                <w:szCs w:val="20"/>
                <w:color w:val="auto"/>
              </w:rPr>
            </w:pPr>
            <w:r>
              <w:rPr>
                <w:rFonts w:ascii="Arial" w:cs="Arial" w:eastAsia="Arial" w:hAnsi="Arial"/>
                <w:sz w:val="18"/>
                <w:szCs w:val="18"/>
                <w:color w:val="auto"/>
              </w:rPr>
              <w:t>assets</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assets</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0"/>
                <w:szCs w:val="20"/>
                <w:color w:val="auto"/>
              </w:rPr>
            </w:pPr>
          </w:p>
        </w:tc>
        <w:tc>
          <w:tcPr>
            <w:tcW w:w="1140" w:type="dxa"/>
            <w:vAlign w:val="bottom"/>
            <w:gridSpan w:val="3"/>
          </w:tcPr>
          <w:p>
            <w:pPr>
              <w:ind w:left="160"/>
              <w:spacing w:after="0"/>
              <w:rPr>
                <w:sz w:val="20"/>
                <w:szCs w:val="20"/>
                <w:color w:val="auto"/>
              </w:rPr>
            </w:pPr>
            <w:r>
              <w:rPr>
                <w:rFonts w:ascii="Arial" w:cs="Arial" w:eastAsia="Arial" w:hAnsi="Arial"/>
                <w:sz w:val="18"/>
                <w:szCs w:val="18"/>
                <w:color w:val="auto"/>
              </w:rPr>
              <w:t>liabilities $</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611</w:t>
            </w:r>
          </w:p>
        </w:tc>
        <w:tc>
          <w:tcPr>
            <w:tcW w:w="1160" w:type="dxa"/>
            <w:vAlign w:val="bottom"/>
            <w:gridSpan w:val="3"/>
          </w:tcPr>
          <w:p>
            <w:pPr>
              <w:ind w:left="160"/>
              <w:spacing w:after="0"/>
              <w:rPr>
                <w:sz w:val="20"/>
                <w:szCs w:val="20"/>
                <w:color w:val="auto"/>
              </w:rPr>
            </w:pPr>
            <w:r>
              <w:rPr>
                <w:rFonts w:ascii="Arial" w:cs="Arial" w:eastAsia="Arial" w:hAnsi="Arial"/>
                <w:sz w:val="18"/>
                <w:szCs w:val="18"/>
                <w:color w:val="auto"/>
              </w:rPr>
              <w:t>liabilities $</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jc w:val="right"/>
              <w:ind w:right="231"/>
              <w:spacing w:after="0" w:line="201" w:lineRule="exact"/>
              <w:rPr>
                <w:sz w:val="20"/>
                <w:szCs w:val="20"/>
                <w:color w:val="auto"/>
              </w:rPr>
            </w:pPr>
            <w:r>
              <w:rPr>
                <w:rFonts w:ascii="Arial" w:cs="Arial" w:eastAsia="Arial" w:hAnsi="Arial"/>
                <w:sz w:val="18"/>
                <w:szCs w:val="18"/>
                <w:color w:val="auto"/>
                <w:w w:val="84"/>
              </w:rPr>
              <w:t>Other</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4"/>
            <w:shd w:val="clear" w:color="auto" w:fill="CCEEFF"/>
          </w:tcPr>
          <w:p>
            <w:pPr>
              <w:ind w:left="100"/>
              <w:spacing w:after="0" w:line="201" w:lineRule="exact"/>
              <w:rPr>
                <w:sz w:val="20"/>
                <w:szCs w:val="20"/>
                <w:color w:val="auto"/>
              </w:rPr>
            </w:pPr>
            <w:r>
              <w:rPr>
                <w:rFonts w:ascii="Arial" w:cs="Arial" w:eastAsia="Arial" w:hAnsi="Arial"/>
                <w:sz w:val="18"/>
                <w:szCs w:val="18"/>
                <w:color w:val="auto"/>
              </w:rPr>
              <w:t>Other</w:t>
            </w:r>
          </w:p>
        </w:tc>
        <w:tc>
          <w:tcPr>
            <w:tcW w:w="820" w:type="dxa"/>
            <w:vAlign w:val="bottom"/>
            <w:tcBorders>
              <w:right w:val="single" w:sz="8" w:color="CCEEFF"/>
            </w:tcBorders>
            <w:shd w:val="clear" w:color="auto" w:fill="CCEEFF"/>
          </w:tcPr>
          <w:p>
            <w:pPr>
              <w:spacing w:after="0"/>
              <w:rPr>
                <w:sz w:val="17"/>
                <w:szCs w:val="17"/>
                <w:color w:val="auto"/>
              </w:rPr>
            </w:pPr>
          </w:p>
        </w:tc>
        <w:tc>
          <w:tcPr>
            <w:tcW w:w="11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rate cap agreements</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w:t>
            </w: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2,245</w:t>
            </w:r>
          </w:p>
        </w:tc>
        <w:tc>
          <w:tcPr>
            <w:tcW w:w="1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8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318</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2,525</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611</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Derivatives not designated as hedging</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instruments</w:t>
            </w: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72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jc w:val="right"/>
              <w:ind w:right="231"/>
              <w:spacing w:after="0" w:line="201" w:lineRule="exact"/>
              <w:rPr>
                <w:sz w:val="20"/>
                <w:szCs w:val="20"/>
                <w:color w:val="auto"/>
              </w:rPr>
            </w:pPr>
            <w:r>
              <w:rPr>
                <w:rFonts w:ascii="Arial" w:cs="Arial" w:eastAsia="Arial" w:hAnsi="Arial"/>
                <w:sz w:val="18"/>
                <w:szCs w:val="18"/>
                <w:color w:val="auto"/>
                <w:w w:val="84"/>
              </w:rPr>
              <w:t>Other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4"/>
          </w:tcPr>
          <w:p>
            <w:pPr>
              <w:ind w:left="100"/>
              <w:spacing w:after="0" w:line="201" w:lineRule="exact"/>
              <w:rPr>
                <w:sz w:val="20"/>
                <w:szCs w:val="20"/>
                <w:color w:val="auto"/>
              </w:rPr>
            </w:pPr>
            <w:r>
              <w:rPr>
                <w:rFonts w:ascii="Arial" w:cs="Arial" w:eastAsia="Arial" w:hAnsi="Arial"/>
                <w:sz w:val="18"/>
                <w:szCs w:val="18"/>
                <w:color w:val="auto"/>
              </w:rPr>
              <w:t>Other</w:t>
            </w:r>
          </w:p>
        </w:tc>
        <w:tc>
          <w:tcPr>
            <w:tcW w:w="820" w:type="dxa"/>
            <w:vAlign w:val="bottom"/>
          </w:tcPr>
          <w:p>
            <w:pPr>
              <w:spacing w:after="0"/>
              <w:rPr>
                <w:sz w:val="17"/>
                <w:szCs w:val="17"/>
                <w:color w:val="auto"/>
              </w:rPr>
            </w:pPr>
          </w:p>
        </w:tc>
        <w:tc>
          <w:tcPr>
            <w:tcW w:w="1160" w:type="dxa"/>
            <w:vAlign w:val="bottom"/>
            <w:gridSpan w:val="3"/>
          </w:tcPr>
          <w:p>
            <w:pPr>
              <w:spacing w:after="0" w:line="201" w:lineRule="exact"/>
              <w:rPr>
                <w:sz w:val="20"/>
                <w:szCs w:val="20"/>
                <w:color w:val="auto"/>
              </w:rPr>
            </w:pPr>
            <w:r>
              <w:rPr>
                <w:rFonts w:ascii="Arial" w:cs="Arial" w:eastAsia="Arial" w:hAnsi="Arial"/>
                <w:sz w:val="18"/>
                <w:szCs w:val="18"/>
                <w:color w:val="auto"/>
              </w:rPr>
              <w:t>Other</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Rate-lock mortgage loan commitments</w:t>
            </w:r>
          </w:p>
        </w:tc>
        <w:tc>
          <w:tcPr>
            <w:tcW w:w="720" w:type="dxa"/>
            <w:vAlign w:val="bottom"/>
          </w:tcPr>
          <w:p>
            <w:pPr>
              <w:ind w:left="160"/>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2,051</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0"/>
                <w:szCs w:val="20"/>
                <w:color w:val="auto"/>
              </w:rPr>
            </w:pPr>
          </w:p>
        </w:tc>
        <w:tc>
          <w:tcPr>
            <w:tcW w:w="1140" w:type="dxa"/>
            <w:vAlign w:val="bottom"/>
            <w:gridSpan w:val="3"/>
          </w:tcPr>
          <w:p>
            <w:pPr>
              <w:ind w:left="160"/>
              <w:spacing w:after="0"/>
              <w:rPr>
                <w:sz w:val="20"/>
                <w:szCs w:val="20"/>
                <w:color w:val="auto"/>
              </w:rPr>
            </w:pPr>
            <w:r>
              <w:rPr>
                <w:rFonts w:ascii="Arial" w:cs="Arial" w:eastAsia="Arial" w:hAnsi="Arial"/>
                <w:sz w:val="18"/>
                <w:szCs w:val="18"/>
                <w:color w:val="auto"/>
              </w:rPr>
              <w:t>liabilities</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3"/>
          </w:tcPr>
          <w:p>
            <w:pPr>
              <w:ind w:left="160"/>
              <w:spacing w:after="0"/>
              <w:rPr>
                <w:sz w:val="20"/>
                <w:szCs w:val="20"/>
                <w:color w:val="auto"/>
              </w:rPr>
            </w:pPr>
            <w:r>
              <w:rPr>
                <w:rFonts w:ascii="Arial" w:cs="Arial" w:eastAsia="Arial" w:hAnsi="Arial"/>
                <w:sz w:val="18"/>
                <w:szCs w:val="18"/>
                <w:color w:val="auto"/>
              </w:rPr>
              <w:t>liabilities</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Mandatory commitments to sell mortgage</w:t>
            </w:r>
          </w:p>
        </w:tc>
        <w:tc>
          <w:tcPr>
            <w:tcW w:w="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jc w:val="right"/>
              <w:ind w:right="231"/>
              <w:spacing w:after="0" w:line="201" w:lineRule="exact"/>
              <w:rPr>
                <w:sz w:val="20"/>
                <w:szCs w:val="20"/>
                <w:color w:val="auto"/>
              </w:rPr>
            </w:pPr>
            <w:r>
              <w:rPr>
                <w:rFonts w:ascii="Arial" w:cs="Arial" w:eastAsia="Arial" w:hAnsi="Arial"/>
                <w:sz w:val="18"/>
                <w:szCs w:val="18"/>
                <w:color w:val="auto"/>
                <w:w w:val="84"/>
              </w:rPr>
              <w:t>Other</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4"/>
            <w:shd w:val="clear" w:color="auto" w:fill="CCEEFF"/>
          </w:tcPr>
          <w:p>
            <w:pPr>
              <w:ind w:left="100"/>
              <w:spacing w:after="0" w:line="201" w:lineRule="exact"/>
              <w:rPr>
                <w:sz w:val="20"/>
                <w:szCs w:val="20"/>
                <w:color w:val="auto"/>
              </w:rPr>
            </w:pPr>
            <w:r>
              <w:rPr>
                <w:rFonts w:ascii="Arial" w:cs="Arial" w:eastAsia="Arial" w:hAnsi="Arial"/>
                <w:sz w:val="18"/>
                <w:szCs w:val="18"/>
                <w:color w:val="auto"/>
              </w:rPr>
              <w:t>Other</w:t>
            </w:r>
          </w:p>
        </w:tc>
        <w:tc>
          <w:tcPr>
            <w:tcW w:w="820" w:type="dxa"/>
            <w:vAlign w:val="bottom"/>
            <w:tcBorders>
              <w:right w:val="single" w:sz="8" w:color="CCEEFF"/>
            </w:tcBorders>
            <w:shd w:val="clear" w:color="auto" w:fill="CCEEFF"/>
          </w:tcPr>
          <w:p>
            <w:pPr>
              <w:spacing w:after="0"/>
              <w:rPr>
                <w:sz w:val="17"/>
                <w:szCs w:val="17"/>
                <w:color w:val="auto"/>
              </w:rPr>
            </w:pPr>
          </w:p>
        </w:tc>
        <w:tc>
          <w:tcPr>
            <w:tcW w:w="11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8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1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r>
      <w:tr>
        <w:trPr>
          <w:trHeight w:val="202"/>
        </w:trPr>
        <w:tc>
          <w:tcPr>
            <w:tcW w:w="20" w:type="dxa"/>
            <w:vAlign w:val="bottom"/>
          </w:tcPr>
          <w:p>
            <w:pPr>
              <w:spacing w:after="0"/>
              <w:rPr>
                <w:sz w:val="17"/>
                <w:szCs w:val="17"/>
                <w:color w:val="auto"/>
              </w:rPr>
            </w:pPr>
          </w:p>
        </w:tc>
        <w:tc>
          <w:tcPr>
            <w:tcW w:w="3540" w:type="dxa"/>
            <w:vAlign w:val="bottom"/>
          </w:tcPr>
          <w:p>
            <w:pPr>
              <w:ind w:left="160"/>
              <w:spacing w:after="0" w:line="201" w:lineRule="exact"/>
              <w:rPr>
                <w:sz w:val="20"/>
                <w:szCs w:val="20"/>
                <w:color w:val="auto"/>
              </w:rPr>
            </w:pPr>
            <w:r>
              <w:rPr>
                <w:rFonts w:ascii="Arial" w:cs="Arial" w:eastAsia="Arial" w:hAnsi="Arial"/>
                <w:sz w:val="18"/>
                <w:szCs w:val="18"/>
                <w:color w:val="auto"/>
              </w:rPr>
              <w:t>Pay-fixed interest rate swap agreements -</w:t>
            </w:r>
          </w:p>
        </w:tc>
        <w:tc>
          <w:tcPr>
            <w:tcW w:w="72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jc w:val="right"/>
              <w:ind w:right="231"/>
              <w:spacing w:after="0" w:line="201" w:lineRule="exact"/>
              <w:rPr>
                <w:sz w:val="20"/>
                <w:szCs w:val="20"/>
                <w:color w:val="auto"/>
              </w:rPr>
            </w:pPr>
            <w:r>
              <w:rPr>
                <w:rFonts w:ascii="Arial" w:cs="Arial" w:eastAsia="Arial" w:hAnsi="Arial"/>
                <w:sz w:val="18"/>
                <w:szCs w:val="18"/>
                <w:color w:val="auto"/>
                <w:w w:val="84"/>
              </w:rPr>
              <w:t>Other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4"/>
          </w:tcPr>
          <w:p>
            <w:pPr>
              <w:ind w:left="100"/>
              <w:spacing w:after="0" w:line="201" w:lineRule="exact"/>
              <w:rPr>
                <w:sz w:val="20"/>
                <w:szCs w:val="20"/>
                <w:color w:val="auto"/>
              </w:rPr>
            </w:pPr>
            <w:r>
              <w:rPr>
                <w:rFonts w:ascii="Arial" w:cs="Arial" w:eastAsia="Arial" w:hAnsi="Arial"/>
                <w:sz w:val="18"/>
                <w:szCs w:val="18"/>
                <w:color w:val="auto"/>
              </w:rPr>
              <w:t>Other</w:t>
            </w:r>
          </w:p>
        </w:tc>
        <w:tc>
          <w:tcPr>
            <w:tcW w:w="820" w:type="dxa"/>
            <w:vAlign w:val="bottom"/>
          </w:tcPr>
          <w:p>
            <w:pPr>
              <w:spacing w:after="0"/>
              <w:rPr>
                <w:sz w:val="17"/>
                <w:szCs w:val="17"/>
                <w:color w:val="auto"/>
              </w:rPr>
            </w:pPr>
          </w:p>
        </w:tc>
        <w:tc>
          <w:tcPr>
            <w:tcW w:w="1160" w:type="dxa"/>
            <w:vAlign w:val="bottom"/>
            <w:gridSpan w:val="3"/>
          </w:tcPr>
          <w:p>
            <w:pPr>
              <w:spacing w:after="0" w:line="201" w:lineRule="exact"/>
              <w:rPr>
                <w:sz w:val="20"/>
                <w:szCs w:val="20"/>
                <w:color w:val="auto"/>
              </w:rPr>
            </w:pPr>
            <w:r>
              <w:rPr>
                <w:rFonts w:ascii="Arial" w:cs="Arial" w:eastAsia="Arial" w:hAnsi="Arial"/>
                <w:sz w:val="18"/>
                <w:szCs w:val="18"/>
                <w:color w:val="auto"/>
              </w:rPr>
              <w:t>Other</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320"/>
              <w:spacing w:after="0"/>
              <w:rPr>
                <w:sz w:val="20"/>
                <w:szCs w:val="20"/>
                <w:color w:val="auto"/>
              </w:rPr>
            </w:pPr>
            <w:r>
              <w:rPr>
                <w:rFonts w:ascii="Arial" w:cs="Arial" w:eastAsia="Arial" w:hAnsi="Arial"/>
                <w:sz w:val="18"/>
                <w:szCs w:val="18"/>
                <w:color w:val="auto"/>
              </w:rPr>
              <w:t>commercial</w:t>
            </w:r>
          </w:p>
        </w:tc>
        <w:tc>
          <w:tcPr>
            <w:tcW w:w="720" w:type="dxa"/>
            <w:vAlign w:val="bottom"/>
          </w:tcPr>
          <w:p>
            <w:pPr>
              <w:ind w:left="160"/>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20"/>
                <w:szCs w:val="20"/>
                <w:color w:val="auto"/>
              </w:rPr>
            </w:pPr>
          </w:p>
        </w:tc>
        <w:tc>
          <w:tcPr>
            <w:tcW w:w="1140" w:type="dxa"/>
            <w:vAlign w:val="bottom"/>
            <w:gridSpan w:val="3"/>
          </w:tcPr>
          <w:p>
            <w:pPr>
              <w:ind w:left="160"/>
              <w:spacing w:after="0"/>
              <w:rPr>
                <w:sz w:val="20"/>
                <w:szCs w:val="20"/>
                <w:color w:val="auto"/>
              </w:rPr>
            </w:pPr>
            <w:r>
              <w:rPr>
                <w:rFonts w:ascii="Arial" w:cs="Arial" w:eastAsia="Arial" w:hAnsi="Arial"/>
                <w:sz w:val="18"/>
                <w:szCs w:val="18"/>
                <w:color w:val="auto"/>
              </w:rPr>
              <w:t>liabilities</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4,872</w:t>
            </w:r>
          </w:p>
        </w:tc>
        <w:tc>
          <w:tcPr>
            <w:tcW w:w="1160" w:type="dxa"/>
            <w:vAlign w:val="bottom"/>
            <w:gridSpan w:val="3"/>
          </w:tcPr>
          <w:p>
            <w:pPr>
              <w:ind w:left="160"/>
              <w:spacing w:after="0"/>
              <w:rPr>
                <w:sz w:val="20"/>
                <w:szCs w:val="20"/>
                <w:color w:val="auto"/>
              </w:rPr>
            </w:pPr>
            <w:r>
              <w:rPr>
                <w:rFonts w:ascii="Arial" w:cs="Arial" w:eastAsia="Arial" w:hAnsi="Arial"/>
                <w:sz w:val="18"/>
                <w:szCs w:val="18"/>
                <w:color w:val="auto"/>
              </w:rPr>
              <w:t>liabilities</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711</w:t>
            </w: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Pay-variable interest rate swap agreements -</w:t>
            </w:r>
          </w:p>
        </w:tc>
        <w:tc>
          <w:tcPr>
            <w:tcW w:w="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jc w:val="right"/>
              <w:ind w:right="231"/>
              <w:spacing w:after="0" w:line="201" w:lineRule="exact"/>
              <w:rPr>
                <w:sz w:val="20"/>
                <w:szCs w:val="20"/>
                <w:color w:val="auto"/>
              </w:rPr>
            </w:pPr>
            <w:r>
              <w:rPr>
                <w:rFonts w:ascii="Arial" w:cs="Arial" w:eastAsia="Arial" w:hAnsi="Arial"/>
                <w:sz w:val="18"/>
                <w:szCs w:val="18"/>
                <w:color w:val="auto"/>
                <w:w w:val="84"/>
              </w:rPr>
              <w:t>Other</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4"/>
            <w:shd w:val="clear" w:color="auto" w:fill="CCEEFF"/>
          </w:tcPr>
          <w:p>
            <w:pPr>
              <w:ind w:left="100"/>
              <w:spacing w:after="0" w:line="201" w:lineRule="exact"/>
              <w:rPr>
                <w:sz w:val="20"/>
                <w:szCs w:val="20"/>
                <w:color w:val="auto"/>
              </w:rPr>
            </w:pPr>
            <w:r>
              <w:rPr>
                <w:rFonts w:ascii="Arial" w:cs="Arial" w:eastAsia="Arial" w:hAnsi="Arial"/>
                <w:sz w:val="18"/>
                <w:szCs w:val="18"/>
                <w:color w:val="auto"/>
              </w:rPr>
              <w:t>Other</w:t>
            </w:r>
          </w:p>
        </w:tc>
        <w:tc>
          <w:tcPr>
            <w:tcW w:w="820" w:type="dxa"/>
            <w:vAlign w:val="bottom"/>
            <w:tcBorders>
              <w:right w:val="single" w:sz="8" w:color="CCEEFF"/>
            </w:tcBorders>
            <w:shd w:val="clear" w:color="auto" w:fill="CCEEFF"/>
          </w:tcPr>
          <w:p>
            <w:pPr>
              <w:spacing w:after="0"/>
              <w:rPr>
                <w:sz w:val="17"/>
                <w:szCs w:val="17"/>
                <w:color w:val="auto"/>
              </w:rPr>
            </w:pPr>
          </w:p>
        </w:tc>
        <w:tc>
          <w:tcPr>
            <w:tcW w:w="11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4,872</w:t>
            </w: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8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1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w:t>
            </w:r>
          </w:p>
        </w:tc>
      </w:tr>
      <w:tr>
        <w:trPr>
          <w:trHeight w:val="202"/>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72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jc w:val="right"/>
              <w:ind w:right="231"/>
              <w:spacing w:after="0" w:line="201" w:lineRule="exact"/>
              <w:rPr>
                <w:sz w:val="20"/>
                <w:szCs w:val="20"/>
                <w:color w:val="auto"/>
              </w:rPr>
            </w:pPr>
            <w:r>
              <w:rPr>
                <w:rFonts w:ascii="Arial" w:cs="Arial" w:eastAsia="Arial" w:hAnsi="Arial"/>
                <w:sz w:val="18"/>
                <w:szCs w:val="18"/>
                <w:color w:val="auto"/>
                <w:w w:val="84"/>
              </w:rPr>
              <w:t>Other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4"/>
          </w:tcPr>
          <w:p>
            <w:pPr>
              <w:ind w:left="100"/>
              <w:spacing w:after="0" w:line="201" w:lineRule="exact"/>
              <w:rPr>
                <w:sz w:val="20"/>
                <w:szCs w:val="20"/>
                <w:color w:val="auto"/>
              </w:rPr>
            </w:pPr>
            <w:r>
              <w:rPr>
                <w:rFonts w:ascii="Arial" w:cs="Arial" w:eastAsia="Arial" w:hAnsi="Arial"/>
                <w:sz w:val="18"/>
                <w:szCs w:val="18"/>
                <w:color w:val="auto"/>
              </w:rPr>
              <w:t>Other</w:t>
            </w:r>
          </w:p>
        </w:tc>
        <w:tc>
          <w:tcPr>
            <w:tcW w:w="820" w:type="dxa"/>
            <w:vAlign w:val="bottom"/>
          </w:tcPr>
          <w:p>
            <w:pPr>
              <w:spacing w:after="0"/>
              <w:rPr>
                <w:sz w:val="17"/>
                <w:szCs w:val="17"/>
                <w:color w:val="auto"/>
              </w:rPr>
            </w:pPr>
          </w:p>
        </w:tc>
        <w:tc>
          <w:tcPr>
            <w:tcW w:w="1160" w:type="dxa"/>
            <w:vAlign w:val="bottom"/>
            <w:gridSpan w:val="3"/>
          </w:tcPr>
          <w:p>
            <w:pPr>
              <w:spacing w:after="0" w:line="201" w:lineRule="exact"/>
              <w:rPr>
                <w:sz w:val="20"/>
                <w:szCs w:val="20"/>
                <w:color w:val="auto"/>
              </w:rPr>
            </w:pPr>
            <w:r>
              <w:rPr>
                <w:rFonts w:ascii="Arial" w:cs="Arial" w:eastAsia="Arial" w:hAnsi="Arial"/>
                <w:sz w:val="18"/>
                <w:szCs w:val="18"/>
                <w:color w:val="auto"/>
              </w:rPr>
              <w:t>Other</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Purchased options</w:t>
            </w:r>
          </w:p>
        </w:tc>
        <w:tc>
          <w:tcPr>
            <w:tcW w:w="720" w:type="dxa"/>
            <w:vAlign w:val="bottom"/>
          </w:tcPr>
          <w:p>
            <w:pPr>
              <w:ind w:left="160"/>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1140" w:type="dxa"/>
            <w:vAlign w:val="bottom"/>
            <w:gridSpan w:val="3"/>
          </w:tcPr>
          <w:p>
            <w:pPr>
              <w:ind w:left="160"/>
              <w:spacing w:after="0"/>
              <w:rPr>
                <w:sz w:val="20"/>
                <w:szCs w:val="20"/>
                <w:color w:val="auto"/>
              </w:rPr>
            </w:pPr>
            <w:r>
              <w:rPr>
                <w:rFonts w:ascii="Arial" w:cs="Arial" w:eastAsia="Arial" w:hAnsi="Arial"/>
                <w:sz w:val="18"/>
                <w:szCs w:val="18"/>
                <w:color w:val="auto"/>
              </w:rPr>
              <w:t>liabilities</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3"/>
          </w:tcPr>
          <w:p>
            <w:pPr>
              <w:ind w:left="160"/>
              <w:spacing w:after="0"/>
              <w:rPr>
                <w:sz w:val="20"/>
                <w:szCs w:val="20"/>
                <w:color w:val="auto"/>
              </w:rPr>
            </w:pPr>
            <w:r>
              <w:rPr>
                <w:rFonts w:ascii="Arial" w:cs="Arial" w:eastAsia="Arial" w:hAnsi="Arial"/>
                <w:sz w:val="18"/>
                <w:szCs w:val="18"/>
                <w:color w:val="auto"/>
              </w:rPr>
              <w:t>liabilities</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jc w:val="right"/>
              <w:ind w:right="231"/>
              <w:spacing w:after="0" w:line="201" w:lineRule="exact"/>
              <w:rPr>
                <w:sz w:val="20"/>
                <w:szCs w:val="20"/>
                <w:color w:val="auto"/>
              </w:rPr>
            </w:pPr>
            <w:r>
              <w:rPr>
                <w:rFonts w:ascii="Arial" w:cs="Arial" w:eastAsia="Arial" w:hAnsi="Arial"/>
                <w:sz w:val="18"/>
                <w:szCs w:val="18"/>
                <w:color w:val="auto"/>
                <w:w w:val="84"/>
              </w:rPr>
              <w:t>Other</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4"/>
            <w:shd w:val="clear" w:color="auto" w:fill="CCEEFF"/>
          </w:tcPr>
          <w:p>
            <w:pPr>
              <w:ind w:left="100"/>
              <w:spacing w:after="0" w:line="201" w:lineRule="exact"/>
              <w:rPr>
                <w:sz w:val="20"/>
                <w:szCs w:val="20"/>
                <w:color w:val="auto"/>
              </w:rPr>
            </w:pPr>
            <w:r>
              <w:rPr>
                <w:rFonts w:ascii="Arial" w:cs="Arial" w:eastAsia="Arial" w:hAnsi="Arial"/>
                <w:sz w:val="18"/>
                <w:szCs w:val="18"/>
                <w:color w:val="auto"/>
              </w:rPr>
              <w:t>Other</w:t>
            </w:r>
          </w:p>
        </w:tc>
        <w:tc>
          <w:tcPr>
            <w:tcW w:w="820" w:type="dxa"/>
            <w:vAlign w:val="bottom"/>
            <w:tcBorders>
              <w:right w:val="single" w:sz="8" w:color="CCEEFF"/>
            </w:tcBorders>
            <w:shd w:val="clear" w:color="auto" w:fill="CCEEFF"/>
          </w:tcPr>
          <w:p>
            <w:pPr>
              <w:spacing w:after="0"/>
              <w:rPr>
                <w:sz w:val="17"/>
                <w:szCs w:val="17"/>
                <w:color w:val="auto"/>
              </w:rPr>
            </w:pPr>
          </w:p>
        </w:tc>
        <w:tc>
          <w:tcPr>
            <w:tcW w:w="11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Written options</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8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1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r>
      <w:tr>
        <w:trPr>
          <w:trHeight w:val="27"/>
        </w:trPr>
        <w:tc>
          <w:tcPr>
            <w:tcW w:w="20" w:type="dxa"/>
            <w:vAlign w:val="bottom"/>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7,071</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2,630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5,046</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2,326</w:t>
            </w:r>
          </w:p>
        </w:tc>
      </w:tr>
      <w:tr>
        <w:trPr>
          <w:trHeight w:val="257"/>
        </w:trPr>
        <w:tc>
          <w:tcPr>
            <w:tcW w:w="20" w:type="dxa"/>
            <w:vAlign w:val="bottom"/>
          </w:tcPr>
          <w:p>
            <w:pPr>
              <w:spacing w:after="0"/>
              <w:rPr>
                <w:sz w:val="22"/>
                <w:szCs w:val="22"/>
                <w:color w:val="auto"/>
              </w:rPr>
            </w:pPr>
          </w:p>
        </w:tc>
        <w:tc>
          <w:tcPr>
            <w:tcW w:w="35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derivatives</w:t>
            </w:r>
          </w:p>
        </w:tc>
        <w:tc>
          <w:tcPr>
            <w:tcW w:w="7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7,389</w:t>
            </w:r>
          </w:p>
        </w:tc>
        <w:tc>
          <w:tcPr>
            <w:tcW w:w="7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5,155</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5,657</w:t>
            </w:r>
          </w:p>
        </w:tc>
        <w:tc>
          <w:tcPr>
            <w:tcW w:w="940" w:type="dxa"/>
            <w:vAlign w:val="bottom"/>
            <w:tcBorders>
              <w:bottom w:val="single" w:sz="8" w:color="CCEEFF"/>
            </w:tcBorders>
            <w:gridSpan w:val="2"/>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89"/>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jc w:val="right"/>
              <w:ind w:right="331"/>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The effect of derivative financial instruments on the Condensed Consolidated Statements of Operations follows:</w:t>
      </w:r>
    </w:p>
    <w:p>
      <w:pPr>
        <w:spacing w:after="0" w:line="24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Three Month Periods Ended September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6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Location of</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Gain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Reclassified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from</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left="50"/>
              <w:spacing w:after="0"/>
              <w:rPr>
                <w:sz w:val="20"/>
                <w:szCs w:val="20"/>
                <w:color w:val="auto"/>
              </w:rPr>
            </w:pPr>
            <w:r>
              <w:rPr>
                <w:rFonts w:ascii="Arial" w:cs="Arial" w:eastAsia="Arial" w:hAnsi="Arial"/>
                <w:sz w:val="18"/>
                <w:szCs w:val="18"/>
                <w:color w:val="auto"/>
                <w:w w:val="92"/>
              </w:rPr>
              <w:t>Gain (Loss)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4"/>
          </w:tcPr>
          <w:p>
            <w:pPr>
              <w:jc w:val="center"/>
              <w:ind w:left="410"/>
              <w:spacing w:after="0"/>
              <w:rPr>
                <w:sz w:val="20"/>
                <w:szCs w:val="20"/>
                <w:color w:val="auto"/>
              </w:rPr>
            </w:pPr>
            <w:r>
              <w:rPr>
                <w:rFonts w:ascii="Arial" w:cs="Arial" w:eastAsia="Arial" w:hAnsi="Arial"/>
                <w:sz w:val="18"/>
                <w:szCs w:val="18"/>
                <w:color w:val="auto"/>
                <w:w w:val="94"/>
              </w:rPr>
              <w:t>Gain</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left="30"/>
              <w:spacing w:after="0"/>
              <w:rPr>
                <w:sz w:val="20"/>
                <w:szCs w:val="20"/>
                <w:color w:val="auto"/>
              </w:rPr>
            </w:pPr>
            <w:r>
              <w:rPr>
                <w:rFonts w:ascii="Arial" w:cs="Arial" w:eastAsia="Arial" w:hAnsi="Arial"/>
                <w:sz w:val="18"/>
                <w:szCs w:val="18"/>
                <w:color w:val="auto"/>
                <w:w w:val="91"/>
              </w:rPr>
              <w:t>Recognized in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Other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6"/>
          </w:tcPr>
          <w:p>
            <w:pPr>
              <w:jc w:val="center"/>
              <w:ind w:right="180"/>
              <w:spacing w:after="0"/>
              <w:rPr>
                <w:sz w:val="20"/>
                <w:szCs w:val="20"/>
                <w:color w:val="auto"/>
              </w:rPr>
            </w:pPr>
            <w:r>
              <w:rPr>
                <w:rFonts w:ascii="Arial" w:cs="Arial" w:eastAsia="Arial" w:hAnsi="Arial"/>
                <w:sz w:val="18"/>
                <w:szCs w:val="18"/>
                <w:color w:val="auto"/>
                <w:w w:val="92"/>
              </w:rPr>
              <w:t>Reclassified from</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left="50"/>
              <w:spacing w:after="0"/>
              <w:rPr>
                <w:sz w:val="20"/>
                <w:szCs w:val="20"/>
                <w:color w:val="auto"/>
              </w:rPr>
            </w:pPr>
            <w:r>
              <w:rPr>
                <w:rFonts w:ascii="Arial" w:cs="Arial" w:eastAsia="Arial" w:hAnsi="Arial"/>
                <w:sz w:val="18"/>
                <w:szCs w:val="18"/>
                <w:color w:val="auto"/>
                <w:w w:val="93"/>
              </w:rPr>
              <w:t>Other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Comprehensive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6"/>
          </w:tcPr>
          <w:p>
            <w:pPr>
              <w:jc w:val="center"/>
              <w:ind w:right="160"/>
              <w:spacing w:after="0"/>
              <w:rPr>
                <w:sz w:val="20"/>
                <w:szCs w:val="20"/>
                <w:color w:val="auto"/>
              </w:rPr>
            </w:pPr>
            <w:r>
              <w:rPr>
                <w:rFonts w:ascii="Arial" w:cs="Arial" w:eastAsia="Arial" w:hAnsi="Arial"/>
                <w:sz w:val="18"/>
                <w:szCs w:val="18"/>
                <w:color w:val="auto"/>
                <w:w w:val="92"/>
              </w:rPr>
              <w:t>Accumulated Other</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left="50"/>
              <w:spacing w:after="0"/>
              <w:rPr>
                <w:sz w:val="20"/>
                <w:szCs w:val="20"/>
                <w:color w:val="auto"/>
              </w:rPr>
            </w:pPr>
            <w:r>
              <w:rPr>
                <w:rFonts w:ascii="Arial" w:cs="Arial" w:eastAsia="Arial" w:hAnsi="Arial"/>
                <w:sz w:val="18"/>
                <w:szCs w:val="18"/>
                <w:color w:val="auto"/>
                <w:w w:val="90"/>
              </w:rPr>
              <w:t>Comprehensive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Loss into</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6"/>
          </w:tcPr>
          <w:p>
            <w:pPr>
              <w:jc w:val="center"/>
              <w:ind w:right="180"/>
              <w:spacing w:after="0"/>
              <w:rPr>
                <w:sz w:val="20"/>
                <w:szCs w:val="20"/>
                <w:color w:val="auto"/>
              </w:rPr>
            </w:pPr>
            <w:r>
              <w:rPr>
                <w:rFonts w:ascii="Arial" w:cs="Arial" w:eastAsia="Arial" w:hAnsi="Arial"/>
                <w:sz w:val="18"/>
                <w:szCs w:val="18"/>
                <w:color w:val="auto"/>
                <w:w w:val="88"/>
              </w:rPr>
              <w:t>Comprehensive</w:t>
            </w:r>
          </w:p>
        </w:tc>
        <w:tc>
          <w:tcPr>
            <w:tcW w:w="60" w:type="dxa"/>
            <w:vAlign w:val="bottom"/>
          </w:tcPr>
          <w:p>
            <w:pPr>
              <w:spacing w:after="0"/>
              <w:rPr>
                <w:sz w:val="18"/>
                <w:szCs w:val="18"/>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Location of</w:t>
            </w:r>
          </w:p>
        </w:tc>
        <w:tc>
          <w:tcPr>
            <w:tcW w:w="140" w:type="dxa"/>
            <w:vAlign w:val="bottom"/>
          </w:tcPr>
          <w:p>
            <w:pPr>
              <w:spacing w:after="0"/>
              <w:rPr>
                <w:sz w:val="18"/>
                <w:szCs w:val="18"/>
                <w:color w:val="auto"/>
              </w:rPr>
            </w:pPr>
          </w:p>
        </w:tc>
        <w:tc>
          <w:tcPr>
            <w:tcW w:w="1600" w:type="dxa"/>
            <w:vAlign w:val="bottom"/>
            <w:gridSpan w:val="5"/>
          </w:tcPr>
          <w:p>
            <w:pPr>
              <w:jc w:val="center"/>
              <w:ind w:right="240"/>
              <w:spacing w:after="0"/>
              <w:rPr>
                <w:sz w:val="20"/>
                <w:szCs w:val="20"/>
                <w:color w:val="auto"/>
              </w:rPr>
            </w:pPr>
            <w:r>
              <w:rPr>
                <w:rFonts w:ascii="Arial" w:cs="Arial" w:eastAsia="Arial" w:hAnsi="Arial"/>
                <w:sz w:val="18"/>
                <w:szCs w:val="18"/>
                <w:color w:val="auto"/>
                <w:w w:val="90"/>
              </w:rPr>
              <w:t>Gain (Loss)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left="30"/>
              <w:spacing w:after="0"/>
              <w:rPr>
                <w:sz w:val="20"/>
                <w:szCs w:val="20"/>
                <w:color w:val="auto"/>
              </w:rPr>
            </w:pPr>
            <w:r>
              <w:rPr>
                <w:rFonts w:ascii="Arial" w:cs="Arial" w:eastAsia="Arial" w:hAnsi="Arial"/>
                <w:sz w:val="18"/>
                <w:szCs w:val="18"/>
                <w:color w:val="auto"/>
                <w:w w:val="91"/>
              </w:rPr>
              <w:t>Income (Loss)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Income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6"/>
          </w:tcPr>
          <w:p>
            <w:pPr>
              <w:jc w:val="center"/>
              <w:ind w:right="180"/>
              <w:spacing w:after="0"/>
              <w:rPr>
                <w:sz w:val="20"/>
                <w:szCs w:val="20"/>
                <w:color w:val="auto"/>
              </w:rPr>
            </w:pPr>
            <w:r>
              <w:rPr>
                <w:rFonts w:ascii="Arial" w:cs="Arial" w:eastAsia="Arial" w:hAnsi="Arial"/>
                <w:sz w:val="18"/>
                <w:szCs w:val="18"/>
                <w:color w:val="auto"/>
                <w:w w:val="91"/>
              </w:rPr>
              <w:t>Loss into Income</w:t>
            </w:r>
          </w:p>
        </w:tc>
        <w:tc>
          <w:tcPr>
            <w:tcW w:w="60" w:type="dxa"/>
            <w:vAlign w:val="bottom"/>
          </w:tcPr>
          <w:p>
            <w:pPr>
              <w:spacing w:after="0"/>
              <w:rPr>
                <w:sz w:val="18"/>
                <w:szCs w:val="18"/>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Gain (Loss)</w:t>
            </w:r>
          </w:p>
        </w:tc>
        <w:tc>
          <w:tcPr>
            <w:tcW w:w="140" w:type="dxa"/>
            <w:vAlign w:val="bottom"/>
          </w:tcPr>
          <w:p>
            <w:pPr>
              <w:spacing w:after="0"/>
              <w:rPr>
                <w:sz w:val="18"/>
                <w:szCs w:val="18"/>
                <w:color w:val="auto"/>
              </w:rPr>
            </w:pPr>
          </w:p>
        </w:tc>
        <w:tc>
          <w:tcPr>
            <w:tcW w:w="1600" w:type="dxa"/>
            <w:vAlign w:val="bottom"/>
            <w:gridSpan w:val="5"/>
          </w:tcPr>
          <w:p>
            <w:pPr>
              <w:jc w:val="center"/>
              <w:ind w:right="240"/>
              <w:spacing w:after="0"/>
              <w:rPr>
                <w:sz w:val="20"/>
                <w:szCs w:val="20"/>
                <w:color w:val="auto"/>
              </w:rPr>
            </w:pPr>
            <w:r>
              <w:rPr>
                <w:rFonts w:ascii="Arial" w:cs="Arial" w:eastAsia="Arial" w:hAnsi="Arial"/>
                <w:sz w:val="18"/>
                <w:szCs w:val="18"/>
                <w:color w:val="auto"/>
                <w:w w:val="88"/>
              </w:rPr>
              <w:t>Recognized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5"/>
          </w:tcPr>
          <w:p>
            <w:pPr>
              <w:jc w:val="center"/>
              <w:ind w:right="240"/>
              <w:spacing w:after="0"/>
              <w:rPr>
                <w:sz w:val="20"/>
                <w:szCs w:val="20"/>
                <w:color w:val="auto"/>
              </w:rPr>
            </w:pPr>
            <w:r>
              <w:rPr>
                <w:rFonts w:ascii="Arial" w:cs="Arial" w:eastAsia="Arial" w:hAnsi="Arial"/>
                <w:sz w:val="18"/>
                <w:szCs w:val="18"/>
                <w:color w:val="auto"/>
                <w:w w:val="95"/>
              </w:rPr>
              <w:t>(Effective Portion)</w:t>
            </w:r>
          </w:p>
        </w:tc>
        <w:tc>
          <w:tcPr>
            <w:tcW w:w="1160" w:type="dxa"/>
            <w:vAlign w:val="bottom"/>
          </w:tcPr>
          <w:p>
            <w:pPr>
              <w:jc w:val="center"/>
              <w:spacing w:after="0"/>
              <w:rPr>
                <w:sz w:val="20"/>
                <w:szCs w:val="20"/>
                <w:color w:val="auto"/>
              </w:rPr>
            </w:pPr>
            <w:r>
              <w:rPr>
                <w:rFonts w:ascii="Arial" w:cs="Arial" w:eastAsia="Arial" w:hAnsi="Arial"/>
                <w:sz w:val="18"/>
                <w:szCs w:val="18"/>
                <w:color w:val="auto"/>
                <w:w w:val="95"/>
              </w:rPr>
              <w:t>(Effective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6"/>
          </w:tcPr>
          <w:p>
            <w:pPr>
              <w:jc w:val="center"/>
              <w:ind w:right="180"/>
              <w:spacing w:after="0"/>
              <w:rPr>
                <w:sz w:val="20"/>
                <w:szCs w:val="20"/>
                <w:color w:val="auto"/>
              </w:rPr>
            </w:pPr>
            <w:r>
              <w:rPr>
                <w:rFonts w:ascii="Arial" w:cs="Arial" w:eastAsia="Arial" w:hAnsi="Arial"/>
                <w:sz w:val="18"/>
                <w:szCs w:val="18"/>
                <w:color w:val="auto"/>
                <w:w w:val="95"/>
              </w:rPr>
              <w:t>(Effective Portion)</w:t>
            </w:r>
          </w:p>
        </w:tc>
        <w:tc>
          <w:tcPr>
            <w:tcW w:w="60" w:type="dxa"/>
            <w:vAlign w:val="bottom"/>
          </w:tcPr>
          <w:p>
            <w:pPr>
              <w:spacing w:after="0"/>
              <w:rPr>
                <w:sz w:val="20"/>
                <w:szCs w:val="20"/>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Recognized</w:t>
            </w:r>
          </w:p>
        </w:tc>
        <w:tc>
          <w:tcPr>
            <w:tcW w:w="140" w:type="dxa"/>
            <w:vAlign w:val="bottom"/>
          </w:tcPr>
          <w:p>
            <w:pPr>
              <w:spacing w:after="0"/>
              <w:rPr>
                <w:sz w:val="20"/>
                <w:szCs w:val="20"/>
                <w:color w:val="auto"/>
              </w:rPr>
            </w:pPr>
          </w:p>
        </w:tc>
        <w:tc>
          <w:tcPr>
            <w:tcW w:w="1600" w:type="dxa"/>
            <w:vAlign w:val="bottom"/>
            <w:gridSpan w:val="5"/>
          </w:tcPr>
          <w:p>
            <w:pPr>
              <w:jc w:val="center"/>
              <w:ind w:right="220"/>
              <w:spacing w:after="0"/>
              <w:rPr>
                <w:sz w:val="20"/>
                <w:szCs w:val="20"/>
                <w:color w:val="auto"/>
              </w:rPr>
            </w:pPr>
            <w:r>
              <w:rPr>
                <w:rFonts w:ascii="Arial" w:cs="Arial" w:eastAsia="Arial" w:hAnsi="Arial"/>
                <w:sz w:val="18"/>
                <w:szCs w:val="18"/>
                <w:color w:val="auto"/>
                <w:w w:val="93"/>
              </w:rPr>
              <w:t>in Income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2019</w:t>
            </w: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5"/>
              </w:rPr>
              <w:t>Portion)</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in Income (1)</w:t>
            </w: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2019</w:t>
            </w: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4"/>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gridSpan w:val="2"/>
          </w:tcPr>
          <w:p>
            <w:pPr>
              <w:spacing w:after="0"/>
              <w:rPr>
                <w:sz w:val="2"/>
                <w:szCs w:val="2"/>
                <w:color w:val="auto"/>
              </w:rPr>
            </w:pPr>
          </w:p>
        </w:tc>
        <w:tc>
          <w:tcPr>
            <w:tcW w:w="78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40" w:type="dxa"/>
            <w:vAlign w:val="bottom"/>
            <w:gridSpan w:val="2"/>
            <w:vMerge w:val="restart"/>
          </w:tcPr>
          <w:p>
            <w:pPr>
              <w:spacing w:after="0"/>
              <w:rPr>
                <w:sz w:val="20"/>
                <w:szCs w:val="20"/>
                <w:color w:val="auto"/>
              </w:rPr>
            </w:pPr>
            <w:r>
              <w:rPr>
                <w:rFonts w:ascii="Arial" w:cs="Arial" w:eastAsia="Arial" w:hAnsi="Arial"/>
                <w:sz w:val="18"/>
                <w:szCs w:val="18"/>
                <w:color w:val="auto"/>
              </w:rPr>
              <w:t>Fair Value Hedges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6"/>
          </w:tcPr>
          <w:p>
            <w:pPr>
              <w:jc w:val="right"/>
              <w:ind w:right="480"/>
              <w:spacing w:after="0"/>
              <w:rPr>
                <w:sz w:val="20"/>
                <w:szCs w:val="20"/>
                <w:color w:val="auto"/>
              </w:rPr>
            </w:pPr>
            <w:r>
              <w:rPr>
                <w:rFonts w:ascii="Arial" w:cs="Arial" w:eastAsia="Arial" w:hAnsi="Arial"/>
                <w:sz w:val="18"/>
                <w:szCs w:val="18"/>
                <w:color w:val="auto"/>
              </w:rPr>
              <w:t>(In thousands)</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4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ind w:left="60"/>
              <w:spacing w:after="0" w:line="201" w:lineRule="exact"/>
              <w:rPr>
                <w:sz w:val="20"/>
                <w:szCs w:val="20"/>
                <w:color w:val="auto"/>
              </w:rPr>
            </w:pPr>
            <w:r>
              <w:rPr>
                <w:rFonts w:ascii="Arial" w:cs="Arial" w:eastAsia="Arial" w:hAnsi="Arial"/>
                <w:sz w:val="18"/>
                <w:szCs w:val="18"/>
                <w:color w:val="auto"/>
              </w:rPr>
              <w:t>Non-interest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Pay-fixed interest rate swap agreements</w:t>
            </w: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 Hedges</w:t>
            </w: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ind w:left="60"/>
              <w:spacing w:after="0" w:line="201" w:lineRule="exact"/>
              <w:rPr>
                <w:sz w:val="20"/>
                <w:szCs w:val="20"/>
                <w:color w:val="auto"/>
              </w:rPr>
            </w:pPr>
            <w:r>
              <w:rPr>
                <w:rFonts w:ascii="Arial" w:cs="Arial" w:eastAsia="Arial" w:hAnsi="Arial"/>
                <w:sz w:val="18"/>
                <w:szCs w:val="18"/>
                <w:color w:val="auto"/>
              </w:rPr>
              <w:t>Interest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rate cap agreements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(37)</w:t>
            </w:r>
          </w:p>
        </w:tc>
        <w:tc>
          <w:tcPr>
            <w:tcW w:w="480" w:type="dxa"/>
            <w:vAlign w:val="bottom"/>
            <w:shd w:val="clear" w:color="auto" w:fill="CCEEFF"/>
          </w:tcPr>
          <w:p>
            <w:pPr>
              <w:jc w:val="right"/>
              <w:ind w:right="320"/>
              <w:spacing w:after="0"/>
              <w:rPr>
                <w:sz w:val="20"/>
                <w:szCs w:val="20"/>
                <w:color w:val="auto"/>
              </w:rPr>
            </w:pPr>
            <w:r>
              <w:rPr>
                <w:rFonts w:ascii="Arial" w:cs="Arial" w:eastAsia="Arial" w:hAnsi="Arial"/>
                <w:sz w:val="15"/>
                <w:szCs w:val="15"/>
                <w:color w:val="auto"/>
                <w:w w:val="71"/>
              </w:rPr>
              <w:t>$</w:t>
            </w:r>
          </w:p>
        </w:tc>
        <w:tc>
          <w:tcPr>
            <w:tcW w:w="15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9"/>
              </w:rPr>
              <w:t>297 Interest expense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gridSpan w:val="3"/>
          </w:tcPr>
          <w:p>
            <w:pPr>
              <w:ind w:left="60"/>
              <w:spacing w:after="0" w:line="201" w:lineRule="exact"/>
              <w:rPr>
                <w:sz w:val="20"/>
                <w:szCs w:val="20"/>
                <w:color w:val="auto"/>
              </w:rPr>
            </w:pPr>
            <w:r>
              <w:rPr>
                <w:rFonts w:ascii="Arial" w:cs="Arial" w:eastAsia="Arial" w:hAnsi="Arial"/>
                <w:sz w:val="18"/>
                <w:szCs w:val="18"/>
                <w:color w:val="auto"/>
              </w:rPr>
              <w:t>Interest</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Pay-fixed interest rate swap agreements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(35)</w:t>
            </w:r>
          </w:p>
        </w:tc>
        <w:tc>
          <w:tcPr>
            <w:tcW w:w="480" w:type="dxa"/>
            <w:vAlign w:val="bottom"/>
          </w:tcPr>
          <w:p>
            <w:pPr>
              <w:spacing w:after="0"/>
              <w:rPr>
                <w:sz w:val="20"/>
                <w:szCs w:val="20"/>
                <w:color w:val="auto"/>
              </w:rPr>
            </w:pPr>
          </w:p>
        </w:tc>
        <w:tc>
          <w:tcPr>
            <w:tcW w:w="1520" w:type="dxa"/>
            <w:vAlign w:val="bottom"/>
            <w:gridSpan w:val="3"/>
          </w:tcPr>
          <w:p>
            <w:pPr>
              <w:ind w:left="80"/>
              <w:spacing w:after="0"/>
              <w:rPr>
                <w:sz w:val="20"/>
                <w:szCs w:val="20"/>
                <w:color w:val="auto"/>
              </w:rPr>
            </w:pPr>
            <w:r>
              <w:rPr>
                <w:rFonts w:ascii="Arial" w:cs="Arial" w:eastAsia="Arial" w:hAnsi="Arial"/>
                <w:sz w:val="18"/>
                <w:szCs w:val="18"/>
                <w:color w:val="auto"/>
                <w:w w:val="89"/>
              </w:rPr>
              <w:t>92 Interest expense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expense</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w w:val="72"/>
              </w:rPr>
              <w:t>(72)</w:t>
            </w:r>
          </w:p>
        </w:tc>
        <w:tc>
          <w:tcPr>
            <w:tcW w:w="2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jc w:val="right"/>
              <w:ind w:right="32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389</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No hedge designation</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gridSpan w:val="3"/>
          </w:tcPr>
          <w:p>
            <w:pPr>
              <w:ind w:left="60"/>
              <w:spacing w:after="0" w:line="201" w:lineRule="exact"/>
              <w:rPr>
                <w:sz w:val="20"/>
                <w:szCs w:val="20"/>
                <w:color w:val="auto"/>
              </w:rPr>
            </w:pPr>
            <w:r>
              <w:rPr>
                <w:rFonts w:ascii="Arial" w:cs="Arial" w:eastAsia="Arial" w:hAnsi="Arial"/>
                <w:sz w:val="18"/>
                <w:szCs w:val="18"/>
                <w:color w:val="auto"/>
              </w:rPr>
              <w:t>Net gains on</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mortgage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Rate-lock mortgage loan commitments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loans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ind w:left="60"/>
              <w:spacing w:after="0" w:line="201" w:lineRule="exact"/>
              <w:rPr>
                <w:sz w:val="20"/>
                <w:szCs w:val="20"/>
                <w:color w:val="auto"/>
              </w:rPr>
            </w:pPr>
            <w:r>
              <w:rPr>
                <w:rFonts w:ascii="Arial" w:cs="Arial" w:eastAsia="Arial" w:hAnsi="Arial"/>
                <w:sz w:val="18"/>
                <w:szCs w:val="18"/>
                <w:color w:val="auto"/>
              </w:rPr>
              <w:t>Net gains on</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Mandatory commitments to sell mortgage loans</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tcPr>
          <w:p>
            <w:pPr>
              <w:ind w:left="160"/>
              <w:spacing w:after="0" w:line="201" w:lineRule="exact"/>
              <w:rPr>
                <w:sz w:val="20"/>
                <w:szCs w:val="20"/>
                <w:color w:val="auto"/>
              </w:rPr>
            </w:pPr>
            <w:r>
              <w:rPr>
                <w:rFonts w:ascii="Arial" w:cs="Arial" w:eastAsia="Arial" w:hAnsi="Arial"/>
                <w:sz w:val="18"/>
                <w:szCs w:val="18"/>
                <w:color w:val="auto"/>
              </w:rPr>
              <w:t>Pay-fixed interest rate swap agreements -</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gridSpan w:val="3"/>
          </w:tcPr>
          <w:p>
            <w:pPr>
              <w:ind w:left="60"/>
              <w:spacing w:after="0" w:line="201" w:lineRule="exact"/>
              <w:rPr>
                <w:sz w:val="20"/>
                <w:szCs w:val="20"/>
                <w:color w:val="auto"/>
              </w:rPr>
            </w:pPr>
            <w:r>
              <w:rPr>
                <w:rFonts w:ascii="Arial" w:cs="Arial" w:eastAsia="Arial" w:hAnsi="Arial"/>
                <w:sz w:val="18"/>
                <w:szCs w:val="18"/>
                <w:color w:val="auto"/>
              </w:rPr>
              <w:t>Interest</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tcPr>
          <w:p>
            <w:pPr>
              <w:ind w:left="320"/>
              <w:spacing w:after="0"/>
              <w:rPr>
                <w:sz w:val="20"/>
                <w:szCs w:val="20"/>
                <w:color w:val="auto"/>
              </w:rPr>
            </w:pPr>
            <w:r>
              <w:rPr>
                <w:rFonts w:ascii="Arial" w:cs="Arial" w:eastAsia="Arial" w:hAnsi="Arial"/>
                <w:sz w:val="18"/>
                <w:szCs w:val="18"/>
                <w:color w:val="auto"/>
              </w:rPr>
              <w:t>commercial</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income</w:t>
            </w: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(1,670)</w:t>
            </w:r>
          </w:p>
        </w:tc>
        <w:tc>
          <w:tcPr>
            <w:tcW w:w="14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Pay-variable interest rate swap agreements -</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ind w:left="60"/>
              <w:spacing w:after="0" w:line="201" w:lineRule="exact"/>
              <w:rPr>
                <w:sz w:val="20"/>
                <w:szCs w:val="20"/>
                <w:color w:val="auto"/>
              </w:rPr>
            </w:pPr>
            <w:r>
              <w:rPr>
                <w:rFonts w:ascii="Arial" w:cs="Arial" w:eastAsia="Arial" w:hAnsi="Arial"/>
                <w:sz w:val="18"/>
                <w:szCs w:val="18"/>
                <w:color w:val="auto"/>
              </w:rPr>
              <w:t>Interest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gridSpan w:val="3"/>
          </w:tcPr>
          <w:p>
            <w:pPr>
              <w:ind w:left="60"/>
              <w:spacing w:after="0" w:line="201" w:lineRule="exact"/>
              <w:rPr>
                <w:sz w:val="20"/>
                <w:szCs w:val="20"/>
                <w:color w:val="auto"/>
              </w:rPr>
            </w:pPr>
            <w:r>
              <w:rPr>
                <w:rFonts w:ascii="Arial" w:cs="Arial" w:eastAsia="Arial" w:hAnsi="Arial"/>
                <w:sz w:val="18"/>
                <w:szCs w:val="18"/>
                <w:color w:val="auto"/>
              </w:rPr>
              <w:t>Interest</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Purchased options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income</w:t>
            </w: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ind w:left="60"/>
              <w:spacing w:after="0" w:line="201" w:lineRule="exact"/>
              <w:rPr>
                <w:sz w:val="20"/>
                <w:szCs w:val="20"/>
                <w:color w:val="auto"/>
              </w:rPr>
            </w:pPr>
            <w:r>
              <w:rPr>
                <w:rFonts w:ascii="Arial" w:cs="Arial" w:eastAsia="Arial" w:hAnsi="Arial"/>
                <w:sz w:val="18"/>
                <w:szCs w:val="18"/>
                <w:color w:val="auto"/>
              </w:rPr>
              <w:t>Interest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Written options</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income</w:t>
            </w:r>
          </w:p>
        </w:tc>
        <w:tc>
          <w:tcPr>
            <w:tcW w:w="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32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For cash flow hedges, this location and amount refers to the ineffective portion.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2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Nine Month Periods Ended September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6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Location of</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Gain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Reclassified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from</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4"/>
          </w:tcPr>
          <w:p>
            <w:pPr>
              <w:jc w:val="center"/>
              <w:ind w:right="30"/>
              <w:spacing w:after="0"/>
              <w:rPr>
                <w:sz w:val="20"/>
                <w:szCs w:val="20"/>
                <w:color w:val="auto"/>
              </w:rPr>
            </w:pPr>
            <w:r>
              <w:rPr>
                <w:rFonts w:ascii="Arial" w:cs="Arial" w:eastAsia="Arial" w:hAnsi="Arial"/>
                <w:sz w:val="18"/>
                <w:szCs w:val="18"/>
                <w:color w:val="auto"/>
                <w:w w:val="92"/>
              </w:rPr>
              <w:t>Gain (Loss)</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center"/>
              <w:ind w:left="410"/>
              <w:spacing w:after="0"/>
              <w:rPr>
                <w:sz w:val="20"/>
                <w:szCs w:val="20"/>
                <w:color w:val="auto"/>
              </w:rPr>
            </w:pPr>
            <w:r>
              <w:rPr>
                <w:rFonts w:ascii="Arial" w:cs="Arial" w:eastAsia="Arial" w:hAnsi="Arial"/>
                <w:sz w:val="18"/>
                <w:szCs w:val="18"/>
                <w:color w:val="auto"/>
                <w:w w:val="94"/>
              </w:rPr>
              <w:t>Gain</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4"/>
          </w:tcPr>
          <w:p>
            <w:pPr>
              <w:jc w:val="center"/>
              <w:ind w:right="50"/>
              <w:spacing w:after="0"/>
              <w:rPr>
                <w:sz w:val="20"/>
                <w:szCs w:val="20"/>
                <w:color w:val="auto"/>
              </w:rPr>
            </w:pPr>
            <w:r>
              <w:rPr>
                <w:rFonts w:ascii="Arial" w:cs="Arial" w:eastAsia="Arial" w:hAnsi="Arial"/>
                <w:sz w:val="18"/>
                <w:szCs w:val="18"/>
                <w:color w:val="auto"/>
                <w:w w:val="91"/>
              </w:rPr>
              <w:t>Recognized in</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Other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5"/>
          </w:tcPr>
          <w:p>
            <w:pPr>
              <w:jc w:val="center"/>
              <w:ind w:right="160"/>
              <w:spacing w:after="0"/>
              <w:rPr>
                <w:sz w:val="20"/>
                <w:szCs w:val="20"/>
                <w:color w:val="auto"/>
              </w:rPr>
            </w:pPr>
            <w:r>
              <w:rPr>
                <w:rFonts w:ascii="Arial" w:cs="Arial" w:eastAsia="Arial" w:hAnsi="Arial"/>
                <w:sz w:val="18"/>
                <w:szCs w:val="18"/>
                <w:color w:val="auto"/>
                <w:w w:val="92"/>
              </w:rPr>
              <w:t>Reclassified from</w:t>
            </w: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center"/>
              <w:ind w:left="370"/>
              <w:spacing w:after="0"/>
              <w:rPr>
                <w:sz w:val="20"/>
                <w:szCs w:val="20"/>
                <w:color w:val="auto"/>
              </w:rPr>
            </w:pPr>
            <w:r>
              <w:rPr>
                <w:rFonts w:ascii="Arial" w:cs="Arial" w:eastAsia="Arial" w:hAnsi="Arial"/>
                <w:sz w:val="18"/>
                <w:szCs w:val="18"/>
                <w:color w:val="auto"/>
                <w:w w:val="93"/>
              </w:rPr>
              <w:t>Other</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Comprehensive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5"/>
          </w:tcPr>
          <w:p>
            <w:pPr>
              <w:jc w:val="center"/>
              <w:ind w:right="160"/>
              <w:spacing w:after="0"/>
              <w:rPr>
                <w:sz w:val="20"/>
                <w:szCs w:val="20"/>
                <w:color w:val="auto"/>
              </w:rPr>
            </w:pPr>
            <w:r>
              <w:rPr>
                <w:rFonts w:ascii="Arial" w:cs="Arial" w:eastAsia="Arial" w:hAnsi="Arial"/>
                <w:sz w:val="18"/>
                <w:szCs w:val="18"/>
                <w:color w:val="auto"/>
                <w:w w:val="90"/>
              </w:rPr>
              <w:t>Accumulated Other</w:t>
            </w: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4"/>
          </w:tcPr>
          <w:p>
            <w:pPr>
              <w:jc w:val="center"/>
              <w:ind w:right="30"/>
              <w:spacing w:after="0"/>
              <w:rPr>
                <w:sz w:val="20"/>
                <w:szCs w:val="20"/>
                <w:color w:val="auto"/>
              </w:rPr>
            </w:pPr>
            <w:r>
              <w:rPr>
                <w:rFonts w:ascii="Arial" w:cs="Arial" w:eastAsia="Arial" w:hAnsi="Arial"/>
                <w:sz w:val="18"/>
                <w:szCs w:val="18"/>
                <w:color w:val="auto"/>
                <w:w w:val="90"/>
              </w:rPr>
              <w:t>Comprehensive</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Loss into</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5"/>
          </w:tcPr>
          <w:p>
            <w:pPr>
              <w:jc w:val="center"/>
              <w:ind w:right="160"/>
              <w:spacing w:after="0"/>
              <w:rPr>
                <w:sz w:val="20"/>
                <w:szCs w:val="20"/>
                <w:color w:val="auto"/>
              </w:rPr>
            </w:pPr>
            <w:r>
              <w:rPr>
                <w:rFonts w:ascii="Arial" w:cs="Arial" w:eastAsia="Arial" w:hAnsi="Arial"/>
                <w:sz w:val="18"/>
                <w:szCs w:val="18"/>
                <w:color w:val="auto"/>
                <w:w w:val="88"/>
              </w:rPr>
              <w:t>Comprehensive</w:t>
            </w:r>
          </w:p>
        </w:tc>
        <w:tc>
          <w:tcPr>
            <w:tcW w:w="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Location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5"/>
          </w:tcPr>
          <w:p>
            <w:pPr>
              <w:jc w:val="center"/>
              <w:ind w:right="240"/>
              <w:spacing w:after="0"/>
              <w:rPr>
                <w:sz w:val="20"/>
                <w:szCs w:val="20"/>
                <w:color w:val="auto"/>
              </w:rPr>
            </w:pPr>
            <w:r>
              <w:rPr>
                <w:rFonts w:ascii="Arial" w:cs="Arial" w:eastAsia="Arial" w:hAnsi="Arial"/>
                <w:sz w:val="18"/>
                <w:szCs w:val="18"/>
                <w:color w:val="auto"/>
                <w:w w:val="90"/>
              </w:rPr>
              <w:t>Gain (Loss)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4"/>
          </w:tcPr>
          <w:p>
            <w:pPr>
              <w:jc w:val="center"/>
              <w:ind w:right="50"/>
              <w:spacing w:after="0"/>
              <w:rPr>
                <w:sz w:val="20"/>
                <w:szCs w:val="20"/>
                <w:color w:val="auto"/>
              </w:rPr>
            </w:pPr>
            <w:r>
              <w:rPr>
                <w:rFonts w:ascii="Arial" w:cs="Arial" w:eastAsia="Arial" w:hAnsi="Arial"/>
                <w:sz w:val="18"/>
                <w:szCs w:val="18"/>
                <w:color w:val="auto"/>
                <w:w w:val="91"/>
              </w:rPr>
              <w:t>Income (Loss)</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Income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5"/>
          </w:tcPr>
          <w:p>
            <w:pPr>
              <w:jc w:val="center"/>
              <w:ind w:right="160"/>
              <w:spacing w:after="0"/>
              <w:rPr>
                <w:sz w:val="20"/>
                <w:szCs w:val="20"/>
                <w:color w:val="auto"/>
              </w:rPr>
            </w:pPr>
            <w:r>
              <w:rPr>
                <w:rFonts w:ascii="Arial" w:cs="Arial" w:eastAsia="Arial" w:hAnsi="Arial"/>
                <w:sz w:val="18"/>
                <w:szCs w:val="18"/>
                <w:color w:val="auto"/>
                <w:w w:val="91"/>
              </w:rPr>
              <w:t>Loss into Income</w:t>
            </w:r>
          </w:p>
        </w:tc>
        <w:tc>
          <w:tcPr>
            <w:tcW w:w="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Gain (Loss)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5"/>
          </w:tcPr>
          <w:p>
            <w:pPr>
              <w:jc w:val="center"/>
              <w:ind w:right="240"/>
              <w:spacing w:after="0"/>
              <w:rPr>
                <w:sz w:val="20"/>
                <w:szCs w:val="20"/>
                <w:color w:val="auto"/>
              </w:rPr>
            </w:pPr>
            <w:r>
              <w:rPr>
                <w:rFonts w:ascii="Arial" w:cs="Arial" w:eastAsia="Arial" w:hAnsi="Arial"/>
                <w:sz w:val="18"/>
                <w:szCs w:val="18"/>
                <w:color w:val="auto"/>
                <w:w w:val="88"/>
              </w:rPr>
              <w:t>Recognized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4"/>
          </w:tcPr>
          <w:p>
            <w:pPr>
              <w:jc w:val="center"/>
              <w:ind w:right="50"/>
              <w:spacing w:after="0"/>
              <w:rPr>
                <w:sz w:val="20"/>
                <w:szCs w:val="20"/>
                <w:color w:val="auto"/>
              </w:rPr>
            </w:pPr>
            <w:r>
              <w:rPr>
                <w:rFonts w:ascii="Arial" w:cs="Arial" w:eastAsia="Arial" w:hAnsi="Arial"/>
                <w:sz w:val="18"/>
                <w:szCs w:val="18"/>
                <w:color w:val="auto"/>
                <w:w w:val="95"/>
              </w:rPr>
              <w:t>(Effective Portion)</w:t>
            </w: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5"/>
              </w:rPr>
              <w:t>(Effective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5"/>
          </w:tcPr>
          <w:p>
            <w:pPr>
              <w:jc w:val="center"/>
              <w:ind w:right="160"/>
              <w:spacing w:after="0"/>
              <w:rPr>
                <w:sz w:val="20"/>
                <w:szCs w:val="20"/>
                <w:color w:val="auto"/>
              </w:rPr>
            </w:pPr>
            <w:r>
              <w:rPr>
                <w:rFonts w:ascii="Arial" w:cs="Arial" w:eastAsia="Arial" w:hAnsi="Arial"/>
                <w:sz w:val="18"/>
                <w:szCs w:val="18"/>
                <w:color w:val="auto"/>
                <w:w w:val="95"/>
              </w:rPr>
              <w:t>(Effective Portion)</w:t>
            </w:r>
          </w:p>
        </w:tc>
        <w:tc>
          <w:tcPr>
            <w:tcW w:w="4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Recognized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5"/>
          </w:tcPr>
          <w:p>
            <w:pPr>
              <w:jc w:val="center"/>
              <w:ind w:right="220"/>
              <w:spacing w:after="0"/>
              <w:rPr>
                <w:sz w:val="20"/>
                <w:szCs w:val="20"/>
                <w:color w:val="auto"/>
              </w:rPr>
            </w:pPr>
            <w:r>
              <w:rPr>
                <w:rFonts w:ascii="Arial" w:cs="Arial" w:eastAsia="Arial" w:hAnsi="Arial"/>
                <w:sz w:val="18"/>
                <w:szCs w:val="18"/>
                <w:color w:val="auto"/>
                <w:w w:val="93"/>
              </w:rPr>
              <w:t>in Income (1)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2019</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4"/>
              </w:rPr>
              <w:t>2018</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Portion)</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in Income (1)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2019</w:t>
            </w: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gridSpan w:val="2"/>
            <w:vMerge w:val="restart"/>
          </w:tcPr>
          <w:p>
            <w:pPr>
              <w:spacing w:after="0"/>
              <w:rPr>
                <w:sz w:val="20"/>
                <w:szCs w:val="20"/>
                <w:color w:val="auto"/>
              </w:rPr>
            </w:pPr>
            <w:r>
              <w:rPr>
                <w:rFonts w:ascii="Arial" w:cs="Arial" w:eastAsia="Arial" w:hAnsi="Arial"/>
                <w:sz w:val="18"/>
                <w:szCs w:val="18"/>
                <w:color w:val="auto"/>
              </w:rPr>
              <w:t>Fair Value Hedges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5"/>
          </w:tcPr>
          <w:p>
            <w:pPr>
              <w:jc w:val="right"/>
              <w:ind w:right="460"/>
              <w:spacing w:after="0"/>
              <w:rPr>
                <w:sz w:val="20"/>
                <w:szCs w:val="20"/>
                <w:color w:val="auto"/>
              </w:rPr>
            </w:pPr>
            <w:r>
              <w:rPr>
                <w:rFonts w:ascii="Arial" w:cs="Arial" w:eastAsia="Arial" w:hAnsi="Arial"/>
                <w:sz w:val="18"/>
                <w:szCs w:val="18"/>
                <w:color w:val="auto"/>
              </w:rPr>
              <w:t>(In thousands)</w:t>
            </w: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4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Non-interest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Pay-fixed interest rate swap agreements</w:t>
            </w: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 Hedges</w:t>
            </w: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rate cap agreements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89"/>
              </w:rPr>
              <w:t>1,054 Interest expense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40" w:type="dxa"/>
            <w:vAlign w:val="bottom"/>
            <w:shd w:val="clear" w:color="auto" w:fill="CCEEFF"/>
          </w:tcPr>
          <w:p>
            <w:pPr>
              <w:spacing w:after="0"/>
              <w:rPr>
                <w:sz w:val="20"/>
                <w:szCs w:val="20"/>
                <w:color w:val="auto"/>
              </w:rPr>
            </w:pP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Pay-fixed interest rate swap agreements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(429)</w:t>
            </w:r>
          </w:p>
        </w:tc>
        <w:tc>
          <w:tcPr>
            <w:tcW w:w="160" w:type="dxa"/>
            <w:vAlign w:val="bottom"/>
          </w:tcPr>
          <w:p>
            <w:pPr>
              <w:spacing w:after="0"/>
              <w:rPr>
                <w:sz w:val="20"/>
                <w:szCs w:val="20"/>
                <w:color w:val="auto"/>
              </w:rPr>
            </w:pPr>
          </w:p>
        </w:tc>
        <w:tc>
          <w:tcPr>
            <w:tcW w:w="1840" w:type="dxa"/>
            <w:vAlign w:val="bottom"/>
            <w:gridSpan w:val="3"/>
          </w:tcPr>
          <w:p>
            <w:pPr>
              <w:ind w:left="320"/>
              <w:spacing w:after="0"/>
              <w:rPr>
                <w:sz w:val="20"/>
                <w:szCs w:val="20"/>
                <w:color w:val="auto"/>
              </w:rPr>
            </w:pPr>
            <w:r>
              <w:rPr>
                <w:rFonts w:ascii="Arial" w:cs="Arial" w:eastAsia="Arial" w:hAnsi="Arial"/>
                <w:sz w:val="18"/>
                <w:szCs w:val="18"/>
                <w:color w:val="auto"/>
                <w:w w:val="89"/>
              </w:rPr>
              <w:t>346 Interest expense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ind w:left="180"/>
              <w:spacing w:after="0"/>
              <w:rPr>
                <w:sz w:val="20"/>
                <w:szCs w:val="20"/>
                <w:color w:val="auto"/>
              </w:rPr>
            </w:pPr>
            <w:r>
              <w:rPr>
                <w:rFonts w:ascii="Arial" w:cs="Arial" w:eastAsia="Arial" w:hAnsi="Arial"/>
                <w:sz w:val="18"/>
                <w:szCs w:val="18"/>
                <w:color w:val="auto"/>
              </w:rPr>
              <w:t>expense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4"/>
              </w:rPr>
              <w:t>1,400</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No hedge designation</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Net gains on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ind w:left="180"/>
              <w:spacing w:after="0"/>
              <w:rPr>
                <w:sz w:val="20"/>
                <w:szCs w:val="20"/>
                <w:color w:val="auto"/>
              </w:rPr>
            </w:pPr>
            <w:r>
              <w:rPr>
                <w:rFonts w:ascii="Arial" w:cs="Arial" w:eastAsia="Arial" w:hAnsi="Arial"/>
                <w:sz w:val="18"/>
                <w:szCs w:val="18"/>
                <w:color w:val="auto"/>
              </w:rPr>
              <w:t>mortgage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Rate-lock mortgage loan commitments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ind w:left="180"/>
              <w:spacing w:after="0"/>
              <w:rPr>
                <w:sz w:val="20"/>
                <w:szCs w:val="20"/>
                <w:color w:val="auto"/>
              </w:rPr>
            </w:pPr>
            <w:r>
              <w:rPr>
                <w:rFonts w:ascii="Arial" w:cs="Arial" w:eastAsia="Arial" w:hAnsi="Arial"/>
                <w:sz w:val="18"/>
                <w:szCs w:val="18"/>
                <w:color w:val="auto"/>
              </w:rPr>
              <w:t>loans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1,364</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Net gains on</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Mandatory commitments to sell mortgage loans</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tcPr>
          <w:p>
            <w:pPr>
              <w:ind w:left="160"/>
              <w:spacing w:after="0" w:line="201" w:lineRule="exact"/>
              <w:rPr>
                <w:sz w:val="20"/>
                <w:szCs w:val="20"/>
                <w:color w:val="auto"/>
              </w:rPr>
            </w:pPr>
            <w:r>
              <w:rPr>
                <w:rFonts w:ascii="Arial" w:cs="Arial" w:eastAsia="Arial" w:hAnsi="Arial"/>
                <w:sz w:val="18"/>
                <w:szCs w:val="18"/>
                <w:color w:val="auto"/>
              </w:rPr>
              <w:t>Pay-fixed interest rate swap agreements -</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tcPr>
          <w:p>
            <w:pPr>
              <w:ind w:left="320"/>
              <w:spacing w:after="0"/>
              <w:rPr>
                <w:sz w:val="20"/>
                <w:szCs w:val="20"/>
                <w:color w:val="auto"/>
              </w:rPr>
            </w:pPr>
            <w:r>
              <w:rPr>
                <w:rFonts w:ascii="Arial" w:cs="Arial" w:eastAsia="Arial" w:hAnsi="Arial"/>
                <w:sz w:val="18"/>
                <w:szCs w:val="18"/>
                <w:color w:val="auto"/>
              </w:rPr>
              <w:t>commercial</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ind w:left="180"/>
              <w:spacing w:after="0"/>
              <w:rPr>
                <w:sz w:val="20"/>
                <w:szCs w:val="20"/>
                <w:color w:val="auto"/>
              </w:rPr>
            </w:pPr>
            <w:r>
              <w:rPr>
                <w:rFonts w:ascii="Arial" w:cs="Arial" w:eastAsia="Arial" w:hAnsi="Arial"/>
                <w:sz w:val="18"/>
                <w:szCs w:val="18"/>
                <w:color w:val="auto"/>
              </w:rPr>
              <w:t>income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(5,254)</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Pay-variable interest rate swap agreements -</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Purchased options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ind w:left="180"/>
              <w:spacing w:after="0"/>
              <w:rPr>
                <w:sz w:val="20"/>
                <w:szCs w:val="20"/>
                <w:color w:val="auto"/>
              </w:rPr>
            </w:pPr>
            <w:r>
              <w:rPr>
                <w:rFonts w:ascii="Arial" w:cs="Arial" w:eastAsia="Arial" w:hAnsi="Arial"/>
                <w:sz w:val="18"/>
                <w:szCs w:val="18"/>
                <w:color w:val="auto"/>
              </w:rPr>
              <w:t>expense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Written options</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32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1,721</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For cash flow hedges, this location and amount refers to the ineffective portion.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2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intangible assets, net of amortization: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 2019</w:t>
            </w:r>
          </w:p>
        </w:tc>
        <w:tc>
          <w:tcPr>
            <w:tcW w:w="5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December 31, 2018</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90"/>
              <w:spacing w:after="0" w:line="201" w:lineRule="exact"/>
              <w:rPr>
                <w:sz w:val="20"/>
                <w:szCs w:val="20"/>
                <w:color w:val="auto"/>
              </w:rPr>
            </w:pPr>
            <w:r>
              <w:rPr>
                <w:rFonts w:ascii="Arial" w:cs="Arial" w:eastAsia="Arial" w:hAnsi="Arial"/>
                <w:sz w:val="18"/>
                <w:szCs w:val="18"/>
                <w:color w:val="auto"/>
                <w:w w:val="87"/>
              </w:rPr>
              <w:t>Gross</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4"/>
              </w:rPr>
              <w:t>Carrying</w:t>
            </w:r>
          </w:p>
        </w:tc>
        <w:tc>
          <w:tcPr>
            <w:tcW w:w="240" w:type="dxa"/>
            <w:vAlign w:val="bottom"/>
          </w:tcPr>
          <w:p>
            <w:pPr>
              <w:spacing w:after="0"/>
              <w:rPr>
                <w:sz w:val="18"/>
                <w:szCs w:val="18"/>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Accumulated</w:t>
            </w:r>
          </w:p>
        </w:tc>
        <w:tc>
          <w:tcPr>
            <w:tcW w:w="18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Carrying</w:t>
            </w:r>
          </w:p>
        </w:tc>
        <w:tc>
          <w:tcPr>
            <w:tcW w:w="120" w:type="dxa"/>
            <w:vAlign w:val="bottom"/>
          </w:tcPr>
          <w:p>
            <w:pPr>
              <w:spacing w:after="0"/>
              <w:rPr>
                <w:sz w:val="18"/>
                <w:szCs w:val="18"/>
                <w:color w:val="auto"/>
              </w:rPr>
            </w:pPr>
          </w:p>
        </w:tc>
        <w:tc>
          <w:tcPr>
            <w:tcW w:w="1240" w:type="dxa"/>
            <w:vAlign w:val="bottom"/>
            <w:gridSpan w:val="3"/>
          </w:tcPr>
          <w:p>
            <w:pPr>
              <w:ind w:left="80"/>
              <w:spacing w:after="0"/>
              <w:rPr>
                <w:sz w:val="20"/>
                <w:szCs w:val="20"/>
                <w:color w:val="auto"/>
              </w:rPr>
            </w:pPr>
            <w:r>
              <w:rPr>
                <w:rFonts w:ascii="Arial" w:cs="Arial" w:eastAsia="Arial" w:hAnsi="Arial"/>
                <w:sz w:val="18"/>
                <w:szCs w:val="18"/>
                <w:color w:val="auto"/>
              </w:rPr>
              <w:t>Accumulated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3"/>
              </w:rPr>
              <w:t>Amount</w:t>
            </w:r>
          </w:p>
        </w:tc>
        <w:tc>
          <w:tcPr>
            <w:tcW w:w="240" w:type="dxa"/>
            <w:vAlign w:val="bottom"/>
          </w:tcPr>
          <w:p>
            <w:pPr>
              <w:spacing w:after="0"/>
              <w:rPr>
                <w:sz w:val="20"/>
                <w:szCs w:val="20"/>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gridSpan w:val="2"/>
          </w:tcPr>
          <w:p>
            <w:pPr>
              <w:spacing w:after="0"/>
              <w:rPr>
                <w:sz w:val="17"/>
                <w:szCs w:val="17"/>
                <w:color w:val="auto"/>
              </w:rPr>
            </w:pPr>
          </w:p>
        </w:tc>
        <w:tc>
          <w:tcPr>
            <w:tcW w:w="7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780" w:type="dxa"/>
            <w:vAlign w:val="bottom"/>
            <w:gridSpan w:val="2"/>
          </w:tcPr>
          <w:p>
            <w:pPr>
              <w:spacing w:after="0"/>
              <w:rPr>
                <w:sz w:val="17"/>
                <w:szCs w:val="17"/>
                <w:color w:val="auto"/>
              </w:rPr>
            </w:pPr>
          </w:p>
        </w:tc>
        <w:tc>
          <w:tcPr>
            <w:tcW w:w="5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Amortized intangible assets - core deposits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11,916</w:t>
            </w:r>
          </w:p>
        </w:tc>
        <w:tc>
          <w:tcPr>
            <w:tcW w:w="88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6,318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11,916</w:t>
            </w:r>
          </w:p>
        </w:tc>
        <w:tc>
          <w:tcPr>
            <w:tcW w:w="78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Unamortized intangible assets - goodwill</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28,300</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28,300</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A summary of estimated core deposit intangible amortization at September 30, 2019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ending December 31, 2019</w:t>
            </w:r>
          </w:p>
        </w:tc>
        <w:tc>
          <w:tcPr>
            <w:tcW w:w="4000" w:type="dxa"/>
            <w:vAlign w:val="bottom"/>
            <w:gridSpan w:val="2"/>
            <w:shd w:val="clear" w:color="auto" w:fill="CCEEFF"/>
          </w:tcPr>
          <w:p>
            <w:pPr>
              <w:jc w:val="right"/>
              <w:ind w:right="23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2020</w:t>
            </w:r>
          </w:p>
        </w:tc>
        <w:tc>
          <w:tcPr>
            <w:tcW w:w="3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2022</w:t>
            </w:r>
          </w:p>
        </w:tc>
        <w:tc>
          <w:tcPr>
            <w:tcW w:w="3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2024 and thereafter</w:t>
            </w:r>
          </w:p>
        </w:tc>
        <w:tc>
          <w:tcPr>
            <w:tcW w:w="36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6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u w:val="single" w:color="auto"/>
          <w:color w:val="auto"/>
        </w:rPr>
        <w:t>Share Based Compensation</w:t>
      </w: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0.5 million shares of common stock as of September 30, 2019. The non-employee director stock purchase plan permits the issuance of additional share based payments for up to 0.2 million shares of common stock as of September 30, 2019. Share based awards and payments are measured at fair value at the date of grant and are expensed over the requisite service period. Common shares issued upon exercise of stock options come from currently authorized but unissued shares.</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color w:val="auto"/>
        </w:rPr>
        <w:t>A summary of restricted stock and performance stock units (“PSU”) granted pursuant to our long-term incentive plan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300" w:type="dxa"/>
            <w:vAlign w:val="bottom"/>
            <w:gridSpan w:val="4"/>
          </w:tcPr>
          <w:p>
            <w:pPr>
              <w:jc w:val="center"/>
              <w:ind w:left="13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4"/>
          </w:tcPr>
          <w:p>
            <w:pPr>
              <w:jc w:val="center"/>
              <w:ind w:right="100"/>
              <w:spacing w:after="0"/>
              <w:rPr>
                <w:sz w:val="20"/>
                <w:szCs w:val="20"/>
                <w:color w:val="auto"/>
              </w:rPr>
            </w:pPr>
            <w:r>
              <w:rPr>
                <w:rFonts w:ascii="Arial" w:cs="Arial" w:eastAsia="Arial" w:hAnsi="Arial"/>
                <w:sz w:val="18"/>
                <w:szCs w:val="18"/>
                <w:color w:val="auto"/>
                <w:w w:val="92"/>
              </w:rPr>
              <w:t>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780" w:type="dxa"/>
            <w:vAlign w:val="bottom"/>
            <w:gridSpan w:val="3"/>
          </w:tcPr>
          <w:p>
            <w:pPr>
              <w:jc w:val="center"/>
              <w:ind w:left="650"/>
              <w:spacing w:after="0"/>
              <w:rPr>
                <w:sz w:val="20"/>
                <w:szCs w:val="20"/>
                <w:color w:val="auto"/>
              </w:rPr>
            </w:pPr>
            <w:r>
              <w:rPr>
                <w:rFonts w:ascii="Arial" w:cs="Arial" w:eastAsia="Arial" w:hAnsi="Arial"/>
                <w:sz w:val="18"/>
                <w:szCs w:val="18"/>
                <w:color w:val="auto"/>
                <w:w w:val="88"/>
              </w:rPr>
              <w:t>September 30,</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4"/>
          </w:tcPr>
          <w:p>
            <w:pPr>
              <w:jc w:val="center"/>
              <w:ind w:right="12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4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84"/>
              </w:rPr>
              <w:t>2018</w:t>
            </w:r>
          </w:p>
        </w:tc>
        <w:tc>
          <w:tcPr>
            <w:tcW w:w="24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64,267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PSU</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22,016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19,986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Except for 0.008 million shares of restricted stock issued during the third quarter of 2019 and 0.002 million shares of restricted stock issued during the first quarters of 2019 and 2018 that vest ratably over three years, the shares of restricted stock and PSUs shown in the above table cliff vest after a period of three years. The performance feature of the PSUs is based on a comparison of our total shareholder return over the three year period starting on the grant date to the total shareholder return over that period for a banking index of our peers.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Our directors may elect to receive a portion of their quarterly cash retainer fees in the form of common stock (either on a current basis or on a deferred basis pursuant to the non-employee director stock purchase plan referenced above). Shares equal in value to that portion of each director’s fees that he or she has elected to receive in stock are issued each quarter and vest immediately. We issued 0.008 million and 0.007 million shares during the nine month periods ended September 30, 2019 and 2018, respectively, pursuant to this plan and expensed their value during those same periods.</w:t>
      </w:r>
    </w:p>
    <w:p>
      <w:pPr>
        <w:spacing w:after="0" w:line="20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Total compensation expense recognized for grants pursuant to our long-term incentive plan was $0.4 million and $1.2 million during the three and nine month periods ended September 30, 2019, respectively, and was $0.4 million and $1.1 million during the same periods in 2018, respectively. The corresponding tax benefit relating to this expense was $0.1 million and $0.2 million for the three and nine month periods ended September 30, 2019, respectively and $0.1 million and $0.2 million for the same periods in 2018. Total expense recognized for non-employee director share based payments was $0.06 million and $0.18 million during the three and nine month periods ended September 30, 2019, respectively, and was $0.05 million and $0.16 million during the same periods in 2018, respectively. The corresponding tax benefit relating to this expense was $0.01 million and $0.04 million for the three and nine month periods ended September 30, 2019, respectively and $0.01 million and $0.03 million during the same periods in 2018.</w:t>
      </w:r>
    </w:p>
    <w:p>
      <w:pPr>
        <w:spacing w:after="0" w:line="212"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At September 30, 2019, the total expected compensation cost related to non-vested restricted stock and PSUs not yet recognized was $2.5 million. The weighted-average period over which this amount will be recognized is 1.9 years.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 summary of outstanding stock option grants and related transactions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Weighted-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Average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Remaining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Aggregated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Exercise</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Price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Term (Years)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2019</w:t>
            </w:r>
          </w:p>
        </w:tc>
        <w:tc>
          <w:tcPr>
            <w:tcW w:w="2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211,421</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Granted</w:t>
            </w:r>
          </w:p>
        </w:tc>
        <w:tc>
          <w:tcPr>
            <w:tcW w:w="26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2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(70,299)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9.98</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26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w:t>
            </w:r>
          </w:p>
        </w:tc>
        <w:tc>
          <w:tcPr>
            <w:tcW w:w="14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22.35</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September 30, 2019</w:t>
            </w:r>
          </w:p>
        </w:tc>
        <w:tc>
          <w:tcPr>
            <w:tcW w:w="14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140,006</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4.60</w:t>
            </w:r>
          </w:p>
        </w:tc>
        <w:tc>
          <w:tcPr>
            <w:tcW w:w="12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3.2</w:t>
            </w:r>
          </w:p>
        </w:tc>
        <w:tc>
          <w:tcPr>
            <w:tcW w:w="2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and expected to vest at September 30, 2019</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Exercisable at September 30, 2019</w:t>
            </w:r>
          </w:p>
        </w:tc>
        <w:tc>
          <w:tcPr>
            <w:tcW w:w="2600" w:type="dxa"/>
            <w:vAlign w:val="bottom"/>
            <w:gridSpan w:val="3"/>
          </w:tcPr>
          <w:p>
            <w:pPr>
              <w:jc w:val="right"/>
              <w:ind w:right="20"/>
              <w:spacing w:after="0"/>
              <w:rPr>
                <w:sz w:val="20"/>
                <w:szCs w:val="20"/>
                <w:color w:val="auto"/>
              </w:rPr>
            </w:pPr>
            <w:r>
              <w:rPr>
                <w:rFonts w:ascii="Arial" w:cs="Arial" w:eastAsia="Arial" w:hAnsi="Arial"/>
                <w:sz w:val="18"/>
                <w:szCs w:val="18"/>
                <w:color w:val="auto"/>
              </w:rPr>
              <w:t>140,006</w:t>
            </w:r>
          </w:p>
        </w:tc>
        <w:tc>
          <w:tcPr>
            <w:tcW w:w="120" w:type="dxa"/>
            <w:vAlign w:val="bottom"/>
          </w:tcPr>
          <w:p>
            <w:pPr>
              <w:spacing w:after="0"/>
              <w:rPr>
                <w:sz w:val="18"/>
                <w:szCs w:val="18"/>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4.60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20" w:type="dxa"/>
            <w:vAlign w:val="bottom"/>
            <w:vMerge w:val="restart"/>
          </w:tcPr>
          <w:p>
            <w:pPr>
              <w:jc w:val="right"/>
              <w:ind w:right="213"/>
              <w:spacing w:after="0"/>
              <w:rPr>
                <w:sz w:val="20"/>
                <w:szCs w:val="20"/>
                <w:color w:val="auto"/>
              </w:rPr>
            </w:pPr>
            <w:r>
              <w:rPr>
                <w:rFonts w:ascii="Arial" w:cs="Arial" w:eastAsia="Arial" w:hAnsi="Arial"/>
                <w:sz w:val="14"/>
                <w:szCs w:val="14"/>
                <w:color w:val="auto"/>
              </w:rPr>
              <w:t>42</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6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 summary of outstanding non-vested restricted stock and PSUs and related transactions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Weighted-</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Number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Grant Date</w:t>
            </w: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of 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Fair Value</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2019</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86,283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22.87</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(85,978)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w:t>
            </w: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(12,998)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22.85</w:t>
            </w: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2019</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245,726</w:t>
            </w:r>
          </w:p>
        </w:tc>
        <w:tc>
          <w:tcPr>
            <w:tcW w:w="1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21.72</w:t>
            </w: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Certain information regarding options exercised during the periods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ind w:left="260"/>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18"/>
                <w:szCs w:val="18"/>
                <w:color w:val="auto"/>
              </w:rPr>
            </w:pPr>
          </w:p>
        </w:tc>
        <w:tc>
          <w:tcPr>
            <w:tcW w:w="2200" w:type="dxa"/>
            <w:vAlign w:val="bottom"/>
            <w:gridSpan w:val="6"/>
          </w:tcPr>
          <w:p>
            <w:pPr>
              <w:jc w:val="center"/>
              <w:ind w:right="500"/>
              <w:spacing w:after="0"/>
              <w:rPr>
                <w:sz w:val="20"/>
                <w:szCs w:val="20"/>
                <w:color w:val="auto"/>
              </w:rPr>
            </w:pPr>
            <w:r>
              <w:rPr>
                <w:rFonts w:ascii="Arial" w:cs="Arial" w:eastAsia="Arial" w:hAnsi="Arial"/>
                <w:sz w:val="18"/>
                <w:szCs w:val="18"/>
                <w:color w:val="auto"/>
                <w:w w:val="92"/>
              </w:rPr>
              <w:t>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0" w:type="dxa"/>
            <w:vAlign w:val="bottom"/>
            <w:gridSpan w:val="6"/>
          </w:tcPr>
          <w:p>
            <w:pPr>
              <w:jc w:val="center"/>
              <w:ind w:right="52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2018</w:t>
            </w:r>
          </w:p>
        </w:tc>
        <w:tc>
          <w:tcPr>
            <w:tcW w:w="2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2019</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w w:val="70"/>
              </w:rPr>
              <w:t>thousands)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Intrinsic value</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Cash proceeds received</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60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701</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60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benefit realized</w:t>
            </w: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u w:val="single" w:color="auto"/>
          <w:color w:val="auto"/>
        </w:rPr>
        <w:t>Income Tax</w:t>
      </w:r>
    </w:p>
    <w:p>
      <w:pPr>
        <w:spacing w:after="0" w:line="24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Income tax expense was $3.1 million and $2.9 million during the three month periods ended September 30, 2019 and 2018, respectively and $8.0 million and $7.0 million during the nine months ended September 30, 2019 and 2018, respectively. Our actual federal income tax expense is different than the amount computed by applying our statutory income tax rate to our income before income tax primarily due to tax-exempt interest income and tax-exempt income from the increase in the cash surrender value on life insurance. In addition, the three and nine month periods ending September 30, 2019 include reductions of $0.01 million and $0.18 million, respectively, of income tax expense related to the impact of the excess value of stock awards that vested and stock options that were exercised as compared to the initial fair values that were expensed. These amounts during the same periods in 2018 were $0.01 million and $0.33 million, respectively.</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September 30, 2019, September 30, 2018 and December 31, 2018 that the realization of substantially all of our deferred tax assets continues to be more likely than not.</w:t>
      </w:r>
    </w:p>
    <w:p>
      <w:pPr>
        <w:spacing w:after="0" w:line="201"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At both September 30, 2019 and December 31, 2018, we had approximately $0.6 million, of gross unrecognized tax benefits. We do not expect the total amount of unrecognized tax benefits to significantly increase or decrease during the balance of 2019.</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2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Regulatory Matters</w:t>
      </w:r>
    </w:p>
    <w:p>
      <w:pPr>
        <w:spacing w:after="0" w:line="24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September 30, 2019, the Bank had positive undivided profits of $38.3 million. It is not our intent to have dividends paid in amounts that would reduce the capital of our Bank to levels below those which we consider prudent and in accordance with guidelines of regulatory authorities.</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interim condensed consolidated financial statements. Under capital adequacy guidelines, we must meet specific capital requirements that involve quantitative measures as well as qualitative judgments by the regulators. The most recent regulatory filings as of September 30, 2019 and December 31, 2018, categorized our Bank as well capitalized. Management is not aware of any conditions or events that would have changed the most recent Federal Deposit Insurance Corporation (“FDIC”) categorization.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Our actual capital amounts and ratios follow (1):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4"/>
          </w:tcPr>
          <w:p>
            <w:pPr>
              <w:jc w:val="center"/>
              <w:ind w:left="70"/>
              <w:spacing w:after="0"/>
              <w:rPr>
                <w:sz w:val="20"/>
                <w:szCs w:val="20"/>
                <w:color w:val="auto"/>
              </w:rPr>
            </w:pPr>
            <w:r>
              <w:rPr>
                <w:rFonts w:ascii="Arial" w:cs="Arial" w:eastAsia="Arial" w:hAnsi="Arial"/>
                <w:sz w:val="18"/>
                <w:szCs w:val="18"/>
                <w:color w:val="auto"/>
                <w:w w:val="96"/>
              </w:rPr>
              <w:t>Minimum for</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color w:val="auto"/>
                <w:w w:val="98"/>
              </w:rPr>
              <w:t>Minimum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4"/>
          </w:tcPr>
          <w:p>
            <w:pPr>
              <w:jc w:val="center"/>
              <w:ind w:left="70"/>
              <w:spacing w:after="0"/>
              <w:rPr>
                <w:sz w:val="20"/>
                <w:szCs w:val="20"/>
                <w:color w:val="auto"/>
              </w:rPr>
            </w:pPr>
            <w:r>
              <w:rPr>
                <w:rFonts w:ascii="Arial" w:cs="Arial" w:eastAsia="Arial" w:hAnsi="Arial"/>
                <w:sz w:val="18"/>
                <w:szCs w:val="18"/>
                <w:color w:val="auto"/>
                <w:w w:val="91"/>
              </w:rPr>
              <w:t>Adequately Capitalized</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color w:val="auto"/>
                <w:w w:val="93"/>
              </w:rPr>
              <w:t>Well-Capitalized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color w:val="auto"/>
              </w:rPr>
              <w:t>Actual</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92"/>
              </w:rPr>
              <w:t>Institutions</w:t>
            </w:r>
          </w:p>
        </w:tc>
        <w:tc>
          <w:tcPr>
            <w:tcW w:w="4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92"/>
              </w:rPr>
              <w:t>Institutions</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Ratio</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5"/>
              </w:rPr>
              <w:t>Ratio</w:t>
            </w:r>
          </w:p>
        </w:tc>
        <w:tc>
          <w:tcPr>
            <w:tcW w:w="3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Amount</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5"/>
              </w:rPr>
              <w:t>Ratio</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4"/>
          </w:tcPr>
          <w:p>
            <w:pPr>
              <w:jc w:val="center"/>
              <w:ind w:left="70"/>
              <w:spacing w:after="0"/>
              <w:rPr>
                <w:sz w:val="20"/>
                <w:szCs w:val="20"/>
                <w:color w:val="auto"/>
              </w:rPr>
            </w:pPr>
            <w:r>
              <w:rPr>
                <w:rFonts w:ascii="Arial" w:cs="Arial" w:eastAsia="Arial" w:hAnsi="Arial"/>
                <w:sz w:val="18"/>
                <w:szCs w:val="18"/>
                <w:color w:val="auto"/>
                <w:w w:val="91"/>
              </w:rPr>
              <w:t>(Dollars in thousands)</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980" w:type="dxa"/>
            <w:vAlign w:val="bottom"/>
            <w:gridSpan w:val="2"/>
          </w:tcPr>
          <w:p>
            <w:pPr>
              <w:spacing w:after="0"/>
              <w:rPr>
                <w:sz w:val="20"/>
                <w:szCs w:val="20"/>
                <w:color w:val="auto"/>
              </w:rPr>
            </w:pPr>
            <w:r>
              <w:rPr>
                <w:rFonts w:ascii="Arial" w:cs="Arial" w:eastAsia="Arial" w:hAnsi="Arial"/>
                <w:sz w:val="18"/>
                <w:szCs w:val="18"/>
                <w:color w:val="auto"/>
              </w:rPr>
              <w:t>September 30, 2019</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80" w:type="dxa"/>
            <w:vAlign w:val="bottom"/>
            <w:gridSpan w:val="2"/>
          </w:tcPr>
          <w:p>
            <w:pPr>
              <w:spacing w:after="0"/>
              <w:rPr>
                <w:sz w:val="20"/>
                <w:szCs w:val="20"/>
                <w:color w:val="auto"/>
              </w:rPr>
            </w:pPr>
            <w:r>
              <w:rPr>
                <w:rFonts w:ascii="Arial" w:cs="Arial" w:eastAsia="Arial" w:hAnsi="Arial"/>
                <w:sz w:val="18"/>
                <w:szCs w:val="18"/>
                <w:color w:val="auto"/>
              </w:rPr>
              <w:t>Total capital to risk-weighted assets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369,923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13.39%</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221,065</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352,432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12.76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220,984</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8.00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276,230</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Tier 1 capital to risk-weighted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342,138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12.38%</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165,799</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324,647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11.75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165,738</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6.00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220,984</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60" w:type="dxa"/>
            <w:vAlign w:val="bottom"/>
          </w:tcPr>
          <w:p>
            <w:pPr>
              <w:spacing w:after="0" w:line="201" w:lineRule="exact"/>
              <w:rPr>
                <w:sz w:val="20"/>
                <w:szCs w:val="20"/>
                <w:color w:val="auto"/>
              </w:rPr>
            </w:pPr>
            <w:r>
              <w:rPr>
                <w:rFonts w:ascii="Arial" w:cs="Arial" w:eastAsia="Arial" w:hAnsi="Arial"/>
                <w:sz w:val="18"/>
                <w:szCs w:val="18"/>
                <w:color w:val="auto"/>
              </w:rPr>
              <w:t>Common equity tier 1 capital to risk-</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weighted assets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303,923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11.00%</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124,349</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324,647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11.75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124,304</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4.50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179,550</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342,138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9.93%</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137,762</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324,647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9.43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137,736</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4.00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172,170</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December 31, 2018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371,603</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14.25%</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208,572</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8"/>
                <w:szCs w:val="18"/>
                <w:color w:val="auto"/>
              </w:rPr>
            </w:pPr>
          </w:p>
        </w:tc>
        <w:tc>
          <w:tcPr>
            <w:tcW w:w="1500" w:type="dxa"/>
            <w:vAlign w:val="bottom"/>
            <w:gridSpan w:val="3"/>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337,227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208,456</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260,569</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risk-weighted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345,419</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13.25%</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156,429</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8"/>
                <w:szCs w:val="18"/>
                <w:color w:val="auto"/>
              </w:rPr>
            </w:pPr>
          </w:p>
        </w:tc>
        <w:tc>
          <w:tcPr>
            <w:tcW w:w="1500" w:type="dxa"/>
            <w:vAlign w:val="bottom"/>
            <w:gridSpan w:val="3"/>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311,043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156,342</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208,456</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equity tier 1 capital to risk-</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assets</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307,255</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11.79%</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117,322</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18"/>
                <w:szCs w:val="18"/>
                <w:color w:val="auto"/>
              </w:rPr>
            </w:pPr>
          </w:p>
        </w:tc>
        <w:tc>
          <w:tcPr>
            <w:tcW w:w="1500" w:type="dxa"/>
            <w:vAlign w:val="bottom"/>
            <w:gridSpan w:val="3"/>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311,043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117,256</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169,370</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345,419</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10.47%</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131,930</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500" w:type="dxa"/>
            <w:vAlign w:val="bottom"/>
            <w:gridSpan w:val="3"/>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311,043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131,778</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164,723</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8097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(1) These ratios do not reflect a capital conservation buffer of 2.50% and 1.875% at September 30, 2019 and December 31, 2018, respectively.</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NA - Not applicable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The components of our regulatory capital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Consolidated</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0" w:type="dxa"/>
            <w:vAlign w:val="bottom"/>
            <w:gridSpan w:val="6"/>
          </w:tcPr>
          <w:p>
            <w:pPr>
              <w:jc w:val="right"/>
              <w:ind w:right="700"/>
              <w:spacing w:after="0"/>
              <w:rPr>
                <w:sz w:val="20"/>
                <w:szCs w:val="20"/>
                <w:color w:val="auto"/>
              </w:rPr>
            </w:pPr>
            <w:r>
              <w:rPr>
                <w:rFonts w:ascii="Arial" w:cs="Arial" w:eastAsia="Arial" w:hAnsi="Arial"/>
                <w:sz w:val="18"/>
                <w:szCs w:val="18"/>
                <w:color w:val="auto"/>
              </w:rPr>
              <w:t>Independent Bank</w:t>
            </w:r>
          </w:p>
        </w:tc>
      </w:tr>
      <w:tr>
        <w:trPr>
          <w:trHeight w:val="202"/>
        </w:trPr>
        <w:tc>
          <w:tcPr>
            <w:tcW w:w="6080" w:type="dxa"/>
            <w:vAlign w:val="bottom"/>
          </w:tcPr>
          <w:p>
            <w:pPr>
              <w:spacing w:after="0"/>
              <w:rPr>
                <w:sz w:val="17"/>
                <w:szCs w:val="17"/>
                <w:color w:val="auto"/>
              </w:rPr>
            </w:pPr>
          </w:p>
        </w:tc>
        <w:tc>
          <w:tcPr>
            <w:tcW w:w="1300" w:type="dxa"/>
            <w:vAlign w:val="bottom"/>
            <w:tcBorders>
              <w:top w:val="single" w:sz="8" w:color="auto"/>
            </w:tcBorders>
            <w:gridSpan w:val="3"/>
          </w:tcPr>
          <w:p>
            <w:pPr>
              <w:jc w:val="right"/>
              <w:ind w:right="200"/>
              <w:spacing w:after="0" w:line="201" w:lineRule="exact"/>
              <w:rPr>
                <w:sz w:val="20"/>
                <w:szCs w:val="20"/>
                <w:color w:val="auto"/>
              </w:rPr>
            </w:pPr>
            <w:r>
              <w:rPr>
                <w:rFonts w:ascii="Arial" w:cs="Arial" w:eastAsia="Arial" w:hAnsi="Arial"/>
                <w:sz w:val="18"/>
                <w:szCs w:val="18"/>
                <w:color w:val="auto"/>
                <w:w w:val="91"/>
              </w:rPr>
              <w:t>September 30,</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91"/>
              </w:rPr>
              <w:t>December 31,</w:t>
            </w:r>
          </w:p>
        </w:tc>
        <w:tc>
          <w:tcPr>
            <w:tcW w:w="200" w:type="dxa"/>
            <w:vAlign w:val="bottom"/>
          </w:tcPr>
          <w:p>
            <w:pPr>
              <w:spacing w:after="0"/>
              <w:rPr>
                <w:sz w:val="17"/>
                <w:szCs w:val="17"/>
                <w:color w:val="auto"/>
              </w:rPr>
            </w:pPr>
          </w:p>
        </w:tc>
        <w:tc>
          <w:tcPr>
            <w:tcW w:w="1280" w:type="dxa"/>
            <w:vAlign w:val="bottom"/>
            <w:tcBorders>
              <w:top w:val="single" w:sz="8" w:color="auto"/>
            </w:tcBorders>
            <w:gridSpan w:val="3"/>
          </w:tcPr>
          <w:p>
            <w:pPr>
              <w:jc w:val="center"/>
              <w:ind w:right="120"/>
              <w:spacing w:after="0" w:line="201" w:lineRule="exact"/>
              <w:rPr>
                <w:sz w:val="20"/>
                <w:szCs w:val="20"/>
                <w:color w:val="auto"/>
              </w:rPr>
            </w:pPr>
            <w:r>
              <w:rPr>
                <w:rFonts w:ascii="Arial" w:cs="Arial" w:eastAsia="Arial" w:hAnsi="Arial"/>
                <w:sz w:val="18"/>
                <w:szCs w:val="18"/>
                <w:color w:val="auto"/>
                <w:w w:val="88"/>
              </w:rPr>
              <w:t>September 30,</w:t>
            </w: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91"/>
              </w:rPr>
              <w:t>December 31,</w:t>
            </w:r>
          </w:p>
        </w:tc>
        <w:tc>
          <w:tcPr>
            <w:tcW w:w="100" w:type="dxa"/>
            <w:vAlign w:val="bottom"/>
          </w:tcPr>
          <w:p>
            <w:pPr>
              <w:spacing w:after="0"/>
              <w:rPr>
                <w:sz w:val="17"/>
                <w:szCs w:val="17"/>
                <w:color w:val="auto"/>
              </w:rPr>
            </w:pPr>
          </w:p>
        </w:tc>
      </w:tr>
      <w:tr>
        <w:trPr>
          <w:trHeight w:val="237"/>
        </w:trPr>
        <w:tc>
          <w:tcPr>
            <w:tcW w:w="6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w w:val="70"/>
              </w:rPr>
              <w:t>thousands)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340,245</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338,994</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360,969</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341,496</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Add (deduct)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Accumulated other comprehensive (income) loss for regulatory purposes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4,311</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4,311</w:t>
            </w:r>
          </w:p>
        </w:tc>
      </w:tr>
      <w:tr>
        <w:trPr>
          <w:trHeight w:val="216"/>
        </w:trPr>
        <w:tc>
          <w:tcPr>
            <w:tcW w:w="6080" w:type="dxa"/>
            <w:vAlign w:val="bottom"/>
          </w:tcPr>
          <w:p>
            <w:pPr>
              <w:ind w:left="340"/>
              <w:spacing w:after="0"/>
              <w:rPr>
                <w:sz w:val="20"/>
                <w:szCs w:val="20"/>
                <w:color w:val="auto"/>
              </w:rPr>
            </w:pPr>
            <w:r>
              <w:rPr>
                <w:rFonts w:ascii="Arial" w:cs="Arial" w:eastAsia="Arial" w:hAnsi="Arial"/>
                <w:sz w:val="18"/>
                <w:szCs w:val="18"/>
                <w:color w:val="auto"/>
              </w:rPr>
              <w:t>Goodwill and other intangibles</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(33,898)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(34,715)</w:t>
            </w: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(33,898)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(34,715)</w:t>
            </w:r>
          </w:p>
        </w:tc>
      </w:tr>
      <w:tr>
        <w:trPr>
          <w:trHeight w:val="216"/>
        </w:trPr>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Disallowed deferred tax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(1,335)</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r>
      <w:tr>
        <w:trPr>
          <w:trHeight w:val="27"/>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080" w:type="dxa"/>
            <w:vAlign w:val="bottom"/>
          </w:tcPr>
          <w:p>
            <w:pPr>
              <w:ind w:left="500"/>
              <w:spacing w:after="0"/>
              <w:rPr>
                <w:sz w:val="20"/>
                <w:szCs w:val="20"/>
                <w:color w:val="auto"/>
              </w:rPr>
            </w:pPr>
            <w:r>
              <w:rPr>
                <w:rFonts w:ascii="Arial" w:cs="Arial" w:eastAsia="Arial" w:hAnsi="Arial"/>
                <w:sz w:val="18"/>
                <w:szCs w:val="18"/>
                <w:color w:val="auto"/>
              </w:rPr>
              <w:t>Common equity tier 1 capital</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303,923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307,255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324,647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311,043</w:t>
            </w:r>
          </w:p>
        </w:tc>
      </w:tr>
      <w:tr>
        <w:trPr>
          <w:trHeight w:val="216"/>
        </w:trPr>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Qualifying trust preferred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080" w:type="dxa"/>
            <w:vAlign w:val="bottom"/>
          </w:tcPr>
          <w:p>
            <w:pPr>
              <w:ind w:left="500"/>
              <w:spacing w:after="0"/>
              <w:rPr>
                <w:sz w:val="20"/>
                <w:szCs w:val="20"/>
                <w:color w:val="auto"/>
              </w:rPr>
            </w:pPr>
            <w:r>
              <w:rPr>
                <w:rFonts w:ascii="Arial" w:cs="Arial" w:eastAsia="Arial" w:hAnsi="Arial"/>
                <w:sz w:val="18"/>
                <w:szCs w:val="18"/>
                <w:color w:val="auto"/>
              </w:rPr>
              <w:t>Tier 1 capital</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342,138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345,419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324,647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311,043</w:t>
            </w:r>
          </w:p>
        </w:tc>
      </w:tr>
      <w:tr>
        <w:trPr>
          <w:trHeight w:val="202"/>
        </w:trPr>
        <w:tc>
          <w:tcPr>
            <w:tcW w:w="60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Allowance for loan losses and allowance for unfunded lending commitments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limited to 1.25% of total risk-weighted assets</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26,184</w:t>
            </w: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27,785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26,184</w:t>
            </w:r>
          </w:p>
        </w:tc>
      </w:tr>
      <w:tr>
        <w:trPr>
          <w:trHeight w:val="27"/>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080" w:type="dxa"/>
            <w:vAlign w:val="bottom"/>
          </w:tcPr>
          <w:p>
            <w:pPr>
              <w:ind w:left="500"/>
              <w:spacing w:after="0"/>
              <w:rPr>
                <w:sz w:val="20"/>
                <w:szCs w:val="20"/>
                <w:color w:val="auto"/>
              </w:rPr>
            </w:pPr>
            <w:r>
              <w:rPr>
                <w:rFonts w:ascii="Arial" w:cs="Arial" w:eastAsia="Arial" w:hAnsi="Arial"/>
                <w:sz w:val="18"/>
                <w:szCs w:val="18"/>
                <w:color w:val="auto"/>
              </w:rPr>
              <w:t>Total risk-based capital</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369,923</w:t>
            </w:r>
          </w:p>
        </w:tc>
        <w:tc>
          <w:tcPr>
            <w:tcW w:w="140" w:type="dxa"/>
            <w:vAlign w:val="bottom"/>
          </w:tcPr>
          <w:p>
            <w:pPr>
              <w:spacing w:after="0"/>
              <w:rPr>
                <w:sz w:val="18"/>
                <w:szCs w:val="18"/>
                <w:color w:val="auto"/>
              </w:rPr>
            </w:pP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371,603</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352,432</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337,227</w:t>
            </w:r>
          </w:p>
        </w:tc>
      </w:tr>
      <w:tr>
        <w:trPr>
          <w:trHeight w:val="21"/>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Fair Value Disclosures</w:t>
      </w:r>
    </w:p>
    <w:p>
      <w:pPr>
        <w:spacing w:after="0" w:line="24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The standard describes three levels of inputs that may be used to measure fair value:</w:t>
      </w:r>
    </w:p>
    <w:p>
      <w:pPr>
        <w:spacing w:after="0" w:line="233" w:lineRule="exact"/>
        <w:rPr>
          <w:sz w:val="20"/>
          <w:szCs w:val="20"/>
          <w:color w:val="auto"/>
        </w:rPr>
      </w:pPr>
    </w:p>
    <w:p>
      <w:pPr>
        <w:jc w:val="both"/>
        <w:ind w:left="660"/>
        <w:spacing w:after="0"/>
        <w:rPr>
          <w:sz w:val="20"/>
          <w:szCs w:val="20"/>
          <w:color w:val="auto"/>
        </w:rPr>
      </w:pPr>
      <w:r>
        <w:rPr>
          <w:rFonts w:ascii="Arial" w:cs="Arial" w:eastAsia="Arial" w:hAnsi="Arial"/>
          <w:sz w:val="22"/>
          <w:szCs w:val="22"/>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213" w:lineRule="exact"/>
        <w:rPr>
          <w:sz w:val="20"/>
          <w:szCs w:val="20"/>
          <w:color w:val="auto"/>
        </w:rPr>
      </w:pPr>
    </w:p>
    <w:p>
      <w:pPr>
        <w:jc w:val="both"/>
        <w:ind w:left="660"/>
        <w:spacing w:after="0" w:line="238" w:lineRule="auto"/>
        <w:rPr>
          <w:sz w:val="20"/>
          <w:szCs w:val="20"/>
          <w:color w:val="auto"/>
        </w:rPr>
      </w:pPr>
      <w:r>
        <w:rPr>
          <w:rFonts w:ascii="Arial" w:cs="Arial" w:eastAsia="Arial" w:hAnsi="Arial"/>
          <w:sz w:val="22"/>
          <w:szCs w:val="22"/>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212" w:lineRule="exact"/>
        <w:rPr>
          <w:sz w:val="20"/>
          <w:szCs w:val="20"/>
          <w:color w:val="auto"/>
        </w:rPr>
      </w:pPr>
    </w:p>
    <w:p>
      <w:pPr>
        <w:jc w:val="both"/>
        <w:ind w:left="660"/>
        <w:spacing w:after="0" w:line="238" w:lineRule="auto"/>
        <w:rPr>
          <w:sz w:val="20"/>
          <w:szCs w:val="20"/>
          <w:color w:val="auto"/>
        </w:rPr>
      </w:pPr>
      <w:r>
        <w:rPr>
          <w:rFonts w:ascii="Arial" w:cs="Arial" w:eastAsia="Arial" w:hAnsi="Arial"/>
          <w:sz w:val="22"/>
          <w:szCs w:val="22"/>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We used the following methods and significant assumptions to estimate fair value:</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u w:val="single" w:color="auto"/>
          <w:color w:val="auto"/>
        </w:rPr>
        <w:t>Securities</w:t>
      </w:r>
      <w:r>
        <w:rPr>
          <w:rFonts w:ascii="Arial" w:cs="Arial" w:eastAsia="Arial" w:hAnsi="Arial"/>
          <w:sz w:val="19"/>
          <w:szCs w:val="19"/>
          <w:color w:val="auto"/>
        </w:rPr>
        <w:t xml:space="preserve">: Where quoted market prices are available in an active market, securities (equity securities at fair value or available for sale) are classified as Level 1 of the valuation hierarchy. Level 1 securities include certain preferred stocks included in our equity securities at fair value for which there are quoted prices in active markets (at December 31, 2018). If quoted market prices are not available for the specific security, then fair values are estimated by (1) using quoted market prices of securities with similar characteristics, (2) matrix pricing, which is a mathematical technique used widely in the industry to value debt securities without relying exclusively on quoted prices for specific securities but rather by relying on the securities’ relationship to other benchmark quoted prices, or (3) a discounted cash flow analysis whose significant fair value inputs can generally be verified and do not typically involve judgment by management. These securities are classified as Level 2 of the valuation hierarchy and primarily include agency securities, private label mortgage-backed securities, other asset backed securities, </w:t>
      </w:r>
      <w:r>
        <w:rPr>
          <w:rFonts w:ascii="Arial" w:cs="Arial" w:eastAsia="Arial" w:hAnsi="Arial"/>
          <w:sz w:val="19"/>
          <w:szCs w:val="19"/>
          <w:color w:val="231F20"/>
        </w:rPr>
        <w:t>obligations of states and political</w:t>
      </w:r>
      <w:r>
        <w:rPr>
          <w:rFonts w:ascii="Arial" w:cs="Arial" w:eastAsia="Arial" w:hAnsi="Arial"/>
          <w:sz w:val="19"/>
          <w:szCs w:val="19"/>
          <w:color w:val="auto"/>
        </w:rPr>
        <w:t xml:space="preserve"> </w:t>
      </w:r>
      <w:r>
        <w:rPr>
          <w:rFonts w:ascii="Arial" w:cs="Arial" w:eastAsia="Arial" w:hAnsi="Arial"/>
          <w:sz w:val="19"/>
          <w:szCs w:val="19"/>
          <w:color w:val="231F20"/>
        </w:rPr>
        <w:t>subdivisions</w:t>
      </w:r>
      <w:r>
        <w:rPr>
          <w:rFonts w:ascii="Arial" w:cs="Arial" w:eastAsia="Arial" w:hAnsi="Arial"/>
          <w:sz w:val="19"/>
          <w:szCs w:val="19"/>
          <w:color w:val="000000"/>
        </w:rPr>
        <w:t>, trust preferred securities, corporate securities and foreign government securities.</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u w:val="single" w:color="auto"/>
          <w:color w:val="auto"/>
        </w:rPr>
        <w:t>Loans held for sale</w:t>
      </w:r>
      <w:r>
        <w:rPr>
          <w:rFonts w:ascii="Arial" w:cs="Arial" w:eastAsia="Arial" w:hAnsi="Arial"/>
          <w:sz w:val="22"/>
          <w:szCs w:val="22"/>
          <w:color w:val="auto"/>
        </w:rPr>
        <w:t xml:space="preserve">: </w:t>
      </w:r>
      <w:r>
        <w:rPr>
          <w:rFonts w:ascii="Arial" w:cs="Arial" w:eastAsia="Arial" w:hAnsi="Arial"/>
          <w:sz w:val="22"/>
          <w:szCs w:val="22"/>
          <w:color w:val="231F20"/>
        </w:rPr>
        <w:t>The fair value of mortgage loans held for sale, carried at fair value is based on agency cash window loan</w:t>
      </w:r>
      <w:r>
        <w:rPr>
          <w:rFonts w:ascii="Arial" w:cs="Arial" w:eastAsia="Arial" w:hAnsi="Arial"/>
          <w:sz w:val="22"/>
          <w:szCs w:val="22"/>
          <w:color w:val="auto"/>
        </w:rPr>
        <w:t xml:space="preserve"> </w:t>
      </w:r>
      <w:r>
        <w:rPr>
          <w:rFonts w:ascii="Arial" w:cs="Arial" w:eastAsia="Arial" w:hAnsi="Arial"/>
          <w:sz w:val="22"/>
          <w:szCs w:val="22"/>
          <w:color w:val="231F20"/>
        </w:rPr>
        <w:t xml:space="preserve">pricing for comparable assets (recurring Level 2) </w:t>
      </w:r>
      <w:r>
        <w:rPr>
          <w:rFonts w:ascii="Arial" w:cs="Arial" w:eastAsia="Arial" w:hAnsi="Arial"/>
          <w:sz w:val="22"/>
          <w:szCs w:val="22"/>
          <w:color w:val="000000"/>
        </w:rPr>
        <w:t>and the fair value of mortgage loans held for sale, carried at the lower of cost or</w:t>
      </w:r>
      <w:r>
        <w:rPr>
          <w:rFonts w:ascii="Arial" w:cs="Arial" w:eastAsia="Arial" w:hAnsi="Arial"/>
          <w:sz w:val="22"/>
          <w:szCs w:val="22"/>
          <w:color w:val="231F20"/>
        </w:rPr>
        <w:t xml:space="preserve"> </w:t>
      </w:r>
      <w:r>
        <w:rPr>
          <w:rFonts w:ascii="Arial" w:cs="Arial" w:eastAsia="Arial" w:hAnsi="Arial"/>
          <w:sz w:val="22"/>
          <w:szCs w:val="22"/>
          <w:color w:val="000000"/>
        </w:rPr>
        <w:t>fair value (December 31, 2018) is based on a quoted sales price (non-recurring Level 1). The fair value of Loans held for sale, carried at the lower of cost or fair value at September 30, 2019 exceeded their cost and therefore were carried at cost and not included in the table that follows.</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u w:val="single" w:color="auto"/>
          <w:color w:val="auto"/>
        </w:rPr>
        <w:t>Impaired loans with specific loss allocations based on collateral value</w:t>
      </w:r>
      <w:r>
        <w:rPr>
          <w:rFonts w:ascii="Arial" w:cs="Arial" w:eastAsia="Arial" w:hAnsi="Arial"/>
          <w:sz w:val="19"/>
          <w:szCs w:val="19"/>
          <w:color w:val="auto"/>
        </w:rPr>
        <w:t>: From time to time, certain loans are considered impaired and an allowance for loan losses is established. Loans for which it is probable that payment of interest and principal will not be made in accordance with the contractual terms of the loan agreement are considered impaired. We measure our investment in an impaired loan based on one of three methods: the loan’s observable market price, the fair value of the collateral or the present value of expected future cash flows discounted at the loan’s effective interest rate. Those impaired loans not requiring an allowance for loan losses represent loans for which the fair value of the expected repayments or collateral exceed the recorded investments in such loans. At September 30, 2019 and December 31, 2018, all of our impaired loans were evaluated based on either the fair value of the collateral or the present value of expected future cash flows discounted at the loan’s effective interest rate. When the fair value of the collateral is based on an appraised value or when an appraised value is not available we record the impaired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u w:val="single" w:color="auto"/>
          <w:color w:val="auto"/>
        </w:rPr>
        <w:t>Other real estate</w:t>
      </w:r>
      <w:r>
        <w:rPr>
          <w:rFonts w:ascii="Arial" w:cs="Arial" w:eastAsia="Arial" w:hAnsi="Arial"/>
          <w:sz w:val="22"/>
          <w:szCs w:val="22"/>
          <w:color w:val="auto"/>
        </w:rPr>
        <w:t xml:space="preserve">: </w:t>
      </w:r>
      <w:r>
        <w:rPr>
          <w:rFonts w:ascii="Arial" w:cs="Arial" w:eastAsia="Arial" w:hAnsi="Arial"/>
          <w:sz w:val="22"/>
          <w:szCs w:val="22"/>
          <w:color w:val="231F20"/>
        </w:rPr>
        <w:t>At the time of acquisition, other real estate is recorded at fair value, less estimated costs to sell, which becomes</w:t>
      </w:r>
      <w:r>
        <w:rPr>
          <w:rFonts w:ascii="Arial" w:cs="Arial" w:eastAsia="Arial" w:hAnsi="Arial"/>
          <w:sz w:val="22"/>
          <w:szCs w:val="22"/>
          <w:color w:val="auto"/>
        </w:rPr>
        <w:t xml:space="preserve"> </w:t>
      </w:r>
      <w:r>
        <w:rPr>
          <w:rFonts w:ascii="Arial" w:cs="Arial" w:eastAsia="Arial" w:hAnsi="Arial"/>
          <w:sz w:val="22"/>
          <w:szCs w:val="22"/>
          <w:color w:val="231F20"/>
        </w:rPr>
        <w:t>the property’s new basis. Subsequent write-downs to reflect declines in value since the time of acquisition may occur from time to time and are recorded in net (gains) losses on other real estate and repossessed assets, which is part of non-interest expense - other in the Condensed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22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231F20"/>
        </w:rPr>
        <w:t xml:space="preserve">Appraisals for both collateral-dependent impaired loans and other real estate are performed by certified general appraisers (for commercial properties) or certified residential appraisers (for residential properties) whose qualifications and licenses have been reviewed and verified by us. Once received, an independent third party, or a member of our Collateral Evaluation Department (for commercial properties), or a member of our Special </w:t>
      </w:r>
      <w:r>
        <w:rPr>
          <w:rFonts w:ascii="Arial" w:cs="Arial" w:eastAsia="Arial" w:hAnsi="Arial"/>
          <w:sz w:val="21"/>
          <w:szCs w:val="21"/>
          <w:color w:val="000000"/>
        </w:rPr>
        <w:t>Assets Group</w:t>
      </w:r>
      <w:r>
        <w:rPr>
          <w:rFonts w:ascii="Arial" w:cs="Arial" w:eastAsia="Arial" w:hAnsi="Arial"/>
          <w:sz w:val="21"/>
          <w:szCs w:val="21"/>
          <w:color w:val="231F20"/>
        </w:rPr>
        <w:t xml:space="preserve"> (for residential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residential properties we typically discount an appraisal to account for various factors that the appraisal excludes in its assumptions. These additional discounts generally do not result in material adjustments to the appraised value.</w:t>
      </w:r>
    </w:p>
    <w:p>
      <w:pPr>
        <w:spacing w:after="0" w:line="209" w:lineRule="exact"/>
        <w:rPr>
          <w:sz w:val="20"/>
          <w:szCs w:val="20"/>
          <w:color w:val="auto"/>
        </w:rPr>
      </w:pPr>
    </w:p>
    <w:p>
      <w:pPr>
        <w:jc w:val="both"/>
        <w:spacing w:after="0" w:line="247" w:lineRule="auto"/>
        <w:rPr>
          <w:sz w:val="20"/>
          <w:szCs w:val="20"/>
          <w:color w:val="auto"/>
        </w:rPr>
      </w:pPr>
      <w:r>
        <w:rPr>
          <w:rFonts w:ascii="Arial" w:cs="Arial" w:eastAsia="Arial" w:hAnsi="Arial"/>
          <w:sz w:val="21"/>
          <w:szCs w:val="21"/>
          <w:u w:val="single" w:color="auto"/>
          <w:color w:val="auto"/>
        </w:rPr>
        <w:t>Capitalized mortgage loan servicing rights</w:t>
      </w:r>
      <w:r>
        <w:rPr>
          <w:rFonts w:ascii="Arial" w:cs="Arial" w:eastAsia="Arial" w:hAnsi="Arial"/>
          <w:sz w:val="21"/>
          <w:szCs w:val="21"/>
          <w:color w:val="auto"/>
        </w:rPr>
        <w:t>: The fair value of capitalized mortgage loan servicing rights is based on a valuation model used by an 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Level 3. Management evaluates the third party valuation for reasonableness each quarter as part of our financial reporting control processes.</w:t>
      </w:r>
    </w:p>
    <w:p>
      <w:pPr>
        <w:spacing w:after="0" w:line="20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u w:val="single" w:color="auto"/>
          <w:color w:val="auto"/>
        </w:rPr>
        <w:t>Derivatives</w:t>
      </w:r>
      <w:r>
        <w:rPr>
          <w:rFonts w:ascii="Arial" w:cs="Arial" w:eastAsia="Arial" w:hAnsi="Arial"/>
          <w:sz w:val="22"/>
          <w:szCs w:val="22"/>
          <w:color w:val="auto"/>
        </w:rPr>
        <w:t xml:space="preserve">: </w:t>
      </w:r>
      <w:r>
        <w:rPr>
          <w:rFonts w:ascii="Arial" w:cs="Arial" w:eastAsia="Arial" w:hAnsi="Arial"/>
          <w:sz w:val="22"/>
          <w:szCs w:val="22"/>
          <w:color w:val="231F20"/>
        </w:rPr>
        <w:t>The fair value of rate-lock mortgage loan commitments is based on agency cash window loan pricing for comparable</w:t>
      </w:r>
      <w:r>
        <w:rPr>
          <w:rFonts w:ascii="Arial" w:cs="Arial" w:eastAsia="Arial" w:hAnsi="Arial"/>
          <w:sz w:val="22"/>
          <w:szCs w:val="22"/>
          <w:color w:val="auto"/>
        </w:rPr>
        <w:t xml:space="preserve"> </w:t>
      </w:r>
      <w:r>
        <w:rPr>
          <w:rFonts w:ascii="Arial" w:cs="Arial" w:eastAsia="Arial" w:hAnsi="Arial"/>
          <w:sz w:val="22"/>
          <w:szCs w:val="22"/>
          <w:color w:val="231F20"/>
        </w:rPr>
        <w:t>assets and the fair value of mandatory commitments to sell mortgage loans is based on mortgage backed security pricing for comparable assets (recurring Level 2). The fair value of interest rate swap and interest rate cap agreements are derived from proprietary models which utilize current market data. The significant fair value inputs can generally be observed in the market place and do not typically involve judgment by management (recurring Level 2). The fair value of purchased and written options is based on prices of financial instruments with similar characteristics and do not typically involve judgment by management (recurring Level 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Assets and liabilities measured at fair value, including financial assets for which we have elected the fair value option,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40" w:type="dxa"/>
            <w:vAlign w:val="bottom"/>
            <w:gridSpan w:val="6"/>
          </w:tcPr>
          <w:p>
            <w:pPr>
              <w:jc w:val="center"/>
              <w:ind w:right="100"/>
              <w:spacing w:after="0"/>
              <w:rPr>
                <w:sz w:val="20"/>
                <w:szCs w:val="20"/>
                <w:color w:val="auto"/>
              </w:rPr>
            </w:pPr>
            <w:r>
              <w:rPr>
                <w:rFonts w:ascii="Arial" w:cs="Arial" w:eastAsia="Arial" w:hAnsi="Arial"/>
                <w:sz w:val="18"/>
                <w:szCs w:val="18"/>
                <w:color w:val="auto"/>
                <w:w w:val="90"/>
              </w:rPr>
              <w:t>Fair Value Measurements Using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jc w:val="center"/>
              <w:ind w:left="50"/>
              <w:spacing w:after="0" w:line="201" w:lineRule="exact"/>
              <w:rPr>
                <w:sz w:val="20"/>
                <w:szCs w:val="20"/>
                <w:color w:val="auto"/>
              </w:rPr>
            </w:pPr>
            <w:r>
              <w:rPr>
                <w:rFonts w:ascii="Arial" w:cs="Arial" w:eastAsia="Arial" w:hAnsi="Arial"/>
                <w:sz w:val="18"/>
                <w:szCs w:val="18"/>
                <w:color w:val="auto"/>
                <w:w w:val="87"/>
              </w:rPr>
              <w:t>Quoted</w:t>
            </w:r>
          </w:p>
        </w:tc>
        <w:tc>
          <w:tcPr>
            <w:tcW w:w="5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left="50"/>
              <w:spacing w:after="0"/>
              <w:rPr>
                <w:sz w:val="20"/>
                <w:szCs w:val="20"/>
                <w:color w:val="auto"/>
              </w:rPr>
            </w:pPr>
            <w:r>
              <w:rPr>
                <w:rFonts w:ascii="Arial" w:cs="Arial" w:eastAsia="Arial" w:hAnsi="Arial"/>
                <w:sz w:val="18"/>
                <w:szCs w:val="18"/>
                <w:color w:val="auto"/>
                <w:w w:val="87"/>
              </w:rPr>
              <w:t>Prices</w:t>
            </w: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left="70"/>
              <w:spacing w:after="0"/>
              <w:rPr>
                <w:sz w:val="20"/>
                <w:szCs w:val="20"/>
                <w:color w:val="auto"/>
              </w:rPr>
            </w:pPr>
            <w:r>
              <w:rPr>
                <w:rFonts w:ascii="Arial" w:cs="Arial" w:eastAsia="Arial" w:hAnsi="Arial"/>
                <w:sz w:val="18"/>
                <w:szCs w:val="18"/>
                <w:color w:val="auto"/>
                <w:w w:val="96"/>
              </w:rPr>
              <w:t>in Active</w:t>
            </w: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left="50"/>
              <w:spacing w:after="0"/>
              <w:rPr>
                <w:sz w:val="20"/>
                <w:szCs w:val="20"/>
                <w:color w:val="auto"/>
              </w:rPr>
            </w:pPr>
            <w:r>
              <w:rPr>
                <w:rFonts w:ascii="Arial" w:cs="Arial" w:eastAsia="Arial" w:hAnsi="Arial"/>
                <w:sz w:val="18"/>
                <w:szCs w:val="18"/>
                <w:color w:val="auto"/>
                <w:w w:val="93"/>
              </w:rPr>
              <w:t>Markets</w:t>
            </w:r>
          </w:p>
        </w:tc>
        <w:tc>
          <w:tcPr>
            <w:tcW w:w="50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Significant</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left="50"/>
              <w:spacing w:after="0"/>
              <w:rPr>
                <w:sz w:val="20"/>
                <w:szCs w:val="20"/>
                <w:color w:val="auto"/>
              </w:rPr>
            </w:pPr>
            <w:r>
              <w:rPr>
                <w:rFonts w:ascii="Arial" w:cs="Arial" w:eastAsia="Arial" w:hAnsi="Arial"/>
                <w:sz w:val="18"/>
                <w:szCs w:val="18"/>
                <w:color w:val="auto"/>
                <w:w w:val="94"/>
              </w:rPr>
              <w:t>for</w:t>
            </w:r>
          </w:p>
        </w:tc>
        <w:tc>
          <w:tcPr>
            <w:tcW w:w="50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Other</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Fair Value</w:t>
            </w:r>
          </w:p>
        </w:tc>
        <w:tc>
          <w:tcPr>
            <w:tcW w:w="120" w:type="dxa"/>
            <w:vAlign w:val="bottom"/>
          </w:tcPr>
          <w:p>
            <w:pPr>
              <w:spacing w:after="0"/>
              <w:rPr>
                <w:sz w:val="18"/>
                <w:szCs w:val="18"/>
                <w:color w:val="auto"/>
              </w:rPr>
            </w:pPr>
          </w:p>
        </w:tc>
        <w:tc>
          <w:tcPr>
            <w:tcW w:w="980" w:type="dxa"/>
            <w:vAlign w:val="bottom"/>
          </w:tcPr>
          <w:p>
            <w:pPr>
              <w:jc w:val="center"/>
              <w:ind w:left="50"/>
              <w:spacing w:after="0"/>
              <w:rPr>
                <w:sz w:val="20"/>
                <w:szCs w:val="20"/>
                <w:color w:val="auto"/>
              </w:rPr>
            </w:pPr>
            <w:r>
              <w:rPr>
                <w:rFonts w:ascii="Arial" w:cs="Arial" w:eastAsia="Arial" w:hAnsi="Arial"/>
                <w:sz w:val="18"/>
                <w:szCs w:val="18"/>
                <w:color w:val="auto"/>
                <w:w w:val="95"/>
              </w:rPr>
              <w:t>Identical</w:t>
            </w:r>
          </w:p>
        </w:tc>
        <w:tc>
          <w:tcPr>
            <w:tcW w:w="50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89"/>
              </w:rPr>
              <w:t>Observable</w:t>
            </w:r>
          </w:p>
        </w:tc>
        <w:tc>
          <w:tcPr>
            <w:tcW w:w="2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Measure-</w:t>
            </w:r>
          </w:p>
        </w:tc>
        <w:tc>
          <w:tcPr>
            <w:tcW w:w="120" w:type="dxa"/>
            <w:vAlign w:val="bottom"/>
          </w:tcPr>
          <w:p>
            <w:pPr>
              <w:spacing w:after="0"/>
              <w:rPr>
                <w:sz w:val="18"/>
                <w:szCs w:val="18"/>
                <w:color w:val="auto"/>
              </w:rPr>
            </w:pPr>
          </w:p>
        </w:tc>
        <w:tc>
          <w:tcPr>
            <w:tcW w:w="980" w:type="dxa"/>
            <w:vAlign w:val="bottom"/>
          </w:tcPr>
          <w:p>
            <w:pPr>
              <w:jc w:val="center"/>
              <w:ind w:left="50"/>
              <w:spacing w:after="0"/>
              <w:rPr>
                <w:sz w:val="20"/>
                <w:szCs w:val="20"/>
                <w:color w:val="auto"/>
              </w:rPr>
            </w:pPr>
            <w:r>
              <w:rPr>
                <w:rFonts w:ascii="Arial" w:cs="Arial" w:eastAsia="Arial" w:hAnsi="Arial"/>
                <w:sz w:val="18"/>
                <w:szCs w:val="18"/>
                <w:color w:val="auto"/>
                <w:w w:val="88"/>
              </w:rPr>
              <w:t>Assets</w:t>
            </w:r>
          </w:p>
        </w:tc>
        <w:tc>
          <w:tcPr>
            <w:tcW w:w="50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Inputs</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ments</w:t>
            </w:r>
          </w:p>
        </w:tc>
        <w:tc>
          <w:tcPr>
            <w:tcW w:w="120" w:type="dxa"/>
            <w:vAlign w:val="bottom"/>
          </w:tcPr>
          <w:p>
            <w:pPr>
              <w:spacing w:after="0"/>
              <w:rPr>
                <w:sz w:val="20"/>
                <w:szCs w:val="20"/>
                <w:color w:val="auto"/>
              </w:rPr>
            </w:pPr>
          </w:p>
        </w:tc>
        <w:tc>
          <w:tcPr>
            <w:tcW w:w="980" w:type="dxa"/>
            <w:vAlign w:val="bottom"/>
          </w:tcPr>
          <w:p>
            <w:pPr>
              <w:jc w:val="center"/>
              <w:ind w:left="70"/>
              <w:spacing w:after="0"/>
              <w:rPr>
                <w:sz w:val="20"/>
                <w:szCs w:val="20"/>
                <w:color w:val="auto"/>
              </w:rPr>
            </w:pPr>
            <w:r>
              <w:rPr>
                <w:rFonts w:ascii="Arial" w:cs="Arial" w:eastAsia="Arial" w:hAnsi="Arial"/>
                <w:sz w:val="18"/>
                <w:szCs w:val="18"/>
                <w:color w:val="auto"/>
                <w:w w:val="94"/>
              </w:rPr>
              <w:t>(Level 1)</w:t>
            </w:r>
          </w:p>
        </w:tc>
        <w:tc>
          <w:tcPr>
            <w:tcW w:w="50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4"/>
              </w:rPr>
              <w:t>(Level 2)</w:t>
            </w:r>
          </w:p>
        </w:tc>
        <w:tc>
          <w:tcPr>
            <w:tcW w:w="24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(Level 3)</w:t>
            </w:r>
          </w:p>
        </w:tc>
        <w:tc>
          <w:tcPr>
            <w:tcW w:w="0" w:type="dxa"/>
            <w:vAlign w:val="bottom"/>
          </w:tcPr>
          <w:p>
            <w:pPr>
              <w:spacing w:after="0"/>
              <w:rPr>
                <w:sz w:val="1"/>
                <w:szCs w:val="1"/>
                <w:color w:val="auto"/>
              </w:rPr>
            </w:pPr>
          </w:p>
        </w:tc>
      </w:tr>
      <w:tr>
        <w:trPr>
          <w:trHeight w:val="23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September 30, 2019:</w:t>
            </w:r>
          </w:p>
        </w:tc>
        <w:tc>
          <w:tcPr>
            <w:tcW w:w="9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tcBorders>
              <w:top w:val="single" w:sz="8" w:color="auto"/>
            </w:tcBorders>
            <w:gridSpan w:val="3"/>
          </w:tcPr>
          <w:p>
            <w:pPr>
              <w:jc w:val="right"/>
              <w:ind w:right="770"/>
              <w:spacing w:after="0"/>
              <w:rPr>
                <w:sz w:val="20"/>
                <w:szCs w:val="20"/>
                <w:color w:val="auto"/>
              </w:rPr>
            </w:pPr>
            <w:r>
              <w:rPr>
                <w:rFonts w:ascii="Arial" w:cs="Arial" w:eastAsia="Arial" w:hAnsi="Arial"/>
                <w:sz w:val="18"/>
                <w:szCs w:val="18"/>
                <w:color w:val="auto"/>
              </w:rPr>
              <w:t>(In thousands)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80" w:type="dxa"/>
            <w:vAlign w:val="bottom"/>
            <w:tcBorders>
              <w:bottom w:val="single" w:sz="8" w:color="auto"/>
            </w:tcBorders>
            <w:gridSpan w:val="2"/>
            <w:vMerge w:val="continue"/>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Measured at Fair Value on a Recurring Basis</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Assets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Securities available for sale</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agency</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15,283</w:t>
            </w:r>
          </w:p>
        </w:tc>
        <w:tc>
          <w:tcPr>
            <w:tcW w:w="110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15,283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U.S. agency residential mortgage-backed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147,720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147,720</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agency commercial mortgage-backed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11,319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11,319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Private label mortgage-backed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31,826</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31,826</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 backed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94,785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94,785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Obligations of states and political subdivisions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101,139</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101,139</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Corporate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33,678</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33,678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Trust preferred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1,820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1,820</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Foreign government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Loans held for sale, carried at fair value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87,358</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87,358</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Capitalized mortgage loan servicing rights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16,906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Derivatives (1)</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7,389</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7,389</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Derivatives (2)</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5,657</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5,657</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Measured at Fair Value on a Non-recurring Basis: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Impaired loans (3)</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Commercial</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Income producing - real estate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Land, land development &amp; construction-real estate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Commercial and industrial</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Mortgage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1-4 family</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Resort lending</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Home equity - 1st lien</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Home equity - 2nd lien</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Installment</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Home equity - 1st lien</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Home equity - 2nd lien</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Boat lending</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Recreational vehicle lending</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Other real estate (4)</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Mortgage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1-4 family</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Home equity - 2nd lien</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Included in accrued income and other assets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Only includes impaired loans with specific loss allocations based on collateral value.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Only includes other real estate with subsequent write downs to fair value.</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0" w:name="page51"/>
    <w:bookmarkEnd w:id="5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80" w:type="dxa"/>
            <w:vAlign w:val="bottom"/>
            <w:gridSpan w:val="6"/>
          </w:tcPr>
          <w:p>
            <w:pPr>
              <w:jc w:val="center"/>
              <w:ind w:right="260"/>
              <w:spacing w:after="0"/>
              <w:rPr>
                <w:sz w:val="20"/>
                <w:szCs w:val="20"/>
                <w:color w:val="auto"/>
              </w:rPr>
            </w:pPr>
            <w:r>
              <w:rPr>
                <w:rFonts w:ascii="Arial" w:cs="Arial" w:eastAsia="Arial" w:hAnsi="Arial"/>
                <w:sz w:val="18"/>
                <w:szCs w:val="18"/>
                <w:color w:val="auto"/>
                <w:w w:val="90"/>
              </w:rPr>
              <w:t>Fair Value Measurements Using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90"/>
              <w:spacing w:after="0" w:line="201" w:lineRule="exact"/>
              <w:rPr>
                <w:sz w:val="20"/>
                <w:szCs w:val="20"/>
                <w:color w:val="auto"/>
              </w:rPr>
            </w:pPr>
            <w:r>
              <w:rPr>
                <w:rFonts w:ascii="Arial" w:cs="Arial" w:eastAsia="Arial" w:hAnsi="Arial"/>
                <w:sz w:val="18"/>
                <w:szCs w:val="18"/>
                <w:color w:val="auto"/>
                <w:w w:val="87"/>
              </w:rPr>
              <w:t>Quoted</w:t>
            </w: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87"/>
              </w:rPr>
              <w:t>Prices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color w:val="auto"/>
                <w:w w:val="96"/>
              </w:rPr>
              <w:t>in Active</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3"/>
              </w:rPr>
              <w:t>Markets</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Significant</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4"/>
              </w:rPr>
              <w:t>for</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Other</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Fair Value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5"/>
              </w:rPr>
              <w:t>Identical</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89"/>
              </w:rPr>
              <w:t>Observable</w:t>
            </w:r>
          </w:p>
        </w:tc>
        <w:tc>
          <w:tcPr>
            <w:tcW w:w="2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Measure-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88"/>
              </w:rPr>
              <w:t>Assets</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Inputs</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ments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color w:val="auto"/>
                <w:w w:val="94"/>
              </w:rPr>
              <w:t>(Level 1)</w:t>
            </w:r>
          </w:p>
        </w:tc>
        <w:tc>
          <w:tcPr>
            <w:tcW w:w="24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4"/>
              </w:rPr>
              <w:t>(Level 2)</w:t>
            </w:r>
          </w:p>
        </w:tc>
        <w:tc>
          <w:tcPr>
            <w:tcW w:w="24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(Level 3)</w:t>
            </w:r>
          </w:p>
        </w:tc>
        <w:tc>
          <w:tcPr>
            <w:tcW w:w="0" w:type="dxa"/>
            <w:vAlign w:val="bottom"/>
          </w:tcPr>
          <w:p>
            <w:pPr>
              <w:spacing w:after="0"/>
              <w:rPr>
                <w:sz w:val="1"/>
                <w:szCs w:val="1"/>
                <w:color w:val="auto"/>
              </w:rPr>
            </w:pPr>
          </w:p>
        </w:tc>
      </w:tr>
      <w:tr>
        <w:trPr>
          <w:trHeight w:val="23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December 31, 2018:</w:t>
            </w:r>
          </w:p>
        </w:tc>
        <w:tc>
          <w:tcPr>
            <w:tcW w:w="7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420" w:type="dxa"/>
            <w:vAlign w:val="bottom"/>
            <w:tcBorders>
              <w:top w:val="single" w:sz="8" w:color="auto"/>
            </w:tcBorders>
            <w:gridSpan w:val="3"/>
          </w:tcPr>
          <w:p>
            <w:pPr>
              <w:jc w:val="right"/>
              <w:ind w:right="770"/>
              <w:spacing w:after="0"/>
              <w:rPr>
                <w:sz w:val="20"/>
                <w:szCs w:val="20"/>
                <w:color w:val="auto"/>
              </w:rPr>
            </w:pPr>
            <w:r>
              <w:rPr>
                <w:rFonts w:ascii="Arial" w:cs="Arial" w:eastAsia="Arial" w:hAnsi="Arial"/>
                <w:sz w:val="18"/>
                <w:szCs w:val="18"/>
                <w:color w:val="auto"/>
              </w:rPr>
              <w:t>(In thousands)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360" w:type="dxa"/>
            <w:vAlign w:val="bottom"/>
            <w:tcBorders>
              <w:bottom w:val="single" w:sz="8" w:color="auto"/>
            </w:tcBorders>
            <w:gridSpan w:val="2"/>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60" w:type="dxa"/>
            <w:vAlign w:val="bottom"/>
            <w:gridSpan w:val="2"/>
          </w:tcPr>
          <w:p>
            <w:pPr>
              <w:spacing w:after="0" w:line="201" w:lineRule="exact"/>
              <w:rPr>
                <w:sz w:val="20"/>
                <w:szCs w:val="20"/>
                <w:color w:val="auto"/>
              </w:rPr>
            </w:pPr>
            <w:r>
              <w:rPr>
                <w:rFonts w:ascii="Arial" w:cs="Arial" w:eastAsia="Arial" w:hAnsi="Arial"/>
                <w:sz w:val="18"/>
                <w:szCs w:val="18"/>
                <w:color w:val="auto"/>
              </w:rPr>
              <w:t>Measured at Fair Value on a Recurring Basis</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Assets</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securities at fair value</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20"/>
              <w:spacing w:after="0"/>
              <w:rPr>
                <w:sz w:val="20"/>
                <w:szCs w:val="20"/>
                <w:color w:val="auto"/>
              </w:rPr>
            </w:pPr>
            <w:r>
              <w:rPr>
                <w:rFonts w:ascii="Arial" w:cs="Arial" w:eastAsia="Arial" w:hAnsi="Arial"/>
                <w:sz w:val="18"/>
                <w:szCs w:val="18"/>
                <w:color w:val="auto"/>
              </w:rPr>
              <w:t>Securities available for sale</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agency</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20,014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80"/>
              <w:spacing w:after="0"/>
              <w:rPr>
                <w:sz w:val="20"/>
                <w:szCs w:val="20"/>
                <w:color w:val="auto"/>
              </w:rPr>
            </w:pPr>
            <w:r>
              <w:rPr>
                <w:rFonts w:ascii="Arial" w:cs="Arial" w:eastAsia="Arial" w:hAnsi="Arial"/>
                <w:sz w:val="18"/>
                <w:szCs w:val="18"/>
                <w:color w:val="auto"/>
              </w:rPr>
              <w:t>U.S. agency residential mortgage-backed</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123,751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123,751</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agency commercial mortgage-backed</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5,726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80"/>
              <w:spacing w:after="0"/>
              <w:rPr>
                <w:sz w:val="20"/>
                <w:szCs w:val="20"/>
                <w:color w:val="auto"/>
              </w:rPr>
            </w:pPr>
            <w:r>
              <w:rPr>
                <w:rFonts w:ascii="Arial" w:cs="Arial" w:eastAsia="Arial" w:hAnsi="Arial"/>
                <w:sz w:val="18"/>
                <w:szCs w:val="18"/>
                <w:color w:val="auto"/>
              </w:rPr>
              <w:t>Private label mortgage-backed</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29,419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29,419</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 backed</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83,319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83,319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80"/>
              <w:spacing w:after="0"/>
              <w:rPr>
                <w:sz w:val="20"/>
                <w:szCs w:val="20"/>
                <w:color w:val="auto"/>
              </w:rPr>
            </w:pPr>
            <w:r>
              <w:rPr>
                <w:rFonts w:ascii="Arial" w:cs="Arial" w:eastAsia="Arial" w:hAnsi="Arial"/>
                <w:sz w:val="18"/>
                <w:szCs w:val="18"/>
                <w:color w:val="auto"/>
              </w:rPr>
              <w:t>Obligations of states and political subdivisions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127,555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127,555</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Corporate</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34,309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80"/>
              <w:spacing w:after="0"/>
              <w:rPr>
                <w:sz w:val="20"/>
                <w:szCs w:val="20"/>
                <w:color w:val="auto"/>
              </w:rPr>
            </w:pPr>
            <w:r>
              <w:rPr>
                <w:rFonts w:ascii="Arial" w:cs="Arial" w:eastAsia="Arial" w:hAnsi="Arial"/>
                <w:sz w:val="18"/>
                <w:szCs w:val="18"/>
                <w:color w:val="auto"/>
              </w:rPr>
              <w:t>Trust preferred</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1,819</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Foreign government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20"/>
              <w:spacing w:after="0"/>
              <w:rPr>
                <w:sz w:val="20"/>
                <w:szCs w:val="20"/>
                <w:color w:val="auto"/>
              </w:rPr>
            </w:pPr>
            <w:r>
              <w:rPr>
                <w:rFonts w:ascii="Arial" w:cs="Arial" w:eastAsia="Arial" w:hAnsi="Arial"/>
                <w:sz w:val="18"/>
                <w:szCs w:val="18"/>
                <w:color w:val="auto"/>
              </w:rPr>
              <w:t>Loans held for sale, carried at fair value</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44,753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44,753</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Capitalized mortgage loan servicing rights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20"/>
              <w:spacing w:after="0"/>
              <w:rPr>
                <w:sz w:val="20"/>
                <w:szCs w:val="20"/>
                <w:color w:val="auto"/>
              </w:rPr>
            </w:pPr>
            <w:r>
              <w:rPr>
                <w:rFonts w:ascii="Arial" w:cs="Arial" w:eastAsia="Arial" w:hAnsi="Arial"/>
                <w:sz w:val="18"/>
                <w:szCs w:val="18"/>
                <w:color w:val="auto"/>
              </w:rPr>
              <w:t>Derivatives (1)</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5,155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5,155</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20"/>
              <w:spacing w:after="0"/>
              <w:rPr>
                <w:sz w:val="20"/>
                <w:szCs w:val="20"/>
                <w:color w:val="auto"/>
              </w:rPr>
            </w:pPr>
            <w:r>
              <w:rPr>
                <w:rFonts w:ascii="Arial" w:cs="Arial" w:eastAsia="Arial" w:hAnsi="Arial"/>
                <w:sz w:val="18"/>
                <w:szCs w:val="18"/>
                <w:color w:val="auto"/>
              </w:rPr>
              <w:t>Derivatives (2)</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2,326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2,326</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Measured at Fair Value on a Non-recurring Basis: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20"/>
              <w:spacing w:after="0"/>
              <w:rPr>
                <w:sz w:val="20"/>
                <w:szCs w:val="20"/>
                <w:color w:val="auto"/>
              </w:rPr>
            </w:pPr>
            <w:r>
              <w:rPr>
                <w:rFonts w:ascii="Arial" w:cs="Arial" w:eastAsia="Arial" w:hAnsi="Arial"/>
                <w:sz w:val="18"/>
                <w:szCs w:val="18"/>
                <w:color w:val="auto"/>
              </w:rPr>
              <w:t>Loans held for sale, carried at the lower of cost or fair value</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41,471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41,471</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Impaired loans (3)</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Income producing - real estate</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640"/>
              <w:spacing w:after="0"/>
              <w:rPr>
                <w:sz w:val="20"/>
                <w:szCs w:val="20"/>
                <w:color w:val="auto"/>
              </w:rPr>
            </w:pPr>
            <w:r>
              <w:rPr>
                <w:rFonts w:ascii="Arial" w:cs="Arial" w:eastAsia="Arial" w:hAnsi="Arial"/>
                <w:sz w:val="18"/>
                <w:szCs w:val="18"/>
                <w:color w:val="auto"/>
              </w:rPr>
              <w:t>Land, land development &amp; construction-real estate</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Commercial and industrial</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80"/>
              <w:spacing w:after="0"/>
              <w:rPr>
                <w:sz w:val="20"/>
                <w:szCs w:val="20"/>
                <w:color w:val="auto"/>
              </w:rPr>
            </w:pPr>
            <w:r>
              <w:rPr>
                <w:rFonts w:ascii="Arial" w:cs="Arial" w:eastAsia="Arial" w:hAnsi="Arial"/>
                <w:sz w:val="18"/>
                <w:szCs w:val="18"/>
                <w:color w:val="auto"/>
              </w:rPr>
              <w:t>Mortgage</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1-4 family</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640"/>
              <w:spacing w:after="0"/>
              <w:rPr>
                <w:sz w:val="20"/>
                <w:szCs w:val="20"/>
                <w:color w:val="auto"/>
              </w:rPr>
            </w:pPr>
            <w:r>
              <w:rPr>
                <w:rFonts w:ascii="Arial" w:cs="Arial" w:eastAsia="Arial" w:hAnsi="Arial"/>
                <w:sz w:val="18"/>
                <w:szCs w:val="18"/>
                <w:color w:val="auto"/>
              </w:rPr>
              <w:t>Resort lending</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real estate (4)</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80"/>
              <w:spacing w:after="0"/>
              <w:rPr>
                <w:sz w:val="20"/>
                <w:szCs w:val="20"/>
                <w:color w:val="auto"/>
              </w:rPr>
            </w:pPr>
            <w:r>
              <w:rPr>
                <w:rFonts w:ascii="Arial" w:cs="Arial" w:eastAsia="Arial" w:hAnsi="Arial"/>
                <w:sz w:val="18"/>
                <w:szCs w:val="18"/>
                <w:color w:val="auto"/>
              </w:rPr>
              <w:t>Mortgage</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1-4 family</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ind w:left="640"/>
              <w:spacing w:after="0"/>
              <w:rPr>
                <w:sz w:val="20"/>
                <w:szCs w:val="20"/>
                <w:color w:val="auto"/>
              </w:rPr>
            </w:pPr>
            <w:r>
              <w:rPr>
                <w:rFonts w:ascii="Arial" w:cs="Arial" w:eastAsia="Arial" w:hAnsi="Arial"/>
                <w:sz w:val="18"/>
                <w:szCs w:val="18"/>
                <w:color w:val="auto"/>
              </w:rPr>
              <w:t>Home equity - 2nd lien</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Included in accrued income and other assets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Only includes impaired loans with specific loss allocations based on collateral value.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Only includes other real estate with subsequent write downs to fair value.</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231F20"/>
        </w:rPr>
        <w:t>There were no transfers between Level 1 and Level 2 during the nine months ended September 30, 2019 and 2018.</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Changes in fair values for financial assets which we have elected the fair value option for the periods presented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0" w:type="dxa"/>
            <w:vAlign w:val="bottom"/>
            <w:gridSpan w:val="9"/>
          </w:tcPr>
          <w:p>
            <w:pPr>
              <w:jc w:val="center"/>
              <w:ind w:right="260"/>
              <w:spacing w:after="0"/>
              <w:rPr>
                <w:sz w:val="20"/>
                <w:szCs w:val="20"/>
                <w:color w:val="auto"/>
              </w:rPr>
            </w:pPr>
            <w:r>
              <w:rPr>
                <w:rFonts w:ascii="Arial" w:cs="Arial" w:eastAsia="Arial" w:hAnsi="Arial"/>
                <w:sz w:val="18"/>
                <w:szCs w:val="18"/>
                <w:color w:val="auto"/>
                <w:w w:val="90"/>
              </w:rPr>
              <w:t>Changes in Fair Values for the Nine-Month Periods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0" w:type="dxa"/>
            <w:vAlign w:val="bottom"/>
            <w:gridSpan w:val="9"/>
          </w:tcPr>
          <w:p>
            <w:pPr>
              <w:jc w:val="center"/>
              <w:ind w:right="240"/>
              <w:spacing w:after="0"/>
              <w:rPr>
                <w:sz w:val="20"/>
                <w:szCs w:val="20"/>
                <w:color w:val="auto"/>
              </w:rPr>
            </w:pPr>
            <w:r>
              <w:rPr>
                <w:rFonts w:ascii="Arial" w:cs="Arial" w:eastAsia="Arial" w:hAnsi="Arial"/>
                <w:sz w:val="18"/>
                <w:szCs w:val="18"/>
                <w:color w:val="auto"/>
                <w:w w:val="89"/>
              </w:rPr>
              <w:t>Ended September 30 for Items Measured at Fair Value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7"/>
          </w:tcPr>
          <w:p>
            <w:pPr>
              <w:jc w:val="center"/>
              <w:ind w:left="730"/>
              <w:spacing w:after="0"/>
              <w:rPr>
                <w:sz w:val="20"/>
                <w:szCs w:val="20"/>
                <w:color w:val="auto"/>
              </w:rPr>
            </w:pPr>
            <w:r>
              <w:rPr>
                <w:rFonts w:ascii="Arial" w:cs="Arial" w:eastAsia="Arial" w:hAnsi="Arial"/>
                <w:sz w:val="18"/>
                <w:szCs w:val="18"/>
                <w:color w:val="auto"/>
                <w:w w:val="91"/>
              </w:rPr>
              <w:t>Pursuant to Election of the Fair Value Option</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center"/>
              <w:ind w:right="90"/>
              <w:spacing w:after="0" w:line="201" w:lineRule="exact"/>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in Fair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Values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gridSpan w:val="4"/>
          </w:tcPr>
          <w:p>
            <w:pPr>
              <w:jc w:val="right"/>
              <w:ind w:right="700"/>
              <w:spacing w:after="0"/>
              <w:rPr>
                <w:sz w:val="20"/>
                <w:szCs w:val="20"/>
                <w:color w:val="auto"/>
              </w:rPr>
            </w:pPr>
            <w:r>
              <w:rPr>
                <w:rFonts w:ascii="Arial" w:cs="Arial" w:eastAsia="Arial" w:hAnsi="Arial"/>
                <w:sz w:val="18"/>
                <w:szCs w:val="18"/>
                <w:color w:val="auto"/>
              </w:rPr>
              <w:t>Net Gains (Losses)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Included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on Assets</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center"/>
              <w:ind w:right="210"/>
              <w:spacing w:after="0"/>
              <w:rPr>
                <w:sz w:val="20"/>
                <w:szCs w:val="20"/>
                <w:color w:val="auto"/>
              </w:rPr>
            </w:pPr>
            <w:r>
              <w:rPr>
                <w:rFonts w:ascii="Arial" w:cs="Arial" w:eastAsia="Arial" w:hAnsi="Arial"/>
                <w:sz w:val="18"/>
                <w:szCs w:val="18"/>
                <w:color w:val="auto"/>
                <w:w w:val="92"/>
              </w:rPr>
              <w:t>Mortgage</w:t>
            </w:r>
          </w:p>
        </w:tc>
        <w:tc>
          <w:tcPr>
            <w:tcW w:w="24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in Current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30"/>
              <w:spacing w:after="0" w:line="201" w:lineRule="exact"/>
              <w:rPr>
                <w:sz w:val="20"/>
                <w:szCs w:val="20"/>
                <w:color w:val="auto"/>
              </w:rPr>
            </w:pPr>
            <w:r>
              <w:rPr>
                <w:rFonts w:ascii="Arial" w:cs="Arial" w:eastAsia="Arial" w:hAnsi="Arial"/>
                <w:sz w:val="18"/>
                <w:szCs w:val="18"/>
                <w:color w:val="auto"/>
                <w:w w:val="89"/>
              </w:rPr>
              <w:t>Mortgage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210"/>
              <w:spacing w:after="0" w:line="201" w:lineRule="exact"/>
              <w:rPr>
                <w:sz w:val="20"/>
                <w:szCs w:val="20"/>
                <w:color w:val="auto"/>
              </w:rPr>
            </w:pPr>
            <w:r>
              <w:rPr>
                <w:rFonts w:ascii="Arial" w:cs="Arial" w:eastAsia="Arial" w:hAnsi="Arial"/>
                <w:sz w:val="18"/>
                <w:szCs w:val="18"/>
                <w:color w:val="auto"/>
                <w:w w:val="94"/>
              </w:rPr>
              <w:t>Loan</w:t>
            </w:r>
          </w:p>
        </w:tc>
        <w:tc>
          <w:tcPr>
            <w:tcW w:w="240" w:type="dxa"/>
            <w:vAlign w:val="bottom"/>
          </w:tcPr>
          <w:p>
            <w:pPr>
              <w:spacing w:after="0"/>
              <w:rPr>
                <w:sz w:val="17"/>
                <w:szCs w:val="17"/>
                <w:color w:val="auto"/>
              </w:rPr>
            </w:pPr>
          </w:p>
        </w:tc>
        <w:tc>
          <w:tcPr>
            <w:tcW w:w="108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92"/>
              </w:rPr>
              <w:t>Period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w w:val="96"/>
              </w:rPr>
              <w:t>Securities</w:t>
            </w:r>
          </w:p>
        </w:tc>
        <w:tc>
          <w:tcPr>
            <w:tcW w:w="320" w:type="dxa"/>
            <w:vAlign w:val="bottom"/>
          </w:tcPr>
          <w:p>
            <w:pPr>
              <w:spacing w:after="0"/>
              <w:rPr>
                <w:sz w:val="20"/>
                <w:szCs w:val="20"/>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Loans</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1"/>
              </w:rPr>
              <w:t>Servicing, net</w:t>
            </w:r>
          </w:p>
        </w:tc>
        <w:tc>
          <w:tcPr>
            <w:tcW w:w="24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Earnings</w:t>
            </w:r>
          </w:p>
        </w:tc>
        <w:tc>
          <w:tcPr>
            <w:tcW w:w="0" w:type="dxa"/>
            <w:vAlign w:val="bottom"/>
          </w:tcPr>
          <w:p>
            <w:pPr>
              <w:spacing w:after="0"/>
              <w:rPr>
                <w:sz w:val="1"/>
                <w:szCs w:val="1"/>
                <w:color w:val="auto"/>
              </w:rPr>
            </w:pPr>
          </w:p>
        </w:tc>
      </w:tr>
      <w:tr>
        <w:trPr>
          <w:trHeight w:val="230"/>
        </w:trPr>
        <w:tc>
          <w:tcPr>
            <w:tcW w:w="4660" w:type="dxa"/>
            <w:vAlign w:val="bottom"/>
            <w:gridSpan w:val="2"/>
            <w:vMerge w:val="restart"/>
          </w:tcPr>
          <w:p>
            <w:pPr>
              <w:jc w:val="right"/>
              <w:ind w:right="4210"/>
              <w:spacing w:after="0"/>
              <w:rPr>
                <w:sz w:val="20"/>
                <w:szCs w:val="20"/>
                <w:color w:val="auto"/>
              </w:rPr>
            </w:pPr>
            <w:r>
              <w:rPr>
                <w:rFonts w:ascii="Arial" w:cs="Arial" w:eastAsia="Arial" w:hAnsi="Arial"/>
                <w:sz w:val="18"/>
                <w:szCs w:val="18"/>
                <w:color w:val="auto"/>
                <w:w w:val="84"/>
              </w:rPr>
              <w:t>2019</w:t>
            </w:r>
          </w:p>
        </w:tc>
        <w:tc>
          <w:tcPr>
            <w:tcW w:w="14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400" w:type="dxa"/>
            <w:vAlign w:val="bottom"/>
            <w:tcBorders>
              <w:top w:val="single" w:sz="8" w:color="auto"/>
            </w:tcBorders>
            <w:gridSpan w:val="4"/>
          </w:tcPr>
          <w:p>
            <w:pPr>
              <w:jc w:val="center"/>
              <w:ind w:right="330"/>
              <w:spacing w:after="0"/>
              <w:rPr>
                <w:sz w:val="20"/>
                <w:szCs w:val="20"/>
                <w:color w:val="auto"/>
              </w:rPr>
            </w:pPr>
            <w:r>
              <w:rPr>
                <w:rFonts w:ascii="Arial" w:cs="Arial" w:eastAsia="Arial" w:hAnsi="Arial"/>
                <w:sz w:val="18"/>
                <w:szCs w:val="18"/>
                <w:color w:val="auto"/>
                <w:w w:val="88"/>
              </w:rPr>
              <w:t>(In thousands)</w:t>
            </w: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60" w:type="dxa"/>
            <w:vAlign w:val="bottom"/>
            <w:gridSpan w:val="2"/>
            <w:vMerge w:val="continue"/>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securities at fair value</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Loans held for sale</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822</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Capitalized mortgage loan servicing rights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Equity securities at fair value</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held for sale</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Capitalized mortgage loan servicing rights</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694</w:t>
            </w:r>
          </w:p>
        </w:tc>
        <w:tc>
          <w:tcPr>
            <w:tcW w:w="2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those items measured at fair value pursuant to our election of the fair value option, interest income is recorded within the Condensed Consolidated Statements of Operations based on the contractual amount of interest income earned on these financial assets and dividend income is recorded based on cash dividends received.</w:t>
      </w:r>
    </w:p>
    <w:p>
      <w:pPr>
        <w:spacing w:after="0" w:line="213" w:lineRule="exact"/>
        <w:rPr>
          <w:sz w:val="20"/>
          <w:szCs w:val="20"/>
          <w:color w:val="auto"/>
        </w:rPr>
      </w:pPr>
    </w:p>
    <w:p>
      <w:pPr>
        <w:spacing w:after="0" w:line="241" w:lineRule="auto"/>
        <w:rPr>
          <w:sz w:val="20"/>
          <w:szCs w:val="20"/>
          <w:color w:val="auto"/>
        </w:rPr>
      </w:pPr>
      <w:r>
        <w:rPr>
          <w:rFonts w:ascii="Arial" w:cs="Arial" w:eastAsia="Arial" w:hAnsi="Arial"/>
          <w:sz w:val="22"/>
          <w:szCs w:val="22"/>
          <w:color w:val="auto"/>
        </w:rPr>
        <w:t>The following represent impairment charges recognized during the three and nine month periods ended September 30, 2019 and 2018 relating to assets measured at fair value on a non-recurring basis:</w:t>
      </w:r>
    </w:p>
    <w:p>
      <w:pPr>
        <w:spacing w:after="0" w:line="1" w:lineRule="exact"/>
        <w:rPr>
          <w:sz w:val="20"/>
          <w:szCs w:val="20"/>
          <w:color w:val="auto"/>
        </w:rPr>
      </w:pPr>
    </w:p>
    <w:p>
      <w:pPr>
        <w:jc w:val="both"/>
        <w:ind w:left="660" w:hanging="328"/>
        <w:spacing w:after="0" w:line="264"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231F20"/>
        </w:rPr>
        <w:t xml:space="preserve">Loans which are measured for impairment using the fair value of collateral for collateral dependent loans had a carrying amount of $2.2 million, which is net of a valuation allowance of $0.9 million at September 30, 2019, and had a carrying amount of $3.5 million, which is net of a valuation allowance of $1.5 million at December 31, 2018. </w:t>
      </w:r>
      <w:r>
        <w:rPr>
          <w:rFonts w:ascii="Arial" w:cs="Arial" w:eastAsia="Arial" w:hAnsi="Arial"/>
          <w:sz w:val="17"/>
          <w:szCs w:val="17"/>
          <w:color w:val="000000"/>
        </w:rPr>
        <w:t>The provision for loan losses included in our results of operations relating to impaired loans was a</w:t>
      </w:r>
      <w:r>
        <w:rPr>
          <w:rFonts w:ascii="Arial" w:cs="Arial" w:eastAsia="Arial" w:hAnsi="Arial"/>
          <w:sz w:val="17"/>
          <w:szCs w:val="17"/>
          <w:color w:val="231F20"/>
        </w:rPr>
        <w:t xml:space="preserve"> </w:t>
      </w:r>
      <w:r>
        <w:rPr>
          <w:rFonts w:ascii="Arial" w:cs="Arial" w:eastAsia="Arial" w:hAnsi="Arial"/>
          <w:sz w:val="17"/>
          <w:szCs w:val="17"/>
          <w:color w:val="000000"/>
        </w:rPr>
        <w:t>net expense of $0.5 million and $0.1 million for the three month periods ending September 30, 2019 and 2018, respectively, and a net expense of $0.8 million and $0.5 million for the nine month periods ending September 30, 2019 and 2018, respectively.</w:t>
      </w:r>
    </w:p>
    <w:p>
      <w:pPr>
        <w:spacing w:after="0" w:line="3" w:lineRule="exact"/>
        <w:rPr>
          <w:rFonts w:ascii="Arial" w:cs="Arial" w:eastAsia="Arial" w:hAnsi="Arial"/>
          <w:sz w:val="17"/>
          <w:szCs w:val="17"/>
          <w:color w:val="auto"/>
        </w:rPr>
      </w:pPr>
    </w:p>
    <w:p>
      <w:pPr>
        <w:jc w:val="both"/>
        <w:ind w:left="660" w:hanging="328"/>
        <w:spacing w:after="0" w:line="25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 xml:space="preserve">Other real estate, which is measured using the fair value of the property, had a carrying amount of $0.1 million which is net of a valuation allowance of $0.1 million at September 30, 2019, and a carrying amount of $0.2 million, which is net of a valuation allowance of $0.1 million, at December 31, 2018. </w:t>
      </w:r>
      <w:r>
        <w:rPr>
          <w:rFonts w:ascii="Arial" w:cs="Arial" w:eastAsia="Arial" w:hAnsi="Arial"/>
          <w:sz w:val="18"/>
          <w:szCs w:val="18"/>
          <w:color w:val="000000"/>
        </w:rPr>
        <w:t>Charges included in our results of operations relating to other real estate measured at fair value were $0.07 million and $0.08 million during</w:t>
      </w:r>
      <w:r>
        <w:rPr>
          <w:rFonts w:ascii="Arial" w:cs="Arial" w:eastAsia="Arial" w:hAnsi="Arial"/>
          <w:sz w:val="18"/>
          <w:szCs w:val="18"/>
          <w:color w:val="231F20"/>
        </w:rPr>
        <w:t xml:space="preserve"> </w:t>
      </w:r>
      <w:r>
        <w:rPr>
          <w:rFonts w:ascii="Arial" w:cs="Arial" w:eastAsia="Arial" w:hAnsi="Arial"/>
          <w:sz w:val="18"/>
          <w:szCs w:val="18"/>
          <w:color w:val="000000"/>
        </w:rPr>
        <w:t>the three and nine month periods ended September 30, 2019, and were $0.04 million during each of the three and nine month periods ended September 30, 2018.</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A reconciliation for all assets measured at fair value on a recurring basis using significant unobservable inputs (Level 3)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11"/>
          </w:tcPr>
          <w:p>
            <w:pPr>
              <w:jc w:val="right"/>
              <w:ind w:right="65"/>
              <w:spacing w:after="0"/>
              <w:rPr>
                <w:sz w:val="20"/>
                <w:szCs w:val="20"/>
                <w:color w:val="auto"/>
              </w:rPr>
            </w:pPr>
            <w:r>
              <w:rPr>
                <w:rFonts w:ascii="Arial" w:cs="Arial" w:eastAsia="Arial" w:hAnsi="Arial"/>
                <w:sz w:val="18"/>
                <w:szCs w:val="18"/>
                <w:color w:val="auto"/>
              </w:rPr>
              <w:t>Capitalized Mortgage Loan Servicing Rights</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6"/>
          </w:tcPr>
          <w:p>
            <w:pPr>
              <w:jc w:val="right"/>
              <w:ind w:right="720"/>
              <w:spacing w:after="0" w:line="201" w:lineRule="exact"/>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7"/>
                <w:szCs w:val="17"/>
                <w:color w:val="auto"/>
              </w:rPr>
            </w:pPr>
          </w:p>
        </w:tc>
        <w:tc>
          <w:tcPr>
            <w:tcW w:w="2260" w:type="dxa"/>
            <w:vAlign w:val="bottom"/>
            <w:gridSpan w:val="5"/>
          </w:tcPr>
          <w:p>
            <w:pPr>
              <w:jc w:val="right"/>
              <w:ind w:right="430"/>
              <w:spacing w:after="0" w:line="201" w:lineRule="exact"/>
              <w:rPr>
                <w:sz w:val="20"/>
                <w:szCs w:val="20"/>
                <w:color w:val="auto"/>
              </w:rPr>
            </w:pPr>
            <w:r>
              <w:rPr>
                <w:rFonts w:ascii="Arial" w:cs="Arial" w:eastAsia="Arial" w:hAnsi="Arial"/>
                <w:sz w:val="18"/>
                <w:szCs w:val="18"/>
                <w:color w:val="auto"/>
              </w:rPr>
              <w:t>Nine Months Ended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ind w:left="48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2018</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620" w:type="dxa"/>
            <w:vAlign w:val="bottom"/>
            <w:gridSpan w:val="3"/>
          </w:tcPr>
          <w:p>
            <w:pPr>
              <w:jc w:val="right"/>
              <w:spacing w:after="0"/>
              <w:rPr>
                <w:sz w:val="20"/>
                <w:szCs w:val="20"/>
                <w:color w:val="auto"/>
              </w:rPr>
            </w:pPr>
            <w:r>
              <w:rPr>
                <w:rFonts w:ascii="Arial" w:cs="Arial" w:eastAsia="Arial" w:hAnsi="Arial"/>
                <w:sz w:val="17"/>
                <w:szCs w:val="17"/>
                <w:color w:val="auto"/>
                <w:w w:val="71"/>
              </w:rPr>
              <w:t>thousands)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ind w:left="50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17,894</w:t>
            </w:r>
          </w:p>
        </w:tc>
        <w:tc>
          <w:tcPr>
            <w:tcW w:w="4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21,848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21,400</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Total gains (losses) realized and unrealized: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Included in results of operations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rPr>
              <w:t>Included in other comprehensive income (loss)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issuances, settlements, maturities and calls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4,764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Transfers in and/or out of Level 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16,906</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23,151</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16,906</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Amount of total gains (losses) for the period included in earnings attributable to</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the change in unrealized gains (losses) relating to assets and liabilities still held</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 September 30</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4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(9,258)</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fair value of our capitalized mortgage loan servicing rights has been determined based on a valuation model used by an independent third party as discussed above. The significant unobservable inputs used in the fair value measurement of the capitalized mortgage loan servicing rights are discount rate, cost to service, ancillary income, float rate and prepayment rate. Significant changes in all four of these assumptions in isolation would result in significant changes to the value of our capitalized mortgage loan servicing rights. Quantitative information about our Level 3 fair value measurements measured on a recurring basis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Asset</w:t>
            </w:r>
          </w:p>
        </w:tc>
        <w:tc>
          <w:tcPr>
            <w:tcW w:w="1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Fair</w:t>
            </w:r>
          </w:p>
        </w:tc>
        <w:tc>
          <w:tcPr>
            <w:tcW w:w="1740" w:type="dxa"/>
            <w:vAlign w:val="bottom"/>
          </w:tcPr>
          <w:p>
            <w:pPr>
              <w:ind w:left="840"/>
              <w:spacing w:after="0"/>
              <w:rPr>
                <w:sz w:val="20"/>
                <w:szCs w:val="20"/>
                <w:color w:val="auto"/>
              </w:rPr>
            </w:pPr>
            <w:r>
              <w:rPr>
                <w:rFonts w:ascii="Arial" w:cs="Arial" w:eastAsia="Arial" w:hAnsi="Arial"/>
                <w:sz w:val="18"/>
                <w:szCs w:val="18"/>
                <w:color w:val="auto"/>
              </w:rPr>
              <w:t>Valuation</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0"/>
              </w:rPr>
              <w:t>Unobservable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Weighted</w:t>
            </w:r>
          </w:p>
        </w:tc>
        <w:tc>
          <w:tcPr>
            <w:tcW w:w="0" w:type="dxa"/>
            <w:vAlign w:val="bottom"/>
          </w:tcPr>
          <w:p>
            <w:pPr>
              <w:spacing w:after="0"/>
              <w:rPr>
                <w:sz w:val="1"/>
                <w:szCs w:val="1"/>
                <w:color w:val="auto"/>
              </w:rPr>
            </w:pPr>
          </w:p>
        </w:tc>
      </w:tr>
      <w:tr>
        <w:trPr>
          <w:trHeight w:val="237"/>
        </w:trPr>
        <w:tc>
          <w:tcPr>
            <w:tcW w:w="2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Value</w:t>
            </w:r>
          </w:p>
        </w:tc>
        <w:tc>
          <w:tcPr>
            <w:tcW w:w="1740" w:type="dxa"/>
            <w:vAlign w:val="bottom"/>
          </w:tcPr>
          <w:p>
            <w:pPr>
              <w:ind w:left="820"/>
              <w:spacing w:after="0"/>
              <w:rPr>
                <w:sz w:val="20"/>
                <w:szCs w:val="20"/>
                <w:color w:val="auto"/>
              </w:rPr>
            </w:pPr>
            <w:r>
              <w:rPr>
                <w:rFonts w:ascii="Arial" w:cs="Arial" w:eastAsia="Arial" w:hAnsi="Arial"/>
                <w:sz w:val="18"/>
                <w:szCs w:val="18"/>
                <w:color w:val="auto"/>
              </w:rPr>
              <w:t>Technique</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Inputs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Range</w:t>
            </w:r>
          </w:p>
        </w:tc>
        <w:tc>
          <w:tcPr>
            <w:tcW w:w="16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Average</w:t>
            </w:r>
          </w:p>
        </w:tc>
        <w:tc>
          <w:tcPr>
            <w:tcW w:w="0" w:type="dxa"/>
            <w:vAlign w:val="bottom"/>
          </w:tcPr>
          <w:p>
            <w:pPr>
              <w:spacing w:after="0"/>
              <w:rPr>
                <w:sz w:val="1"/>
                <w:szCs w:val="1"/>
                <w:color w:val="auto"/>
              </w:rPr>
            </w:pPr>
          </w:p>
        </w:tc>
      </w:tr>
      <w:tr>
        <w:trPr>
          <w:trHeight w:val="230"/>
        </w:trPr>
        <w:tc>
          <w:tcPr>
            <w:tcW w:w="2200" w:type="dxa"/>
            <w:vAlign w:val="bottom"/>
            <w:vMerge w:val="restart"/>
          </w:tcPr>
          <w:p>
            <w:pPr>
              <w:spacing w:after="0"/>
              <w:rPr>
                <w:sz w:val="20"/>
                <w:szCs w:val="20"/>
                <w:color w:val="auto"/>
              </w:rPr>
            </w:pPr>
            <w:r>
              <w:rPr>
                <w:rFonts w:ascii="Arial" w:cs="Arial" w:eastAsia="Arial" w:hAnsi="Arial"/>
                <w:sz w:val="18"/>
                <w:szCs w:val="18"/>
                <w:color w:val="auto"/>
              </w:rPr>
              <w:t>September 30, 2019</w:t>
            </w:r>
          </w:p>
        </w:tc>
        <w:tc>
          <w:tcPr>
            <w:tcW w:w="280" w:type="dxa"/>
            <w:vAlign w:val="bottom"/>
          </w:tcPr>
          <w:p>
            <w:pPr>
              <w:spacing w:after="0"/>
              <w:rPr>
                <w:sz w:val="20"/>
                <w:szCs w:val="20"/>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20"/>
                <w:szCs w:val="20"/>
                <w:color w:val="auto"/>
              </w:rPr>
            </w:pPr>
          </w:p>
        </w:tc>
        <w:tc>
          <w:tcPr>
            <w:tcW w:w="17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Capitalized mortgage loan</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servicing rights</w:t>
            </w:r>
          </w:p>
        </w:tc>
        <w:tc>
          <w:tcPr>
            <w:tcW w:w="5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16,906</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net</w:t>
            </w:r>
          </w:p>
        </w:tc>
        <w:tc>
          <w:tcPr>
            <w:tcW w:w="620" w:type="dxa"/>
            <w:vAlign w:val="bottom"/>
            <w:shd w:val="clear" w:color="auto" w:fill="CCEEFF"/>
          </w:tcPr>
          <w:p>
            <w:pPr>
              <w:spacing w:after="0"/>
              <w:rPr>
                <w:sz w:val="20"/>
                <w:szCs w:val="20"/>
                <w:color w:val="auto"/>
              </w:rPr>
            </w:pPr>
          </w:p>
        </w:tc>
        <w:tc>
          <w:tcPr>
            <w:tcW w:w="2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Discount rate</w:t>
            </w:r>
          </w:p>
        </w:tc>
        <w:tc>
          <w:tcPr>
            <w:tcW w:w="100" w:type="dxa"/>
            <w:vAlign w:val="bottom"/>
            <w:shd w:val="clear" w:color="auto" w:fill="CCEEFF"/>
          </w:tcPr>
          <w:p>
            <w:pPr>
              <w:spacing w:after="0"/>
              <w:rPr>
                <w:sz w:val="20"/>
                <w:szCs w:val="20"/>
                <w:color w:val="auto"/>
              </w:rPr>
            </w:pP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9"/>
              </w:rPr>
              <w:t>10.00% to 13.00%</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servicing revenue</w:t>
            </w:r>
          </w:p>
        </w:tc>
        <w:tc>
          <w:tcPr>
            <w:tcW w:w="620" w:type="dxa"/>
            <w:vAlign w:val="bottom"/>
          </w:tcPr>
          <w:p>
            <w:pPr>
              <w:spacing w:after="0"/>
              <w:rPr>
                <w:sz w:val="18"/>
                <w:szCs w:val="18"/>
                <w:color w:val="auto"/>
              </w:rPr>
            </w:pP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Cost to service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63 to $216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Ancillary income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 to 36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Float rate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Prepayment rate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7.01% to 29.80%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December 31, 2018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Capitalized mortgage loan</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servicing rights</w:t>
            </w:r>
          </w:p>
        </w:tc>
        <w:tc>
          <w:tcPr>
            <w:tcW w:w="5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21,400</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net</w:t>
            </w:r>
          </w:p>
        </w:tc>
        <w:tc>
          <w:tcPr>
            <w:tcW w:w="620" w:type="dxa"/>
            <w:vAlign w:val="bottom"/>
            <w:shd w:val="clear" w:color="auto" w:fill="CCEEFF"/>
          </w:tcPr>
          <w:p>
            <w:pPr>
              <w:spacing w:after="0"/>
              <w:rPr>
                <w:sz w:val="20"/>
                <w:szCs w:val="20"/>
                <w:color w:val="auto"/>
              </w:rPr>
            </w:pPr>
          </w:p>
        </w:tc>
        <w:tc>
          <w:tcPr>
            <w:tcW w:w="2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Discount rate</w:t>
            </w:r>
          </w:p>
        </w:tc>
        <w:tc>
          <w:tcPr>
            <w:tcW w:w="100" w:type="dxa"/>
            <w:vAlign w:val="bottom"/>
            <w:shd w:val="clear" w:color="auto" w:fill="CCEEFF"/>
          </w:tcPr>
          <w:p>
            <w:pPr>
              <w:spacing w:after="0"/>
              <w:rPr>
                <w:sz w:val="20"/>
                <w:szCs w:val="20"/>
                <w:color w:val="auto"/>
              </w:rPr>
            </w:pP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9"/>
              </w:rPr>
              <w:t>10.00% to 13.00%</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servicing revenue</w:t>
            </w:r>
          </w:p>
        </w:tc>
        <w:tc>
          <w:tcPr>
            <w:tcW w:w="620" w:type="dxa"/>
            <w:vAlign w:val="bottom"/>
          </w:tcPr>
          <w:p>
            <w:pPr>
              <w:spacing w:after="0"/>
              <w:rPr>
                <w:sz w:val="18"/>
                <w:szCs w:val="18"/>
                <w:color w:val="auto"/>
              </w:rPr>
            </w:pP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Cost to service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68 to $216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Ancillary income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 to 36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Float rate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Prepayment rate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6.68% to 78.78%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596"/>
        </w:trPr>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20" w:type="dxa"/>
            <w:vAlign w:val="bottom"/>
          </w:tcPr>
          <w:p>
            <w:pPr>
              <w:jc w:val="right"/>
              <w:ind w:right="22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Quantitative information about Level 3 fair value measurements measured on a non-recurring basis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Asset</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Fair</w:t>
            </w:r>
          </w:p>
        </w:tc>
        <w:tc>
          <w:tcPr>
            <w:tcW w:w="2020" w:type="dxa"/>
            <w:vAlign w:val="bottom"/>
          </w:tcPr>
          <w:p>
            <w:pPr>
              <w:ind w:left="660"/>
              <w:spacing w:after="0"/>
              <w:rPr>
                <w:sz w:val="20"/>
                <w:szCs w:val="20"/>
                <w:color w:val="auto"/>
              </w:rPr>
            </w:pPr>
            <w:r>
              <w:rPr>
                <w:rFonts w:ascii="Arial" w:cs="Arial" w:eastAsia="Arial" w:hAnsi="Arial"/>
                <w:sz w:val="18"/>
                <w:szCs w:val="18"/>
                <w:color w:val="auto"/>
              </w:rPr>
              <w:t>Valuation</w:t>
            </w:r>
          </w:p>
        </w:tc>
        <w:tc>
          <w:tcPr>
            <w:tcW w:w="100" w:type="dxa"/>
            <w:vAlign w:val="bottom"/>
          </w:tcPr>
          <w:p>
            <w:pPr>
              <w:spacing w:after="0"/>
              <w:rPr>
                <w:sz w:val="18"/>
                <w:szCs w:val="18"/>
                <w:color w:val="auto"/>
              </w:rPr>
            </w:pPr>
          </w:p>
        </w:tc>
        <w:tc>
          <w:tcPr>
            <w:tcW w:w="2040" w:type="dxa"/>
            <w:vAlign w:val="bottom"/>
          </w:tcPr>
          <w:p>
            <w:pPr>
              <w:ind w:left="520"/>
              <w:spacing w:after="0"/>
              <w:rPr>
                <w:sz w:val="20"/>
                <w:szCs w:val="20"/>
                <w:color w:val="auto"/>
              </w:rPr>
            </w:pPr>
            <w:r>
              <w:rPr>
                <w:rFonts w:ascii="Arial" w:cs="Arial" w:eastAsia="Arial" w:hAnsi="Arial"/>
                <w:sz w:val="18"/>
                <w:szCs w:val="18"/>
                <w:color w:val="auto"/>
              </w:rPr>
              <w:t>Unobservable</w:t>
            </w: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Weighted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Value</w:t>
            </w:r>
          </w:p>
        </w:tc>
        <w:tc>
          <w:tcPr>
            <w:tcW w:w="2020" w:type="dxa"/>
            <w:vAlign w:val="bottom"/>
          </w:tcPr>
          <w:p>
            <w:pPr>
              <w:ind w:left="640"/>
              <w:spacing w:after="0"/>
              <w:rPr>
                <w:sz w:val="20"/>
                <w:szCs w:val="20"/>
                <w:color w:val="auto"/>
              </w:rPr>
            </w:pPr>
            <w:r>
              <w:rPr>
                <w:rFonts w:ascii="Arial" w:cs="Arial" w:eastAsia="Arial" w:hAnsi="Arial"/>
                <w:sz w:val="18"/>
                <w:szCs w:val="18"/>
                <w:color w:val="auto"/>
              </w:rPr>
              <w:t>Technique</w:t>
            </w:r>
          </w:p>
        </w:tc>
        <w:tc>
          <w:tcPr>
            <w:tcW w:w="100" w:type="dxa"/>
            <w:vAlign w:val="bottom"/>
          </w:tcPr>
          <w:p>
            <w:pPr>
              <w:spacing w:after="0"/>
              <w:rPr>
                <w:sz w:val="20"/>
                <w:szCs w:val="20"/>
                <w:color w:val="auto"/>
              </w:rPr>
            </w:pPr>
          </w:p>
        </w:tc>
        <w:tc>
          <w:tcPr>
            <w:tcW w:w="2040" w:type="dxa"/>
            <w:vAlign w:val="bottom"/>
          </w:tcPr>
          <w:p>
            <w:pPr>
              <w:ind w:left="800"/>
              <w:spacing w:after="0"/>
              <w:rPr>
                <w:sz w:val="20"/>
                <w:szCs w:val="20"/>
                <w:color w:val="auto"/>
              </w:rPr>
            </w:pPr>
            <w:r>
              <w:rPr>
                <w:rFonts w:ascii="Arial" w:cs="Arial" w:eastAsia="Arial" w:hAnsi="Arial"/>
                <w:sz w:val="18"/>
                <w:szCs w:val="18"/>
                <w:color w:val="auto"/>
              </w:rPr>
              <w:t>Inputs</w:t>
            </w:r>
          </w:p>
        </w:tc>
        <w:tc>
          <w:tcPr>
            <w:tcW w:w="120" w:type="dxa"/>
            <w:vAlign w:val="bottom"/>
          </w:tcPr>
          <w:p>
            <w:pPr>
              <w:spacing w:after="0"/>
              <w:rPr>
                <w:sz w:val="20"/>
                <w:szCs w:val="20"/>
                <w:color w:val="auto"/>
              </w:rPr>
            </w:pPr>
          </w:p>
        </w:tc>
        <w:tc>
          <w:tcPr>
            <w:tcW w:w="2280" w:type="dxa"/>
            <w:vAlign w:val="bottom"/>
            <w:gridSpan w:val="2"/>
          </w:tcPr>
          <w:p>
            <w:pPr>
              <w:jc w:val="right"/>
              <w:ind w:right="980"/>
              <w:spacing w:after="0"/>
              <w:rPr>
                <w:sz w:val="20"/>
                <w:szCs w:val="20"/>
                <w:color w:val="auto"/>
              </w:rPr>
            </w:pPr>
            <w:r>
              <w:rPr>
                <w:rFonts w:ascii="Arial" w:cs="Arial" w:eastAsia="Arial" w:hAnsi="Arial"/>
                <w:sz w:val="18"/>
                <w:szCs w:val="18"/>
                <w:color w:val="auto"/>
              </w:rPr>
              <w:t>Range</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Average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14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0"/>
              </w:rPr>
              <w:t>(In thousands)</w:t>
            </w:r>
          </w:p>
        </w:tc>
        <w:tc>
          <w:tcPr>
            <w:tcW w:w="120" w:type="dxa"/>
            <w:vAlign w:val="bottom"/>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September 30, 2019</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Impaired loans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Commercial</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1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6"/>
              </w:rPr>
              <w:t>Adjustment for differences</w:t>
            </w:r>
          </w:p>
        </w:tc>
        <w:tc>
          <w:tcPr>
            <w:tcW w:w="1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between comparable</w:t>
            </w: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908</w:t>
            </w: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w w:val="89"/>
              </w:rPr>
              <w:t>Sales comparison approach</w:t>
            </w:r>
          </w:p>
        </w:tc>
        <w:tc>
          <w:tcPr>
            <w:tcW w:w="100" w:type="dxa"/>
            <w:vAlign w:val="bottom"/>
            <w:shd w:val="clear" w:color="auto" w:fill="CCEEFF"/>
          </w:tcPr>
          <w:p>
            <w:pPr>
              <w:spacing w:after="0"/>
              <w:rPr>
                <w:sz w:val="20"/>
                <w:szCs w:val="20"/>
                <w:color w:val="auto"/>
              </w:rPr>
            </w:pPr>
          </w:p>
        </w:tc>
        <w:tc>
          <w:tcPr>
            <w:tcW w:w="2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20"/>
                <w:szCs w:val="20"/>
                <w:color w:val="auto"/>
              </w:rPr>
            </w:pP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 to 6.3%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Mortgage and</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1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6"/>
              </w:rPr>
              <w:t>Adjustment for differences</w:t>
            </w:r>
          </w:p>
        </w:tc>
        <w:tc>
          <w:tcPr>
            <w:tcW w:w="1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Installment(1)</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between comparable</w:t>
            </w: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1,277</w:t>
            </w: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w w:val="89"/>
              </w:rPr>
              <w:t>Sales comparison approach</w:t>
            </w:r>
          </w:p>
        </w:tc>
        <w:tc>
          <w:tcPr>
            <w:tcW w:w="100" w:type="dxa"/>
            <w:vAlign w:val="bottom"/>
            <w:shd w:val="clear" w:color="auto" w:fill="CCEEFF"/>
          </w:tcPr>
          <w:p>
            <w:pPr>
              <w:spacing w:after="0"/>
              <w:rPr>
                <w:sz w:val="20"/>
                <w:szCs w:val="20"/>
                <w:color w:val="auto"/>
              </w:rPr>
            </w:pPr>
          </w:p>
        </w:tc>
        <w:tc>
          <w:tcPr>
            <w:tcW w:w="2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20"/>
                <w:szCs w:val="20"/>
                <w:color w:val="auto"/>
              </w:rPr>
            </w:pP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(61.4) to 65.2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real estate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Mortgage</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14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6"/>
              </w:rPr>
              <w:t>Adjustment for differences</w:t>
            </w: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ind w:left="160"/>
              <w:spacing w:after="0"/>
              <w:rPr>
                <w:sz w:val="20"/>
                <w:szCs w:val="20"/>
                <w:color w:val="auto"/>
              </w:rPr>
            </w:pPr>
            <w:r>
              <w:rPr>
                <w:rFonts w:ascii="Arial" w:cs="Arial" w:eastAsia="Arial" w:hAnsi="Arial"/>
                <w:sz w:val="18"/>
                <w:szCs w:val="18"/>
                <w:color w:val="auto"/>
              </w:rPr>
              <w:t>between comparable</w:t>
            </w: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2020" w:type="dxa"/>
            <w:vAlign w:val="bottom"/>
          </w:tcPr>
          <w:p>
            <w:pPr>
              <w:spacing w:after="0"/>
              <w:rPr>
                <w:sz w:val="20"/>
                <w:szCs w:val="20"/>
                <w:color w:val="auto"/>
              </w:rPr>
            </w:pPr>
            <w:r>
              <w:rPr>
                <w:rFonts w:ascii="Arial" w:cs="Arial" w:eastAsia="Arial" w:hAnsi="Arial"/>
                <w:sz w:val="18"/>
                <w:szCs w:val="18"/>
                <w:color w:val="auto"/>
                <w:w w:val="89"/>
              </w:rPr>
              <w:t>Sales comparison approach</w:t>
            </w:r>
          </w:p>
        </w:tc>
        <w:tc>
          <w:tcPr>
            <w:tcW w:w="100" w:type="dxa"/>
            <w:vAlign w:val="bottom"/>
          </w:tcPr>
          <w:p>
            <w:pPr>
              <w:spacing w:after="0"/>
              <w:rPr>
                <w:sz w:val="20"/>
                <w:szCs w:val="20"/>
                <w:color w:val="auto"/>
              </w:rPr>
            </w:pPr>
          </w:p>
        </w:tc>
        <w:tc>
          <w:tcPr>
            <w:tcW w:w="2040" w:type="dxa"/>
            <w:vAlign w:val="bottom"/>
          </w:tcPr>
          <w:p>
            <w:pPr>
              <w:ind w:left="160"/>
              <w:spacing w:after="0"/>
              <w:rPr>
                <w:sz w:val="20"/>
                <w:szCs w:val="20"/>
                <w:color w:val="auto"/>
              </w:rPr>
            </w:pPr>
            <w:r>
              <w:rPr>
                <w:rFonts w:ascii="Arial" w:cs="Arial" w:eastAsia="Arial" w:hAnsi="Arial"/>
                <w:sz w:val="18"/>
                <w:szCs w:val="18"/>
                <w:color w:val="auto"/>
              </w:rPr>
              <w:t>sales</w:t>
            </w:r>
          </w:p>
        </w:tc>
        <w:tc>
          <w:tcPr>
            <w:tcW w:w="120" w:type="dxa"/>
            <w:vAlign w:val="bottom"/>
          </w:tcPr>
          <w:p>
            <w:pPr>
              <w:spacing w:after="0"/>
              <w:rPr>
                <w:sz w:val="20"/>
                <w:szCs w:val="20"/>
                <w:color w:val="auto"/>
              </w:rPr>
            </w:pP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(36.4) to 16.3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December 31, 2018</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Impaired loans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Commercial(2)</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14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6"/>
              </w:rPr>
              <w:t>Adjustment for differences</w:t>
            </w: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ind w:left="160"/>
              <w:spacing w:after="0"/>
              <w:rPr>
                <w:sz w:val="20"/>
                <w:szCs w:val="20"/>
                <w:color w:val="auto"/>
              </w:rPr>
            </w:pPr>
            <w:r>
              <w:rPr>
                <w:rFonts w:ascii="Arial" w:cs="Arial" w:eastAsia="Arial" w:hAnsi="Arial"/>
                <w:sz w:val="18"/>
                <w:szCs w:val="18"/>
                <w:color w:val="auto"/>
              </w:rPr>
              <w:t>between comparable</w:t>
            </w: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2,566</w:t>
            </w:r>
          </w:p>
        </w:tc>
        <w:tc>
          <w:tcPr>
            <w:tcW w:w="2020" w:type="dxa"/>
            <w:vAlign w:val="bottom"/>
          </w:tcPr>
          <w:p>
            <w:pPr>
              <w:spacing w:after="0"/>
              <w:rPr>
                <w:sz w:val="20"/>
                <w:szCs w:val="20"/>
                <w:color w:val="auto"/>
              </w:rPr>
            </w:pPr>
            <w:r>
              <w:rPr>
                <w:rFonts w:ascii="Arial" w:cs="Arial" w:eastAsia="Arial" w:hAnsi="Arial"/>
                <w:sz w:val="18"/>
                <w:szCs w:val="18"/>
                <w:color w:val="auto"/>
                <w:w w:val="89"/>
              </w:rPr>
              <w:t>Sales comparison approach</w:t>
            </w:r>
          </w:p>
        </w:tc>
        <w:tc>
          <w:tcPr>
            <w:tcW w:w="100" w:type="dxa"/>
            <w:vAlign w:val="bottom"/>
          </w:tcPr>
          <w:p>
            <w:pPr>
              <w:spacing w:after="0"/>
              <w:rPr>
                <w:sz w:val="20"/>
                <w:szCs w:val="20"/>
                <w:color w:val="auto"/>
              </w:rPr>
            </w:pPr>
          </w:p>
        </w:tc>
        <w:tc>
          <w:tcPr>
            <w:tcW w:w="2040" w:type="dxa"/>
            <w:vAlign w:val="bottom"/>
          </w:tcPr>
          <w:p>
            <w:pPr>
              <w:ind w:left="160"/>
              <w:spacing w:after="0"/>
              <w:rPr>
                <w:sz w:val="20"/>
                <w:szCs w:val="20"/>
                <w:color w:val="auto"/>
              </w:rPr>
            </w:pPr>
            <w:r>
              <w:rPr>
                <w:rFonts w:ascii="Arial" w:cs="Arial" w:eastAsia="Arial" w:hAnsi="Arial"/>
                <w:sz w:val="18"/>
                <w:szCs w:val="18"/>
                <w:color w:val="auto"/>
              </w:rPr>
              <w:t>sales</w:t>
            </w:r>
          </w:p>
        </w:tc>
        <w:tc>
          <w:tcPr>
            <w:tcW w:w="120" w:type="dxa"/>
            <w:vAlign w:val="bottom"/>
          </w:tcPr>
          <w:p>
            <w:pPr>
              <w:spacing w:after="0"/>
              <w:rPr>
                <w:sz w:val="20"/>
                <w:szCs w:val="20"/>
                <w:color w:val="auto"/>
              </w:rPr>
            </w:pP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(32.5)% to 60.0%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Mortgage</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14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6"/>
              </w:rPr>
              <w:t>Adjustment for differences</w:t>
            </w: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ind w:left="160"/>
              <w:spacing w:after="0"/>
              <w:rPr>
                <w:sz w:val="20"/>
                <w:szCs w:val="20"/>
                <w:color w:val="auto"/>
              </w:rPr>
            </w:pPr>
            <w:r>
              <w:rPr>
                <w:rFonts w:ascii="Arial" w:cs="Arial" w:eastAsia="Arial" w:hAnsi="Arial"/>
                <w:sz w:val="18"/>
                <w:szCs w:val="18"/>
                <w:color w:val="auto"/>
              </w:rPr>
              <w:t>between comparable</w:t>
            </w: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905</w:t>
            </w: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8"/>
                <w:szCs w:val="18"/>
                <w:color w:val="auto"/>
                <w:w w:val="89"/>
              </w:rPr>
              <w:t>Sales comparison approach</w:t>
            </w:r>
          </w:p>
        </w:tc>
        <w:tc>
          <w:tcPr>
            <w:tcW w:w="100" w:type="dxa"/>
            <w:vAlign w:val="bottom"/>
          </w:tcPr>
          <w:p>
            <w:pPr>
              <w:spacing w:after="0"/>
              <w:rPr>
                <w:sz w:val="20"/>
                <w:szCs w:val="20"/>
                <w:color w:val="auto"/>
              </w:rPr>
            </w:pPr>
          </w:p>
        </w:tc>
        <w:tc>
          <w:tcPr>
            <w:tcW w:w="2040" w:type="dxa"/>
            <w:vAlign w:val="bottom"/>
          </w:tcPr>
          <w:p>
            <w:pPr>
              <w:ind w:left="160"/>
              <w:spacing w:after="0"/>
              <w:rPr>
                <w:sz w:val="20"/>
                <w:szCs w:val="20"/>
                <w:color w:val="auto"/>
              </w:rPr>
            </w:pPr>
            <w:r>
              <w:rPr>
                <w:rFonts w:ascii="Arial" w:cs="Arial" w:eastAsia="Arial" w:hAnsi="Arial"/>
                <w:sz w:val="18"/>
                <w:szCs w:val="18"/>
                <w:color w:val="auto"/>
              </w:rPr>
              <w:t>sales</w:t>
            </w:r>
          </w:p>
        </w:tc>
        <w:tc>
          <w:tcPr>
            <w:tcW w:w="120" w:type="dxa"/>
            <w:vAlign w:val="bottom"/>
          </w:tcPr>
          <w:p>
            <w:pPr>
              <w:spacing w:after="0"/>
              <w:rPr>
                <w:sz w:val="20"/>
                <w:szCs w:val="20"/>
                <w:color w:val="auto"/>
              </w:rPr>
            </w:pP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(40.1) to 25.6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Other real estate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Mortgage</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1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6"/>
              </w:rPr>
              <w:t>Adjustment for differences</w:t>
            </w:r>
          </w:p>
        </w:tc>
        <w:tc>
          <w:tcPr>
            <w:tcW w:w="1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between comparable</w:t>
            </w: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w w:val="89"/>
              </w:rPr>
              <w:t>Sales comparison approach</w:t>
            </w:r>
          </w:p>
        </w:tc>
        <w:tc>
          <w:tcPr>
            <w:tcW w:w="100" w:type="dxa"/>
            <w:vAlign w:val="bottom"/>
            <w:shd w:val="clear" w:color="auto" w:fill="CCEEFF"/>
          </w:tcPr>
          <w:p>
            <w:pPr>
              <w:spacing w:after="0"/>
              <w:rPr>
                <w:sz w:val="20"/>
                <w:szCs w:val="20"/>
                <w:color w:val="auto"/>
              </w:rPr>
            </w:pPr>
          </w:p>
        </w:tc>
        <w:tc>
          <w:tcPr>
            <w:tcW w:w="2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20"/>
                <w:szCs w:val="20"/>
                <w:color w:val="auto"/>
              </w:rPr>
            </w:pP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 to 34.1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hanging="332"/>
        <w:spacing w:after="0" w:line="256"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addition to the valuation techniques and unobservable inputs discussed above, at September 30, 2019 certain impaired collateral dependent installment loans totaling approximately $0.2 million are secured by collateral other than real estate. For the majority of these loans, we apply internal discount rates to industry valuation guides.</w:t>
      </w:r>
    </w:p>
    <w:p>
      <w:pPr>
        <w:jc w:val="both"/>
        <w:ind w:left="340" w:hanging="332"/>
        <w:spacing w:after="0" w:line="273"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addition to the valuation techniques and unobservable inputs discussed above, at December 31, 2018, we had an impaired collateral dependent commercial relationship that totaled $0.7 million that was secured by collateral other than real estate. Collateral securing this relationship primarily included accounts receivable, inventory and cash at December 31, 2018. Valuation techniques at December 31, 2018, included discounting financial statement values for each particular asset type. Discount rates used ranged from 20% to 80% of stated values at December 31, 2018.</w:t>
      </w:r>
    </w:p>
    <w:p>
      <w:pPr>
        <w:spacing w:after="0" w:line="197"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The following table reflects the difference between the aggregate fair value and the aggregate remaining contractual principal balance outstanding for loans held for sale for which the fair value option has been elected for the periods presented.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Aggregate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Contractual</w:t>
            </w:r>
          </w:p>
        </w:tc>
        <w:tc>
          <w:tcPr>
            <w:tcW w:w="0" w:type="dxa"/>
            <w:vAlign w:val="bottom"/>
          </w:tcPr>
          <w:p>
            <w:pPr>
              <w:spacing w:after="0"/>
              <w:rPr>
                <w:sz w:val="1"/>
                <w:szCs w:val="1"/>
                <w:color w:val="auto"/>
              </w:rPr>
            </w:pPr>
          </w:p>
        </w:tc>
      </w:tr>
      <w:tr>
        <w:trPr>
          <w:trHeight w:val="237"/>
        </w:trPr>
        <w:tc>
          <w:tcPr>
            <w:tcW w:w="36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1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Difference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Principal</w:t>
            </w:r>
          </w:p>
        </w:tc>
        <w:tc>
          <w:tcPr>
            <w:tcW w:w="0" w:type="dxa"/>
            <w:vAlign w:val="bottom"/>
          </w:tcPr>
          <w:p>
            <w:pPr>
              <w:spacing w:after="0"/>
              <w:rPr>
                <w:sz w:val="1"/>
                <w:szCs w:val="1"/>
                <w:color w:val="auto"/>
              </w:rPr>
            </w:pPr>
          </w:p>
        </w:tc>
      </w:tr>
      <w:tr>
        <w:trPr>
          <w:trHeight w:val="230"/>
        </w:trPr>
        <w:tc>
          <w:tcPr>
            <w:tcW w:w="3620" w:type="dxa"/>
            <w:vAlign w:val="bottom"/>
            <w:vMerge w:val="restart"/>
          </w:tcPr>
          <w:p>
            <w:pPr>
              <w:spacing w:after="0"/>
              <w:rPr>
                <w:sz w:val="20"/>
                <w:szCs w:val="20"/>
                <w:color w:val="auto"/>
              </w:rPr>
            </w:pPr>
            <w:r>
              <w:rPr>
                <w:rFonts w:ascii="Arial" w:cs="Arial" w:eastAsia="Arial" w:hAnsi="Arial"/>
                <w:sz w:val="18"/>
                <w:szCs w:val="18"/>
                <w:color w:val="auto"/>
              </w:rPr>
              <w:t>Loans held for sale</w:t>
            </w:r>
          </w:p>
        </w:tc>
        <w:tc>
          <w:tcPr>
            <w:tcW w:w="38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2"/>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20" w:type="dxa"/>
            <w:vAlign w:val="bottom"/>
            <w:vMerge w:val="continue"/>
          </w:tcPr>
          <w:p>
            <w:pPr>
              <w:spacing w:after="0"/>
              <w:rPr>
                <w:sz w:val="17"/>
                <w:szCs w:val="17"/>
                <w:color w:val="auto"/>
              </w:rPr>
            </w:pPr>
          </w:p>
        </w:tc>
        <w:tc>
          <w:tcPr>
            <w:tcW w:w="3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30, 2019</w:t>
            </w:r>
          </w:p>
        </w:tc>
        <w:tc>
          <w:tcPr>
            <w:tcW w:w="3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87,358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85,279</w:t>
            </w:r>
          </w:p>
        </w:tc>
        <w:tc>
          <w:tcPr>
            <w:tcW w:w="0" w:type="dxa"/>
            <w:vAlign w:val="bottom"/>
          </w:tcPr>
          <w:p>
            <w:pPr>
              <w:spacing w:after="0"/>
              <w:rPr>
                <w:sz w:val="1"/>
                <w:szCs w:val="1"/>
                <w:color w:val="auto"/>
              </w:rPr>
            </w:pPr>
          </w:p>
        </w:tc>
      </w:tr>
      <w:tr>
        <w:trPr>
          <w:trHeight w:val="230"/>
        </w:trPr>
        <w:tc>
          <w:tcPr>
            <w:tcW w:w="3620" w:type="dxa"/>
            <w:vAlign w:val="bottom"/>
          </w:tcPr>
          <w:p>
            <w:pPr>
              <w:ind w:left="180"/>
              <w:spacing w:after="0"/>
              <w:rPr>
                <w:sz w:val="20"/>
                <w:szCs w:val="20"/>
                <w:color w:val="auto"/>
              </w:rPr>
            </w:pPr>
            <w:r>
              <w:rPr>
                <w:rFonts w:ascii="Arial" w:cs="Arial" w:eastAsia="Arial" w:hAnsi="Arial"/>
                <w:sz w:val="18"/>
                <w:szCs w:val="18"/>
                <w:color w:val="auto"/>
              </w:rPr>
              <w:t>December 31, 2018</w:t>
            </w:r>
          </w:p>
        </w:tc>
        <w:tc>
          <w:tcPr>
            <w:tcW w:w="3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44,753</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43,496</w:t>
            </w:r>
          </w:p>
        </w:tc>
        <w:tc>
          <w:tcPr>
            <w:tcW w:w="0" w:type="dxa"/>
            <w:vAlign w:val="bottom"/>
          </w:tcPr>
          <w:p>
            <w:pPr>
              <w:spacing w:after="0"/>
              <w:rPr>
                <w:sz w:val="1"/>
                <w:szCs w:val="1"/>
                <w:color w:val="auto"/>
              </w:rPr>
            </w:pPr>
          </w:p>
        </w:tc>
      </w:tr>
      <w:tr>
        <w:trPr>
          <w:trHeight w:val="581"/>
        </w:trPr>
        <w:tc>
          <w:tcPr>
            <w:tcW w:w="3620" w:type="dxa"/>
            <w:vAlign w:val="bottom"/>
          </w:tcPr>
          <w:p>
            <w:pPr>
              <w:spacing w:after="0"/>
              <w:rPr>
                <w:sz w:val="24"/>
                <w:szCs w:val="24"/>
                <w:color w:val="auto"/>
              </w:rPr>
            </w:pPr>
          </w:p>
        </w:tc>
        <w:tc>
          <w:tcPr>
            <w:tcW w:w="3820" w:type="dxa"/>
            <w:vAlign w:val="bottom"/>
          </w:tcPr>
          <w:p>
            <w:pPr>
              <w:jc w:val="right"/>
              <w:ind w:right="1579"/>
              <w:spacing w:after="0"/>
              <w:rPr>
                <w:sz w:val="20"/>
                <w:szCs w:val="20"/>
                <w:color w:val="auto"/>
              </w:rPr>
            </w:pPr>
            <w:r>
              <w:rPr>
                <w:rFonts w:ascii="Arial" w:cs="Arial" w:eastAsia="Arial" w:hAnsi="Arial"/>
                <w:sz w:val="14"/>
                <w:szCs w:val="14"/>
                <w:color w:val="auto"/>
              </w:rPr>
              <w:t>53</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620" w:type="dxa"/>
            <w:vAlign w:val="bottom"/>
            <w:tcBorders>
              <w:bottom w:val="single" w:sz="8" w:color="auto"/>
            </w:tcBorders>
          </w:tcPr>
          <w:p>
            <w:pPr>
              <w:spacing w:after="0"/>
              <w:rPr>
                <w:sz w:val="4"/>
                <w:szCs w:val="4"/>
                <w:color w:val="auto"/>
              </w:rPr>
            </w:pPr>
          </w:p>
        </w:tc>
        <w:tc>
          <w:tcPr>
            <w:tcW w:w="3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22"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Fair Values of Financial Instruments</w:t>
      </w:r>
    </w:p>
    <w:p>
      <w:pPr>
        <w:spacing w:after="0" w:line="24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2"/>
          <w:szCs w:val="22"/>
          <w:color w:val="auto"/>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The estimated recorded book balances and fair values follow: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91"/>
              </w:rPr>
              <w:t>Fair Value Using</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line="201" w:lineRule="exact"/>
              <w:rPr>
                <w:sz w:val="20"/>
                <w:szCs w:val="20"/>
                <w:color w:val="auto"/>
              </w:rPr>
            </w:pPr>
            <w:r>
              <w:rPr>
                <w:rFonts w:ascii="Arial" w:cs="Arial" w:eastAsia="Arial" w:hAnsi="Arial"/>
                <w:sz w:val="18"/>
                <w:szCs w:val="18"/>
                <w:color w:val="auto"/>
                <w:w w:val="87"/>
              </w:rPr>
              <w:t>Quoted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Prices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 Active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Markets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Significant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for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Other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Recorded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Identical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Observable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Book</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Inputs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Balance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Fair Value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(Level 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(Level 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(Level 3)</w:t>
            </w:r>
          </w:p>
        </w:tc>
        <w:tc>
          <w:tcPr>
            <w:tcW w:w="0" w:type="dxa"/>
            <w:vAlign w:val="bottom"/>
          </w:tcPr>
          <w:p>
            <w:pPr>
              <w:spacing w:after="0"/>
              <w:rPr>
                <w:sz w:val="1"/>
                <w:szCs w:val="1"/>
                <w:color w:val="auto"/>
              </w:rPr>
            </w:pPr>
          </w:p>
        </w:tc>
      </w:tr>
      <w:tr>
        <w:trPr>
          <w:trHeight w:val="23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September 30, 2019</w:t>
            </w:r>
          </w:p>
        </w:tc>
        <w:tc>
          <w:tcPr>
            <w:tcW w:w="2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5"/>
              </w:rPr>
              <w:t>(In thousands)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4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Assets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due from banks</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38,662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38,662</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38,662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rPr>
              <w:t>Interest bearing deposits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43,755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43,755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43,755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bearing deposits - time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rPr>
              <w:t>Securities available for sale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439,592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439,592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439,592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5"/>
              </w:rPr>
              <w:t>Federal Home Loan Bank and Federal Reserve Bank</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jc w:val="center"/>
              <w:ind w:right="2950"/>
              <w:spacing w:after="0"/>
              <w:rPr>
                <w:sz w:val="20"/>
                <w:szCs w:val="20"/>
                <w:color w:val="auto"/>
              </w:rPr>
            </w:pPr>
            <w:r>
              <w:rPr>
                <w:rFonts w:ascii="Arial" w:cs="Arial" w:eastAsia="Arial" w:hAnsi="Arial"/>
                <w:sz w:val="18"/>
                <w:szCs w:val="18"/>
                <w:color w:val="auto"/>
                <w:w w:val="88"/>
              </w:rPr>
              <w:t>Stock</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18,359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rPr>
              <w:t>Net loans and loans held for sale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2,820,278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2,841,484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125,013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2,716,471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interest receivable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rPr>
              <w:t>Derivative financial instruments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7,389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7,389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7,389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Liabilities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Deposits with no stated maturity (1)</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2,429,013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2,429,013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2,429,013</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rPr>
              <w:t>Deposits with stated maturity (1)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623,299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623,916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623,916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borrowings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63,974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63,930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rPr>
              <w:t>Subordinated debentures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39,439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32,427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32,427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interest payable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rPr>
              <w:t>Derivative financial instruments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5,657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5,657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5,657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jc w:val="center"/>
              <w:ind w:right="2910"/>
              <w:spacing w:after="0"/>
              <w:rPr>
                <w:sz w:val="20"/>
                <w:szCs w:val="20"/>
                <w:color w:val="auto"/>
              </w:rPr>
            </w:pPr>
            <w:r>
              <w:rPr>
                <w:rFonts w:ascii="Arial" w:cs="Arial" w:eastAsia="Arial" w:hAnsi="Arial"/>
                <w:sz w:val="18"/>
                <w:szCs w:val="18"/>
                <w:color w:val="auto"/>
                <w:w w:val="88"/>
              </w:rPr>
              <w:t>December 31, 2018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rPr>
              <w:t>Cash and due from banks</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23,350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23,350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23,350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bearing deposits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46,894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rPr>
              <w:t>Interest bearing deposits - time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securities at fair value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rPr>
              <w:t>Securities available for sale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427,926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427,926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427,926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5"/>
              </w:rPr>
              <w:t>Federal Home Loan Bank and Federal Reserve Bank</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jc w:val="center"/>
              <w:ind w:right="2950"/>
              <w:spacing w:after="0"/>
              <w:rPr>
                <w:sz w:val="20"/>
                <w:szCs w:val="20"/>
                <w:color w:val="auto"/>
              </w:rPr>
            </w:pPr>
            <w:r>
              <w:rPr>
                <w:rFonts w:ascii="Arial" w:cs="Arial" w:eastAsia="Arial" w:hAnsi="Arial"/>
                <w:sz w:val="18"/>
                <w:szCs w:val="18"/>
                <w:color w:val="auto"/>
                <w:w w:val="88"/>
              </w:rPr>
              <w:t>Stock</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18,359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rPr>
              <w:t>Net loans and loans held for sale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2,643,856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2,606,256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41,471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44,753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2,520,032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interest receivable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rPr>
              <w:t>Derivative financial instruments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5,155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5,155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Liabilities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Deposits with no stated maturity (1)</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2,197,494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2,197,494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2,197,494</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rPr>
              <w:t>Deposits with stated maturity (1)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715,934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711,312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711,312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borrowings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rPr>
              <w:t>Subordinated debentures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39,388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35,021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35,021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interest payable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rPr>
              <w:t>Derivative financial instruments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2,326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2,326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left="340" w:hanging="332"/>
        <w:spacing w:after="0" w:line="264" w:lineRule="auto"/>
        <w:tabs>
          <w:tab w:leader="none" w:pos="34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 xml:space="preserve">Deposits with no stated maturity include reciprocal deposits with a recorded book balance of $367.180 million and </w:t>
      </w:r>
      <w:r>
        <w:rPr>
          <w:rFonts w:ascii="Arial" w:cs="Arial" w:eastAsia="Arial" w:hAnsi="Arial"/>
          <w:sz w:val="18"/>
          <w:szCs w:val="18"/>
          <w:color w:val="000000"/>
        </w:rPr>
        <w:t>$123.080 million at September 30,</w:t>
      </w:r>
      <w:r>
        <w:rPr>
          <w:rFonts w:ascii="Arial" w:cs="Arial" w:eastAsia="Arial" w:hAnsi="Arial"/>
          <w:sz w:val="18"/>
          <w:szCs w:val="18"/>
          <w:color w:val="231F20"/>
        </w:rPr>
        <w:t xml:space="preserve"> </w:t>
      </w:r>
      <w:r>
        <w:rPr>
          <w:rFonts w:ascii="Arial" w:cs="Arial" w:eastAsia="Arial" w:hAnsi="Arial"/>
          <w:sz w:val="18"/>
          <w:szCs w:val="18"/>
          <w:color w:val="000000"/>
        </w:rPr>
        <w:t xml:space="preserve">2019 and December 31, 2018, respectively. Deposits with a stated maturity include reciprocal deposits with a recorded book balance of </w:t>
      </w:r>
      <w:r>
        <w:rPr>
          <w:rFonts w:ascii="Arial" w:cs="Arial" w:eastAsia="Arial" w:hAnsi="Arial"/>
          <w:sz w:val="18"/>
          <w:szCs w:val="18"/>
          <w:color w:val="231F20"/>
        </w:rPr>
        <w:t>$</w:t>
      </w:r>
      <w:r>
        <w:rPr>
          <w:rFonts w:ascii="Arial" w:cs="Arial" w:eastAsia="Arial" w:hAnsi="Arial"/>
          <w:sz w:val="18"/>
          <w:szCs w:val="18"/>
          <w:color w:val="000000"/>
        </w:rPr>
        <w:t xml:space="preserve">49.020 </w:t>
      </w:r>
      <w:r>
        <w:rPr>
          <w:rFonts w:ascii="Arial" w:cs="Arial" w:eastAsia="Arial" w:hAnsi="Arial"/>
          <w:sz w:val="18"/>
          <w:szCs w:val="18"/>
          <w:color w:val="231F20"/>
        </w:rPr>
        <w:t>million</w:t>
      </w:r>
      <w:r>
        <w:rPr>
          <w:rFonts w:ascii="Arial" w:cs="Arial" w:eastAsia="Arial" w:hAnsi="Arial"/>
          <w:sz w:val="18"/>
          <w:szCs w:val="18"/>
          <w:color w:val="000000"/>
        </w:rPr>
        <w:t xml:space="preserve"> </w:t>
      </w:r>
      <w:r>
        <w:rPr>
          <w:rFonts w:ascii="Arial" w:cs="Arial" w:eastAsia="Arial" w:hAnsi="Arial"/>
          <w:sz w:val="18"/>
          <w:szCs w:val="18"/>
          <w:color w:val="231F20"/>
        </w:rPr>
        <w:t>and $58.992 million at September 30, 2019 and December 31, 2018, respectively.</w:t>
      </w:r>
    </w:p>
    <w:p>
      <w:pPr>
        <w:sectPr>
          <w:pgSz w:w="11900" w:h="16838" w:orient="portrait"/>
          <w:cols w:equalWidth="0" w:num="1">
            <w:col w:w="11420"/>
          </w:cols>
          <w:pgMar w:left="240" w:top="122" w:right="23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6" w:name="page57"/>
    <w:bookmarkEnd w:id="5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fair values for commitments to extend credit and standby letters of credit are estimated to approximate their aggregate book balance, which is nominal and therefore are not disclosed.</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22"/>
          <w:szCs w:val="22"/>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21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20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245"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We are involved in various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 Risks associated with the likelihood that we will not collect the full amount owed to us, net of reserves, are disclosed elsewhere in this report.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provision for loss reimbursement on sold loans represents our estimate of incurred losses related to mortgage loans that we have sold to investors (primarily Fannie Mae, Freddie Mac, Ginnie Mae and the Federal Home Loan Bank of Indianapolis). Since we sell mortgage loans without recourse, loss reimbursements only occur in those instances where we have breached a representation or warranty or other contractual requirement related to the loan sale. The provision for loss reimbursement on sold loans was an expense of $0.03 million and $0.05 million for the three month periods ended September 30, 2019 and 2018, respectively and an expense of $0.18 million and $0.08 million for the nine month periods ended September 30, 2019 and 2018, respectively. The reserve for loss reimbursements on sold mortgage loans totaled $0.85 million and $0.78 million at September 30, 2019 and December 31, 2018, respectively. This reserve is included in accrued expenses and other liabilities in our Condensed Consolidated Statements of Financial Condition. This reserve is based on an analysis of mortgage loans that we have sold which are further categorized by delinquency status, loan to value, and year of origination. The calculation includes factors such as probability of default, probability of loss reimbursement (breach of representation or warranty) and estimated loss severity. We believe that the amounts that we have accrued for incurred losses on sold mortgage loans are appropriate given our analyses. However, future losses could exceed our current estimate.</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We own 12,566 shares of VISA Class B common stock. At the present time, these shares can only be sold to other Class B shareholders. As a result, there has generally been limited transfer activity in private transactions between buyers and sellers. Given the limited activity that we have become aware of and the continuing uncertainty regarding the likelihood, ultimate timing and eventual exchange rate for Class B shares into Class A shares, we continue to carry these shares at zero, representing cost basis less impairment. However, given the current conversion ratio of 1.6228 to Class A shares and the closing price of VISA Class A shares on October 17, 2019 of $177.94 per share, our 12,566 Class B shares would have a current “value” of approximately $3.6 million. We continue to monitor Class B trading activity and the status of the resolution of certain litigation matters at VISA that would trigger the conversion of Class B common shares into Class A common shares that would have no trading restrictions.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Accumulated Other Comprehensive Loss (“AOCL”)</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A summary of changes in AOCL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Dispropor-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tionate</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Gains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Tax Effects</w:t>
            </w: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Unrealized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(Losses) 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from</w:t>
            </w: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Gains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Securities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Securities</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(Losses) on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Available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Available</w:t>
            </w: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Cash Flow</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for Sale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for Sale</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6"/>
              </w:rPr>
              <w:t>Hedges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For the three months ended September 30,</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70"/>
              <w:spacing w:after="0"/>
              <w:rPr>
                <w:sz w:val="20"/>
                <w:szCs w:val="20"/>
                <w:color w:val="auto"/>
              </w:rPr>
            </w:pPr>
            <w:r>
              <w:rPr>
                <w:rFonts w:ascii="Arial" w:cs="Arial" w:eastAsia="Arial" w:hAnsi="Arial"/>
                <w:sz w:val="16"/>
                <w:szCs w:val="16"/>
                <w:color w:val="auto"/>
                <w:w w:val="70"/>
              </w:rPr>
              <w:t>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200" w:type="dxa"/>
            <w:vAlign w:val="bottom"/>
            <w:gridSpan w:val="2"/>
            <w:vMerge w:val="continue"/>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jc w:val="right"/>
              <w:ind w:right="4570"/>
              <w:spacing w:after="0"/>
              <w:rPr>
                <w:sz w:val="20"/>
                <w:szCs w:val="20"/>
                <w:color w:val="auto"/>
              </w:rPr>
            </w:pPr>
            <w:r>
              <w:rPr>
                <w:rFonts w:ascii="Arial" w:cs="Arial" w:eastAsia="Arial" w:hAnsi="Arial"/>
                <w:sz w:val="18"/>
                <w:szCs w:val="18"/>
                <w:color w:val="auto"/>
              </w:rPr>
              <w:t>2019</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Balances at beginning of period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(1,673)</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80"/>
              <w:spacing w:after="0"/>
              <w:rPr>
                <w:sz w:val="20"/>
                <w:szCs w:val="20"/>
                <w:color w:val="auto"/>
              </w:rPr>
            </w:pPr>
            <w:r>
              <w:rPr>
                <w:rFonts w:ascii="Arial" w:cs="Arial" w:eastAsia="Arial" w:hAnsi="Arial"/>
                <w:sz w:val="18"/>
                <w:szCs w:val="18"/>
                <w:color w:val="auto"/>
                <w:w w:val="99"/>
              </w:rPr>
              <w:t>Other comprehensive income (loss) before reclassifications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Amounts reclassified from AOCL</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640"/>
              <w:spacing w:after="0"/>
              <w:rPr>
                <w:sz w:val="20"/>
                <w:szCs w:val="20"/>
                <w:color w:val="auto"/>
              </w:rPr>
            </w:pPr>
            <w:r>
              <w:rPr>
                <w:rFonts w:ascii="Arial" w:cs="Arial" w:eastAsia="Arial" w:hAnsi="Arial"/>
                <w:sz w:val="18"/>
                <w:szCs w:val="18"/>
                <w:color w:val="auto"/>
              </w:rPr>
              <w:t>Net current period other comprehensive income (loss)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Balances at end of period</w:t>
            </w:r>
          </w:p>
        </w:tc>
        <w:tc>
          <w:tcPr>
            <w:tcW w:w="88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20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jc w:val="right"/>
              <w:ind w:right="4570"/>
              <w:spacing w:after="0"/>
              <w:rPr>
                <w:sz w:val="20"/>
                <w:szCs w:val="20"/>
                <w:color w:val="auto"/>
              </w:rPr>
            </w:pPr>
            <w:r>
              <w:rPr>
                <w:rFonts w:ascii="Arial" w:cs="Arial" w:eastAsia="Arial" w:hAnsi="Arial"/>
                <w:sz w:val="18"/>
                <w:szCs w:val="18"/>
                <w:color w:val="auto"/>
              </w:rPr>
              <w:t>2018</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Balances at beginning of period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(4,437)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(5,798)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1,021</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Other comprehensive income (loss) before reclassifications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480"/>
              <w:spacing w:after="0"/>
              <w:rPr>
                <w:sz w:val="20"/>
                <w:szCs w:val="20"/>
                <w:color w:val="auto"/>
              </w:rPr>
            </w:pPr>
            <w:r>
              <w:rPr>
                <w:rFonts w:ascii="Arial" w:cs="Arial" w:eastAsia="Arial" w:hAnsi="Arial"/>
                <w:sz w:val="18"/>
                <w:szCs w:val="18"/>
                <w:color w:val="auto"/>
              </w:rPr>
              <w:t>Amounts reclassified from AOCL</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current period other comprehensive income (loss)</w:t>
            </w: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Balances at end of period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(5,362)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(5,798)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1,271</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(9,889)</w:t>
            </w:r>
          </w:p>
        </w:tc>
        <w:tc>
          <w:tcPr>
            <w:tcW w:w="0" w:type="dxa"/>
            <w:vAlign w:val="bottom"/>
          </w:tcPr>
          <w:p>
            <w:pPr>
              <w:spacing w:after="0"/>
              <w:rPr>
                <w:sz w:val="1"/>
                <w:szCs w:val="1"/>
                <w:color w:val="auto"/>
              </w:rPr>
            </w:pPr>
          </w:p>
        </w:tc>
      </w:tr>
      <w:tr>
        <w:trPr>
          <w:trHeight w:val="21"/>
        </w:trPr>
        <w:tc>
          <w:tcPr>
            <w:tcW w:w="52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For the nine months ended September 30,</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jc w:val="right"/>
              <w:ind w:right="4570"/>
              <w:spacing w:after="0"/>
              <w:rPr>
                <w:sz w:val="20"/>
                <w:szCs w:val="20"/>
                <w:color w:val="auto"/>
              </w:rPr>
            </w:pPr>
            <w:r>
              <w:rPr>
                <w:rFonts w:ascii="Arial" w:cs="Arial" w:eastAsia="Arial" w:hAnsi="Arial"/>
                <w:sz w:val="18"/>
                <w:szCs w:val="18"/>
                <w:color w:val="auto"/>
              </w:rPr>
              <w:t>2019</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Balances at beginning of period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(4,185)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(5,798)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(125)</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Other comprehensive income (loss) before reclassifications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480"/>
              <w:spacing w:after="0"/>
              <w:rPr>
                <w:sz w:val="20"/>
                <w:szCs w:val="20"/>
                <w:color w:val="auto"/>
              </w:rPr>
            </w:pPr>
            <w:r>
              <w:rPr>
                <w:rFonts w:ascii="Arial" w:cs="Arial" w:eastAsia="Arial" w:hAnsi="Arial"/>
                <w:sz w:val="18"/>
                <w:szCs w:val="18"/>
                <w:color w:val="auto"/>
              </w:rPr>
              <w:t>Amounts reclassified from AOCL</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current period other comprehensive income (loss)</w:t>
            </w: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Balances at end of period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4,236</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(5,798)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(1,811)</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21"/>
        </w:trPr>
        <w:tc>
          <w:tcPr>
            <w:tcW w:w="52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jc w:val="right"/>
              <w:ind w:right="4570"/>
              <w:spacing w:after="0"/>
              <w:rPr>
                <w:sz w:val="20"/>
                <w:szCs w:val="20"/>
                <w:color w:val="auto"/>
              </w:rPr>
            </w:pPr>
            <w:r>
              <w:rPr>
                <w:rFonts w:ascii="Arial" w:cs="Arial" w:eastAsia="Arial" w:hAnsi="Arial"/>
                <w:sz w:val="18"/>
                <w:szCs w:val="18"/>
                <w:color w:val="auto"/>
              </w:rPr>
              <w:t>2018</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Balances at beginning of period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80"/>
              <w:spacing w:after="0"/>
              <w:rPr>
                <w:sz w:val="20"/>
                <w:szCs w:val="20"/>
                <w:color w:val="auto"/>
              </w:rPr>
            </w:pPr>
            <w:r>
              <w:rPr>
                <w:rFonts w:ascii="Arial" w:cs="Arial" w:eastAsia="Arial" w:hAnsi="Arial"/>
                <w:sz w:val="18"/>
                <w:szCs w:val="18"/>
                <w:color w:val="auto"/>
                <w:w w:val="99"/>
              </w:rPr>
              <w:t>Other comprehensive income (loss) before reclassifications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(4,928)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Amounts reclassified from AOCL</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640"/>
              <w:spacing w:after="0"/>
              <w:rPr>
                <w:sz w:val="20"/>
                <w:szCs w:val="20"/>
                <w:color w:val="auto"/>
              </w:rPr>
            </w:pPr>
            <w:r>
              <w:rPr>
                <w:rFonts w:ascii="Arial" w:cs="Arial" w:eastAsia="Arial" w:hAnsi="Arial"/>
                <w:sz w:val="18"/>
                <w:szCs w:val="18"/>
                <w:color w:val="auto"/>
              </w:rPr>
              <w:t>Net current period other comprehensive income (loss)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(4,892)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1,002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Balances at end of period</w:t>
            </w: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880" w:type="dxa"/>
            <w:vAlign w:val="bottom"/>
          </w:tcPr>
          <w:p>
            <w:pPr>
              <w:jc w:val="right"/>
              <w:ind w:right="213"/>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disproportionate tax effects from securities available for sale arose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 Release of material disproportionate tax effects from other comprehensive income to earnings is done by the portfolio method whereby the effects will remain in AOCL as long as we carry a more than inconsequential portfolio of securities available for sale.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A summary of reclassifications out of each component of AOCL for the three months ended September 30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Reclassified</w:t>
            </w:r>
          </w:p>
        </w:tc>
        <w:tc>
          <w:tcPr>
            <w:tcW w:w="1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From</w:t>
            </w:r>
          </w:p>
        </w:tc>
        <w:tc>
          <w:tcPr>
            <w:tcW w:w="10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Affected Line Item in Condensed</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auto"/>
            </w:tcBorders>
          </w:tcPr>
          <w:p>
            <w:pPr>
              <w:jc w:val="right"/>
              <w:ind w:right="1750"/>
              <w:spacing w:after="0"/>
              <w:rPr>
                <w:sz w:val="20"/>
                <w:szCs w:val="20"/>
                <w:color w:val="auto"/>
              </w:rPr>
            </w:pPr>
            <w:r>
              <w:rPr>
                <w:rFonts w:ascii="Arial" w:cs="Arial" w:eastAsia="Arial" w:hAnsi="Arial"/>
                <w:sz w:val="18"/>
                <w:szCs w:val="18"/>
                <w:color w:val="auto"/>
              </w:rPr>
              <w:t>AOCL Component</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AOCL</w:t>
            </w:r>
          </w:p>
        </w:tc>
        <w:tc>
          <w:tcPr>
            <w:tcW w:w="10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Consolidated Statements of Operations</w:t>
            </w:r>
          </w:p>
        </w:tc>
        <w:tc>
          <w:tcPr>
            <w:tcW w:w="0" w:type="dxa"/>
            <w:vAlign w:val="bottom"/>
          </w:tcPr>
          <w:p>
            <w:pPr>
              <w:spacing w:after="0"/>
              <w:rPr>
                <w:sz w:val="1"/>
                <w:szCs w:val="1"/>
                <w:color w:val="auto"/>
              </w:rPr>
            </w:pPr>
          </w:p>
        </w:tc>
      </w:tr>
      <w:tr>
        <w:trPr>
          <w:trHeight w:val="230"/>
        </w:trPr>
        <w:tc>
          <w:tcPr>
            <w:tcW w:w="5040" w:type="dxa"/>
            <w:vAlign w:val="bottom"/>
            <w:vMerge w:val="restart"/>
          </w:tcPr>
          <w:p>
            <w:pPr>
              <w:jc w:val="right"/>
              <w:ind w:right="4590"/>
              <w:spacing w:after="0"/>
              <w:rPr>
                <w:sz w:val="20"/>
                <w:szCs w:val="20"/>
                <w:color w:val="auto"/>
              </w:rPr>
            </w:pPr>
            <w:r>
              <w:rPr>
                <w:rFonts w:ascii="Arial" w:cs="Arial" w:eastAsia="Arial" w:hAnsi="Arial"/>
                <w:sz w:val="18"/>
                <w:szCs w:val="18"/>
                <w:color w:val="auto"/>
                <w:w w:val="84"/>
              </w:rPr>
              <w:t>2019</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(In thousands)</w:t>
            </w:r>
          </w:p>
        </w:tc>
        <w:tc>
          <w:tcPr>
            <w:tcW w:w="1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40" w:type="dxa"/>
            <w:vAlign w:val="bottom"/>
          </w:tcPr>
          <w:p>
            <w:pPr>
              <w:jc w:val="right"/>
              <w:ind w:right="750"/>
              <w:spacing w:after="0"/>
              <w:rPr>
                <w:sz w:val="20"/>
                <w:szCs w:val="20"/>
                <w:color w:val="auto"/>
              </w:rPr>
            </w:pPr>
            <w:r>
              <w:rPr>
                <w:rFonts w:ascii="Arial" w:cs="Arial" w:eastAsia="Arial" w:hAnsi="Arial"/>
                <w:sz w:val="18"/>
                <w:szCs w:val="18"/>
                <w:color w:val="auto"/>
                <w:w w:val="93"/>
              </w:rPr>
              <w:t>Unrealized gains (losses) on securities available for sale</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240" w:hanging="1086"/>
        <w:spacing w:after="0"/>
        <w:tabs>
          <w:tab w:leader="none" w:pos="6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Net gains (losses) on securities</w:t>
      </w:r>
    </w:p>
    <w:p>
      <w:pPr>
        <w:spacing w:after="0" w:line="9" w:lineRule="exact"/>
        <w:rPr>
          <w:rFonts w:ascii="Arial" w:cs="Arial" w:eastAsia="Arial" w:hAnsi="Arial"/>
          <w:sz w:val="18"/>
          <w:szCs w:val="18"/>
          <w:color w:val="auto"/>
        </w:rPr>
      </w:pPr>
    </w:p>
    <w:p>
      <w:pPr>
        <w:ind w:left="6400" w:hanging="158"/>
        <w:spacing w:after="0"/>
        <w:tabs>
          <w:tab w:leader="none" w:pos="64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Net impairment loss recognized in earnings</w:t>
      </w:r>
    </w:p>
    <w:p>
      <w:pPr>
        <w:spacing w:after="0" w:line="21" w:lineRule="exact"/>
        <w:rPr>
          <w:rFonts w:ascii="Arial" w:cs="Arial" w:eastAsia="Arial" w:hAnsi="Arial"/>
          <w:sz w:val="18"/>
          <w:szCs w:val="18"/>
          <w:color w:val="auto"/>
        </w:rPr>
      </w:pPr>
    </w:p>
    <w:p>
      <w:pPr>
        <w:ind w:left="6400" w:hanging="158"/>
        <w:spacing w:after="0"/>
        <w:tabs>
          <w:tab w:leader="none" w:pos="64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Total reclassifications before tax</w:t>
      </w:r>
    </w:p>
    <w:p>
      <w:pPr>
        <w:spacing w:after="0" w:line="23" w:lineRule="exact"/>
        <w:rPr>
          <w:rFonts w:ascii="Arial" w:cs="Arial" w:eastAsia="Arial" w:hAnsi="Arial"/>
          <w:sz w:val="18"/>
          <w:szCs w:val="18"/>
          <w:color w:val="auto"/>
        </w:rPr>
      </w:pPr>
    </w:p>
    <w:p>
      <w:pPr>
        <w:ind w:left="6400" w:hanging="158"/>
        <w:spacing w:after="0"/>
        <w:tabs>
          <w:tab w:leader="none" w:pos="64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-559435</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5715</wp:posOffset>
            </wp:positionV>
            <wp:extent cx="72898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 w:lineRule="exact"/>
        <w:rPr>
          <w:sz w:val="20"/>
          <w:szCs w:val="20"/>
          <w:color w:val="auto"/>
        </w:rPr>
      </w:pPr>
    </w:p>
    <w:p>
      <w:pPr>
        <w:ind w:left="6240" w:hanging="1086"/>
        <w:spacing w:after="0"/>
        <w:tabs>
          <w:tab w:leader="none" w:pos="6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gains (losses) on 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5980" w:hanging="826"/>
        <w:spacing w:after="0"/>
        <w:tabs>
          <w:tab w:leader="none" w:pos="5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(102) Interest expense</w:t>
      </w:r>
    </w:p>
    <w:p>
      <w:pPr>
        <w:spacing w:after="0" w:line="9" w:lineRule="exact"/>
        <w:rPr>
          <w:rFonts w:ascii="Arial" w:cs="Arial" w:eastAsia="Arial" w:hAnsi="Arial"/>
          <w:sz w:val="18"/>
          <w:szCs w:val="18"/>
          <w:color w:val="auto"/>
        </w:rPr>
      </w:pPr>
    </w:p>
    <w:p>
      <w:pPr>
        <w:ind w:left="6400" w:hanging="338"/>
        <w:spacing w:after="0"/>
        <w:tabs>
          <w:tab w:leader="none" w:pos="64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ind w:left="6060" w:hanging="906"/>
        <w:spacing w:after="0"/>
        <w:tabs>
          <w:tab w:leader="none" w:pos="6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(80) Reclassification,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59" w:lineRule="exact"/>
        <w:rPr>
          <w:sz w:val="20"/>
          <w:szCs w:val="20"/>
          <w:color w:val="auto"/>
        </w:rPr>
      </w:pPr>
    </w:p>
    <w:p>
      <w:pPr>
        <w:ind w:left="6120" w:hanging="966"/>
        <w:spacing w:after="0"/>
        <w:tabs>
          <w:tab w:leader="none" w:pos="6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80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gains (losses) on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240" w:hanging="1086"/>
        <w:spacing w:after="0"/>
        <w:tabs>
          <w:tab w:leader="none" w:pos="6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Net gains (losses) on securities</w:t>
      </w:r>
    </w:p>
    <w:p>
      <w:pPr>
        <w:spacing w:after="0" w:line="9" w:lineRule="exact"/>
        <w:rPr>
          <w:rFonts w:ascii="Arial" w:cs="Arial" w:eastAsia="Arial" w:hAnsi="Arial"/>
          <w:sz w:val="18"/>
          <w:szCs w:val="18"/>
          <w:color w:val="auto"/>
        </w:rPr>
      </w:pPr>
    </w:p>
    <w:p>
      <w:pPr>
        <w:ind w:left="6400" w:hanging="158"/>
        <w:spacing w:after="0"/>
        <w:tabs>
          <w:tab w:leader="none" w:pos="64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Net impairment loss recognized in earnings</w:t>
      </w:r>
    </w:p>
    <w:p>
      <w:pPr>
        <w:spacing w:after="0" w:line="21" w:lineRule="exact"/>
        <w:rPr>
          <w:rFonts w:ascii="Arial" w:cs="Arial" w:eastAsia="Arial" w:hAnsi="Arial"/>
          <w:sz w:val="18"/>
          <w:szCs w:val="18"/>
          <w:color w:val="auto"/>
        </w:rPr>
      </w:pPr>
    </w:p>
    <w:p>
      <w:pPr>
        <w:ind w:left="6400" w:hanging="158"/>
        <w:spacing w:after="0"/>
        <w:tabs>
          <w:tab w:leader="none" w:pos="64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Total reclassifications before tax</w:t>
      </w:r>
    </w:p>
    <w:p>
      <w:pPr>
        <w:spacing w:after="0" w:line="23" w:lineRule="exact"/>
        <w:rPr>
          <w:rFonts w:ascii="Arial" w:cs="Arial" w:eastAsia="Arial" w:hAnsi="Arial"/>
          <w:sz w:val="18"/>
          <w:szCs w:val="18"/>
          <w:color w:val="auto"/>
        </w:rPr>
      </w:pPr>
    </w:p>
    <w:p>
      <w:pPr>
        <w:ind w:left="6400" w:hanging="158"/>
        <w:spacing w:after="0"/>
        <w:tabs>
          <w:tab w:leader="none" w:pos="64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2466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ind w:left="6240" w:hanging="1086"/>
        <w:spacing w:after="0"/>
        <w:tabs>
          <w:tab w:leader="none" w:pos="6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5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gains (losses) on cash flow hedges</w:t>
      </w:r>
    </w:p>
    <w:p>
      <w:pPr>
        <w:spacing w:after="0" w:line="23" w:lineRule="exact"/>
        <w:rPr>
          <w:sz w:val="20"/>
          <w:szCs w:val="20"/>
          <w:color w:val="auto"/>
        </w:rPr>
      </w:pPr>
    </w:p>
    <w:p>
      <w:pPr>
        <w:ind w:left="6060" w:hanging="906"/>
        <w:spacing w:after="0"/>
        <w:tabs>
          <w:tab w:leader="none" w:pos="6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(73) Interest expense</w:t>
      </w:r>
    </w:p>
    <w:p>
      <w:pPr>
        <w:spacing w:after="0" w:line="9" w:lineRule="exact"/>
        <w:rPr>
          <w:rFonts w:ascii="Arial" w:cs="Arial" w:eastAsia="Arial" w:hAnsi="Arial"/>
          <w:sz w:val="18"/>
          <w:szCs w:val="18"/>
          <w:color w:val="auto"/>
        </w:rPr>
      </w:pPr>
    </w:p>
    <w:p>
      <w:pPr>
        <w:ind w:left="6060"/>
        <w:spacing w:after="0"/>
        <w:rPr>
          <w:rFonts w:ascii="Arial" w:cs="Arial" w:eastAsia="Arial" w:hAnsi="Arial"/>
          <w:sz w:val="18"/>
          <w:szCs w:val="18"/>
          <w:color w:val="auto"/>
        </w:rPr>
      </w:pPr>
      <w:r>
        <w:rPr>
          <w:rFonts w:ascii="Arial" w:cs="Arial" w:eastAsia="Arial" w:hAnsi="Arial"/>
          <w:sz w:val="18"/>
          <w:szCs w:val="18"/>
          <w:color w:val="auto"/>
        </w:rPr>
        <w:t>(16)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5715</wp:posOffset>
            </wp:positionV>
            <wp:extent cx="72898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 w:lineRule="exact"/>
        <w:rPr>
          <w:sz w:val="20"/>
          <w:szCs w:val="20"/>
          <w:color w:val="auto"/>
        </w:rPr>
      </w:pPr>
    </w:p>
    <w:p>
      <w:pPr>
        <w:ind w:left="6060" w:hanging="906"/>
        <w:spacing w:after="0"/>
        <w:tabs>
          <w:tab w:leader="none" w:pos="6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(57) Reclassification,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ind w:left="6120" w:hanging="966"/>
        <w:spacing w:after="0"/>
        <w:tabs>
          <w:tab w:leader="none" w:pos="6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57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 summary of reclassifications out of each component of AOCL for the nine months ended September 30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Reclassified</w:t>
            </w:r>
          </w:p>
        </w:tc>
        <w:tc>
          <w:tcPr>
            <w:tcW w:w="1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From</w:t>
            </w:r>
          </w:p>
        </w:tc>
        <w:tc>
          <w:tcPr>
            <w:tcW w:w="10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Affected Line Item in Condensed</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AOCL Component</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AOCL</w:t>
            </w:r>
          </w:p>
        </w:tc>
        <w:tc>
          <w:tcPr>
            <w:tcW w:w="10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Consolidated Statements of Operations</w:t>
            </w:r>
          </w:p>
        </w:tc>
        <w:tc>
          <w:tcPr>
            <w:tcW w:w="0" w:type="dxa"/>
            <w:vAlign w:val="bottom"/>
          </w:tcPr>
          <w:p>
            <w:pPr>
              <w:spacing w:after="0"/>
              <w:rPr>
                <w:sz w:val="1"/>
                <w:szCs w:val="1"/>
                <w:color w:val="auto"/>
              </w:rPr>
            </w:pPr>
          </w:p>
        </w:tc>
      </w:tr>
      <w:tr>
        <w:trPr>
          <w:trHeight w:val="230"/>
        </w:trPr>
        <w:tc>
          <w:tcPr>
            <w:tcW w:w="5040" w:type="dxa"/>
            <w:vAlign w:val="bottom"/>
            <w:vMerge w:val="restart"/>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(In thousands)</w:t>
            </w:r>
          </w:p>
        </w:tc>
        <w:tc>
          <w:tcPr>
            <w:tcW w:w="1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Unrealized gains (losses) on securities available for sale</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040" w:hanging="886"/>
        <w:spacing w:after="0"/>
        <w:tabs>
          <w:tab w:leader="none" w:pos="6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137  Net gains (losses) on securities</w:t>
      </w:r>
    </w:p>
    <w:p>
      <w:pPr>
        <w:spacing w:after="0" w:line="9" w:lineRule="exact"/>
        <w:rPr>
          <w:rFonts w:ascii="Arial" w:cs="Arial" w:eastAsia="Arial" w:hAnsi="Arial"/>
          <w:sz w:val="18"/>
          <w:szCs w:val="18"/>
          <w:color w:val="auto"/>
        </w:rPr>
      </w:pPr>
    </w:p>
    <w:p>
      <w:pPr>
        <w:ind w:left="6460" w:hanging="218"/>
        <w:spacing w:after="0"/>
        <w:tabs>
          <w:tab w:leader="none" w:pos="64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Net impairment loss 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5715</wp:posOffset>
            </wp:positionV>
            <wp:extent cx="72898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 w:lineRule="exact"/>
        <w:rPr>
          <w:sz w:val="20"/>
          <w:szCs w:val="20"/>
          <w:color w:val="auto"/>
        </w:rPr>
      </w:pPr>
    </w:p>
    <w:p>
      <w:pPr>
        <w:ind w:left="6040"/>
        <w:spacing w:after="0"/>
        <w:tabs>
          <w:tab w:leader="none" w:pos="644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color w:val="auto"/>
        </w:rPr>
        <w:t>Total reclassifications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6120"/>
        <w:spacing w:after="0"/>
        <w:tabs>
          <w:tab w:leader="none" w:pos="64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5"/>
          <w:szCs w:val="15"/>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5715</wp:posOffset>
            </wp:positionV>
            <wp:extent cx="72898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 w:lineRule="exact"/>
        <w:rPr>
          <w:sz w:val="20"/>
          <w:szCs w:val="20"/>
          <w:color w:val="auto"/>
        </w:rPr>
      </w:pPr>
    </w:p>
    <w:p>
      <w:pPr>
        <w:ind w:left="6040" w:hanging="886"/>
        <w:spacing w:after="0"/>
        <w:tabs>
          <w:tab w:leader="none" w:pos="6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108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gains (losses) on 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5980" w:hanging="826"/>
        <w:spacing w:after="0"/>
        <w:tabs>
          <w:tab w:leader="none" w:pos="5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(393) Interest expense</w:t>
      </w:r>
    </w:p>
    <w:p>
      <w:pPr>
        <w:spacing w:after="0" w:line="9" w:lineRule="exact"/>
        <w:rPr>
          <w:rFonts w:ascii="Arial" w:cs="Arial" w:eastAsia="Arial" w:hAnsi="Arial"/>
          <w:sz w:val="18"/>
          <w:szCs w:val="18"/>
          <w:color w:val="auto"/>
        </w:rPr>
      </w:pPr>
    </w:p>
    <w:p>
      <w:pPr>
        <w:ind w:left="6460" w:hanging="398"/>
        <w:spacing w:after="0"/>
        <w:tabs>
          <w:tab w:leader="none" w:pos="64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ind w:left="5980" w:hanging="826"/>
        <w:spacing w:after="0"/>
        <w:tabs>
          <w:tab w:leader="none" w:pos="5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(310) Reclassification,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59" w:lineRule="exact"/>
        <w:rPr>
          <w:sz w:val="20"/>
          <w:szCs w:val="20"/>
          <w:color w:val="auto"/>
        </w:rPr>
      </w:pPr>
    </w:p>
    <w:p>
      <w:pPr>
        <w:ind w:left="6040" w:hanging="886"/>
        <w:spacing w:after="0"/>
        <w:tabs>
          <w:tab w:leader="none" w:pos="6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418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gains (losses) on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060" w:hanging="906"/>
        <w:spacing w:after="0"/>
        <w:tabs>
          <w:tab w:leader="none" w:pos="6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(45) Net gains (losses) on securities</w:t>
      </w:r>
    </w:p>
    <w:p>
      <w:pPr>
        <w:spacing w:after="0" w:line="9" w:lineRule="exact"/>
        <w:rPr>
          <w:rFonts w:ascii="Arial" w:cs="Arial" w:eastAsia="Arial" w:hAnsi="Arial"/>
          <w:sz w:val="18"/>
          <w:szCs w:val="18"/>
          <w:color w:val="auto"/>
        </w:rPr>
      </w:pPr>
    </w:p>
    <w:p>
      <w:pPr>
        <w:ind w:left="6460" w:hanging="218"/>
        <w:spacing w:after="0"/>
        <w:tabs>
          <w:tab w:leader="none" w:pos="64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Net impairment loss 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(45) Total reclassifications before tax</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(9)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ind w:left="5160"/>
        <w:spacing w:after="0"/>
        <w:tabs>
          <w:tab w:leader="none" w:pos="6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(36)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5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gains (losses) on cash flow hedges</w:t>
      </w:r>
    </w:p>
    <w:p>
      <w:pPr>
        <w:spacing w:after="0" w:line="23" w:lineRule="exact"/>
        <w:rPr>
          <w:sz w:val="20"/>
          <w:szCs w:val="20"/>
          <w:color w:val="auto"/>
        </w:rPr>
      </w:pPr>
    </w:p>
    <w:p>
      <w:pPr>
        <w:ind w:left="5980" w:hanging="826"/>
        <w:spacing w:after="0"/>
        <w:tabs>
          <w:tab w:leader="none" w:pos="5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(132) Interest expense</w:t>
      </w:r>
    </w:p>
    <w:p>
      <w:pPr>
        <w:spacing w:after="0" w:line="9" w:lineRule="exact"/>
        <w:rPr>
          <w:rFonts w:ascii="Arial" w:cs="Arial" w:eastAsia="Arial" w:hAnsi="Arial"/>
          <w:sz w:val="18"/>
          <w:szCs w:val="18"/>
          <w:color w:val="auto"/>
        </w:rPr>
      </w:pPr>
    </w:p>
    <w:p>
      <w:pPr>
        <w:ind w:left="6460" w:hanging="398"/>
        <w:spacing w:after="0"/>
        <w:tabs>
          <w:tab w:leader="none" w:pos="6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5715</wp:posOffset>
            </wp:positionV>
            <wp:extent cx="72898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 w:lineRule="exact"/>
        <w:rPr>
          <w:sz w:val="20"/>
          <w:szCs w:val="20"/>
          <w:color w:val="auto"/>
        </w:rPr>
      </w:pPr>
    </w:p>
    <w:p>
      <w:pPr>
        <w:ind w:left="5980" w:hanging="826"/>
        <w:spacing w:after="0"/>
        <w:tabs>
          <w:tab w:leader="none" w:pos="5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(104) Reclassification,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ind w:left="6120" w:hanging="966"/>
        <w:spacing w:after="0"/>
        <w:tabs>
          <w:tab w:leader="none" w:pos="6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68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6"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Revenue from Contracts with Customers</w:t>
      </w:r>
    </w:p>
    <w:p>
      <w:pPr>
        <w:spacing w:after="0" w:line="24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We account for revenue in accordance with ASC Topic 606, Revenue from Contracts with Customers. We derive the majority of our revenue from financial instruments and their related contractual rights and obligations which for the most part are excluded from the scope of this topic. These sources of revenue that are excluded from the scope of this topic include interest income, net gains on mortgage loans, net gains (losses) on securities, mortgage loan servicing, net and bank owned life insurance and were approximately 84.7% and 83.1% of total revenues at September 30, 2019 and 2018, respectively.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Material sources of revenue that are included in the scope of this topic include service charges on deposit accounts, other deposit related income, interchange income and investment and insurance commissions and are discussed in the following paragraphs. Generally these sources of revenue are earned at the time the service is delivered or over the course of a monthly period and do not result in any contract asset or liability balance at any given period end. As a result, there were no contract assets or liabilities recorded as of September 30, 2019 and December 31, 2018.</w:t>
      </w:r>
    </w:p>
    <w:p>
      <w:pPr>
        <w:spacing w:after="0" w:line="209" w:lineRule="exact"/>
        <w:rPr>
          <w:sz w:val="20"/>
          <w:szCs w:val="20"/>
          <w:color w:val="auto"/>
        </w:rPr>
      </w:pPr>
    </w:p>
    <w:p>
      <w:pPr>
        <w:jc w:val="both"/>
        <w:spacing w:after="0" w:line="280" w:lineRule="auto"/>
        <w:rPr>
          <w:sz w:val="20"/>
          <w:szCs w:val="20"/>
          <w:color w:val="auto"/>
        </w:rPr>
      </w:pPr>
      <w:r>
        <w:rPr>
          <w:rFonts w:ascii="Arial" w:cs="Arial" w:eastAsia="Arial" w:hAnsi="Arial"/>
          <w:sz w:val="19"/>
          <w:szCs w:val="19"/>
          <w:u w:val="single" w:color="auto"/>
          <w:color w:val="auto"/>
        </w:rPr>
        <w:t>Service charges on deposit accounts and other deposit related income</w:t>
      </w:r>
      <w:r>
        <w:rPr>
          <w:rFonts w:ascii="Arial" w:cs="Arial" w:eastAsia="Arial" w:hAnsi="Arial"/>
          <w:sz w:val="19"/>
          <w:szCs w:val="19"/>
          <w:b w:val="1"/>
          <w:bCs w:val="1"/>
          <w:u w:val="single" w:color="auto"/>
          <w:color w:val="auto"/>
        </w:rPr>
        <w:t>:</w:t>
      </w:r>
      <w:r>
        <w:rPr>
          <w:rFonts w:ascii="Arial" w:cs="Arial" w:eastAsia="Arial" w:hAnsi="Arial"/>
          <w:sz w:val="19"/>
          <w:szCs w:val="19"/>
          <w:color w:val="auto"/>
        </w:rPr>
        <w:t xml:space="preserve"> Revenues are earned on depository accounts for commercial and retail customers and include fees for transaction-based, account maintenance and overdraft services. Transaction-based fees, which includes services such as ATM use fees, stop payment charges and ACH fees are recognized at the time the transaction is executed as that is the time we fulfill our customer’s request. Account maintenance fees, which includes monthly maintenance services are earned over the course of a month representing the period over which the performance obligation is satisfied. Our obligation for overdraft services is satisfied at the time of the overdraft.</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u w:val="single" w:color="auto"/>
          <w:color w:val="auto"/>
        </w:rPr>
        <w:t>Interchange income:</w:t>
      </w:r>
      <w:r>
        <w:rPr>
          <w:rFonts w:ascii="Arial" w:cs="Arial" w:eastAsia="Arial" w:hAnsi="Arial"/>
          <w:sz w:val="19"/>
          <w:szCs w:val="19"/>
          <w:color w:val="auto"/>
        </w:rPr>
        <w:t xml:space="preserve"> Interchange income primarily includes debit card interchange and network revenues. Debit card interchange and network revenues are earned on debit card transactions conducted through payment networks such as MasterCard and NYCE. Interchange income is recognized concurrently with the delivery of services on a daily basis. Interchange and network revenues are presented gross of interchange expenses, which are presented separately as a component of non-interest expense.</w:t>
      </w:r>
    </w:p>
    <w:p>
      <w:pPr>
        <w:spacing w:after="0" w:line="17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u w:val="single" w:color="auto"/>
          <w:color w:val="auto"/>
        </w:rPr>
        <w:t>Investment and insurance commissions:</w:t>
      </w:r>
      <w:r>
        <w:rPr>
          <w:rFonts w:ascii="Arial" w:cs="Arial" w:eastAsia="Arial" w:hAnsi="Arial"/>
          <w:sz w:val="21"/>
          <w:szCs w:val="21"/>
          <w:color w:val="auto"/>
        </w:rPr>
        <w:t xml:space="preserve"> Investment and insurance commissions include fees and commissions from asset management, custody, recordkeeping, investment advisory and other services provided to our customers. Revenue is recognized on an accrual basis at the time the services are performed and are generally based on either the market value of the assets managed or the services provided. We have an agent relationship with a third party provider of these services and net certain direct costs charged by the third party provider associated with providing these services to our customers.</w:t>
      </w:r>
    </w:p>
    <w:p>
      <w:pPr>
        <w:spacing w:after="0" w:line="20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u w:val="single" w:color="auto"/>
          <w:color w:val="auto"/>
        </w:rPr>
        <w:t>Net (gains) losses on other real estate and repossessed assets:</w:t>
      </w:r>
      <w:r>
        <w:rPr>
          <w:rFonts w:ascii="Arial" w:cs="Arial" w:eastAsia="Arial" w:hAnsi="Arial"/>
          <w:sz w:val="22"/>
          <w:szCs w:val="22"/>
          <w:color w:val="auto"/>
        </w:rPr>
        <w:t xml:space="preserve"> We record a gain or loss from the sale of other real estate when control of the property transfers to the buyer, which generally occurs at the time of an executed deed. If we were to finance the sale of other real estate to the buyer, we would assess whether the buyer is committed to perform their obligations under the contract and whether collectability of the transaction is probable. Once these criteria are met, the other real estate asset would be derecognized and the gain or loss on sale would be recorded upon the transfer of control of the property to the buyer. There were no other real estate properties sold during the three and nine month periods ending September 30, 2019 and 2018 that were financed by us.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Disaggregation of our revenue sources by attribute follows: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Three months ending September 30, 2019</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Service</w:t>
            </w:r>
          </w:p>
        </w:tc>
        <w:tc>
          <w:tcPr>
            <w:tcW w:w="120" w:type="dxa"/>
            <w:vAlign w:val="bottom"/>
          </w:tcPr>
          <w:p>
            <w:pPr>
              <w:spacing w:after="0"/>
              <w:rPr>
                <w:sz w:val="17"/>
                <w:szCs w:val="17"/>
                <w:color w:val="auto"/>
              </w:rPr>
            </w:pPr>
          </w:p>
        </w:tc>
        <w:tc>
          <w:tcPr>
            <w:tcW w:w="860" w:type="dxa"/>
            <w:vAlign w:val="bottom"/>
          </w:tcPr>
          <w:p>
            <w:pPr>
              <w:jc w:val="center"/>
              <w:ind w:left="190"/>
              <w:spacing w:after="0"/>
              <w:rPr>
                <w:sz w:val="20"/>
                <w:szCs w:val="20"/>
                <w:color w:val="auto"/>
              </w:rPr>
            </w:pPr>
            <w:r>
              <w:rPr>
                <w:rFonts w:ascii="Arial" w:cs="Arial" w:eastAsia="Arial" w:hAnsi="Arial"/>
                <w:sz w:val="18"/>
                <w:szCs w:val="18"/>
                <w:color w:val="auto"/>
                <w:w w:val="93"/>
              </w:rPr>
              <w:t>Other</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Investment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Charges</w:t>
            </w:r>
          </w:p>
        </w:tc>
        <w:tc>
          <w:tcPr>
            <w:tcW w:w="120" w:type="dxa"/>
            <w:vAlign w:val="bottom"/>
          </w:tcPr>
          <w:p>
            <w:pPr>
              <w:spacing w:after="0"/>
              <w:rPr>
                <w:sz w:val="18"/>
                <w:szCs w:val="18"/>
                <w:color w:val="auto"/>
              </w:rPr>
            </w:pPr>
          </w:p>
        </w:tc>
        <w:tc>
          <w:tcPr>
            <w:tcW w:w="860" w:type="dxa"/>
            <w:vAlign w:val="bottom"/>
          </w:tcPr>
          <w:p>
            <w:pPr>
              <w:jc w:val="center"/>
              <w:ind w:left="170"/>
              <w:spacing w:after="0"/>
              <w:rPr>
                <w:sz w:val="20"/>
                <w:szCs w:val="20"/>
                <w:color w:val="auto"/>
              </w:rPr>
            </w:pPr>
            <w:r>
              <w:rPr>
                <w:rFonts w:ascii="Arial" w:cs="Arial" w:eastAsia="Arial" w:hAnsi="Arial"/>
                <w:sz w:val="18"/>
                <w:szCs w:val="18"/>
                <w:color w:val="auto"/>
                <w:w w:val="91"/>
              </w:rPr>
              <w:t>Deposit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and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on Deposit</w:t>
            </w:r>
          </w:p>
        </w:tc>
        <w:tc>
          <w:tcPr>
            <w:tcW w:w="120" w:type="dxa"/>
            <w:vAlign w:val="bottom"/>
          </w:tcPr>
          <w:p>
            <w:pPr>
              <w:spacing w:after="0"/>
              <w:rPr>
                <w:sz w:val="18"/>
                <w:szCs w:val="18"/>
                <w:color w:val="auto"/>
              </w:rPr>
            </w:pPr>
          </w:p>
        </w:tc>
        <w:tc>
          <w:tcPr>
            <w:tcW w:w="860" w:type="dxa"/>
            <w:vAlign w:val="bottom"/>
          </w:tcPr>
          <w:p>
            <w:pPr>
              <w:jc w:val="center"/>
              <w:ind w:left="190"/>
              <w:spacing w:after="0"/>
              <w:rPr>
                <w:sz w:val="20"/>
                <w:szCs w:val="20"/>
                <w:color w:val="auto"/>
              </w:rPr>
            </w:pPr>
            <w:r>
              <w:rPr>
                <w:rFonts w:ascii="Arial" w:cs="Arial" w:eastAsia="Arial" w:hAnsi="Arial"/>
                <w:sz w:val="18"/>
                <w:szCs w:val="18"/>
                <w:color w:val="auto"/>
                <w:w w:val="86"/>
              </w:rPr>
              <w:t>Related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Interchange</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Insurance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Accounts</w:t>
            </w:r>
          </w:p>
        </w:tc>
        <w:tc>
          <w:tcPr>
            <w:tcW w:w="120" w:type="dxa"/>
            <w:vAlign w:val="bottom"/>
          </w:tcPr>
          <w:p>
            <w:pPr>
              <w:spacing w:after="0"/>
              <w:rPr>
                <w:sz w:val="20"/>
                <w:szCs w:val="20"/>
                <w:color w:val="auto"/>
              </w:rPr>
            </w:pPr>
          </w:p>
        </w:tc>
        <w:tc>
          <w:tcPr>
            <w:tcW w:w="860" w:type="dxa"/>
            <w:vAlign w:val="bottom"/>
          </w:tcPr>
          <w:p>
            <w:pPr>
              <w:jc w:val="center"/>
              <w:ind w:left="190"/>
              <w:spacing w:after="0"/>
              <w:rPr>
                <w:sz w:val="20"/>
                <w:szCs w:val="20"/>
                <w:color w:val="auto"/>
              </w:rPr>
            </w:pPr>
            <w:r>
              <w:rPr>
                <w:rFonts w:ascii="Arial" w:cs="Arial" w:eastAsia="Arial" w:hAnsi="Arial"/>
                <w:sz w:val="18"/>
                <w:szCs w:val="18"/>
                <w:color w:val="auto"/>
                <w:w w:val="91"/>
              </w:rPr>
              <w:t>Income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Income</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Commissions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Retail</w:t>
            </w: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5"/>
              </w:rPr>
              <w:t>(In thousands)</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Overdraft fees</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1,970</w:t>
            </w:r>
          </w:p>
        </w:tc>
        <w:tc>
          <w:tcPr>
            <w:tcW w:w="98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Account service charges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ATM fees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Overdraft fees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 service charges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ATM fees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Interchange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2,785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Asset management 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Transaction based revenue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2,883</w:t>
            </w:r>
          </w:p>
        </w:tc>
        <w:tc>
          <w:tcPr>
            <w:tcW w:w="98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713</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2,785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6,831</w:t>
            </w:r>
          </w:p>
        </w:tc>
        <w:tc>
          <w:tcPr>
            <w:tcW w:w="0" w:type="dxa"/>
            <w:vAlign w:val="bottom"/>
          </w:tcPr>
          <w:p>
            <w:pPr>
              <w:spacing w:after="0"/>
              <w:rPr>
                <w:sz w:val="1"/>
                <w:szCs w:val="1"/>
                <w:color w:val="auto"/>
              </w:rPr>
            </w:pPr>
          </w:p>
        </w:tc>
      </w:tr>
      <w:tr>
        <w:trPr>
          <w:trHeight w:val="21"/>
        </w:trPr>
        <w:tc>
          <w:tcPr>
            <w:tcW w:w="470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80" w:type="dxa"/>
            <w:vAlign w:val="bottom"/>
            <w:gridSpan w:val="5"/>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5"/>
          </w:tcPr>
          <w:p>
            <w:pPr>
              <w:spacing w:after="0"/>
              <w:rPr>
                <w:sz w:val="20"/>
                <w:szCs w:val="20"/>
                <w:color w:val="auto"/>
              </w:rPr>
            </w:pPr>
            <w:r>
              <w:rPr>
                <w:rFonts w:ascii="Arial" w:cs="Arial" w:eastAsia="Arial" w:hAnsi="Arial"/>
                <w:sz w:val="18"/>
                <w:szCs w:val="18"/>
                <w:color w:val="auto"/>
              </w:rPr>
              <w:t>Reconciliation to Condensed Consolidated Statement of Operations: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 income - 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Other deposit related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 and insurance commissions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Bank owned life insurance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8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62</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Three months ending September 30, 2018</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Service</w:t>
            </w:r>
          </w:p>
        </w:tc>
        <w:tc>
          <w:tcPr>
            <w:tcW w:w="120" w:type="dxa"/>
            <w:vAlign w:val="bottom"/>
          </w:tcPr>
          <w:p>
            <w:pPr>
              <w:spacing w:after="0"/>
              <w:rPr>
                <w:sz w:val="17"/>
                <w:szCs w:val="17"/>
                <w:color w:val="auto"/>
              </w:rPr>
            </w:pPr>
          </w:p>
        </w:tc>
        <w:tc>
          <w:tcPr>
            <w:tcW w:w="860" w:type="dxa"/>
            <w:vAlign w:val="bottom"/>
          </w:tcPr>
          <w:p>
            <w:pPr>
              <w:jc w:val="center"/>
              <w:ind w:left="190"/>
              <w:spacing w:after="0"/>
              <w:rPr>
                <w:sz w:val="20"/>
                <w:szCs w:val="20"/>
                <w:color w:val="auto"/>
              </w:rPr>
            </w:pPr>
            <w:r>
              <w:rPr>
                <w:rFonts w:ascii="Arial" w:cs="Arial" w:eastAsia="Arial" w:hAnsi="Arial"/>
                <w:sz w:val="18"/>
                <w:szCs w:val="18"/>
                <w:color w:val="auto"/>
                <w:w w:val="93"/>
              </w:rPr>
              <w:t>Other</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Investment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Charges</w:t>
            </w:r>
          </w:p>
        </w:tc>
        <w:tc>
          <w:tcPr>
            <w:tcW w:w="120" w:type="dxa"/>
            <w:vAlign w:val="bottom"/>
          </w:tcPr>
          <w:p>
            <w:pPr>
              <w:spacing w:after="0"/>
              <w:rPr>
                <w:sz w:val="18"/>
                <w:szCs w:val="18"/>
                <w:color w:val="auto"/>
              </w:rPr>
            </w:pPr>
          </w:p>
        </w:tc>
        <w:tc>
          <w:tcPr>
            <w:tcW w:w="860" w:type="dxa"/>
            <w:vAlign w:val="bottom"/>
          </w:tcPr>
          <w:p>
            <w:pPr>
              <w:jc w:val="center"/>
              <w:ind w:left="170"/>
              <w:spacing w:after="0"/>
              <w:rPr>
                <w:sz w:val="20"/>
                <w:szCs w:val="20"/>
                <w:color w:val="auto"/>
              </w:rPr>
            </w:pPr>
            <w:r>
              <w:rPr>
                <w:rFonts w:ascii="Arial" w:cs="Arial" w:eastAsia="Arial" w:hAnsi="Arial"/>
                <w:sz w:val="18"/>
                <w:szCs w:val="18"/>
                <w:color w:val="auto"/>
                <w:w w:val="91"/>
              </w:rPr>
              <w:t>Deposit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and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on Deposit</w:t>
            </w:r>
          </w:p>
        </w:tc>
        <w:tc>
          <w:tcPr>
            <w:tcW w:w="120" w:type="dxa"/>
            <w:vAlign w:val="bottom"/>
          </w:tcPr>
          <w:p>
            <w:pPr>
              <w:spacing w:after="0"/>
              <w:rPr>
                <w:sz w:val="18"/>
                <w:szCs w:val="18"/>
                <w:color w:val="auto"/>
              </w:rPr>
            </w:pPr>
          </w:p>
        </w:tc>
        <w:tc>
          <w:tcPr>
            <w:tcW w:w="860" w:type="dxa"/>
            <w:vAlign w:val="bottom"/>
          </w:tcPr>
          <w:p>
            <w:pPr>
              <w:jc w:val="center"/>
              <w:ind w:left="190"/>
              <w:spacing w:after="0"/>
              <w:rPr>
                <w:sz w:val="20"/>
                <w:szCs w:val="20"/>
                <w:color w:val="auto"/>
              </w:rPr>
            </w:pPr>
            <w:r>
              <w:rPr>
                <w:rFonts w:ascii="Arial" w:cs="Arial" w:eastAsia="Arial" w:hAnsi="Arial"/>
                <w:sz w:val="18"/>
                <w:szCs w:val="18"/>
                <w:color w:val="auto"/>
                <w:w w:val="86"/>
              </w:rPr>
              <w:t>Related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Interchange</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Insurance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Accounts</w:t>
            </w:r>
          </w:p>
        </w:tc>
        <w:tc>
          <w:tcPr>
            <w:tcW w:w="120" w:type="dxa"/>
            <w:vAlign w:val="bottom"/>
          </w:tcPr>
          <w:p>
            <w:pPr>
              <w:spacing w:after="0"/>
              <w:rPr>
                <w:sz w:val="20"/>
                <w:szCs w:val="20"/>
                <w:color w:val="auto"/>
              </w:rPr>
            </w:pPr>
          </w:p>
        </w:tc>
        <w:tc>
          <w:tcPr>
            <w:tcW w:w="860" w:type="dxa"/>
            <w:vAlign w:val="bottom"/>
          </w:tcPr>
          <w:p>
            <w:pPr>
              <w:jc w:val="center"/>
              <w:ind w:left="190"/>
              <w:spacing w:after="0"/>
              <w:rPr>
                <w:sz w:val="20"/>
                <w:szCs w:val="20"/>
                <w:color w:val="auto"/>
              </w:rPr>
            </w:pPr>
            <w:r>
              <w:rPr>
                <w:rFonts w:ascii="Arial" w:cs="Arial" w:eastAsia="Arial" w:hAnsi="Arial"/>
                <w:sz w:val="18"/>
                <w:szCs w:val="18"/>
                <w:color w:val="auto"/>
                <w:w w:val="91"/>
              </w:rPr>
              <w:t>Income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Income</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Commissions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Retail</w:t>
            </w: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5"/>
              </w:rPr>
              <w:t>(In thousands)</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Overdraft fees</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2,161</w:t>
            </w:r>
          </w:p>
        </w:tc>
        <w:tc>
          <w:tcPr>
            <w:tcW w:w="98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Account service charges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ATM fees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Overdraft fees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 service charges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ATM fees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Interchange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2,486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Asset management 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Transaction based revenue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3,166</w:t>
            </w:r>
          </w:p>
        </w:tc>
        <w:tc>
          <w:tcPr>
            <w:tcW w:w="98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727</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2,486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6,892</w:t>
            </w:r>
          </w:p>
        </w:tc>
        <w:tc>
          <w:tcPr>
            <w:tcW w:w="0" w:type="dxa"/>
            <w:vAlign w:val="bottom"/>
          </w:tcPr>
          <w:p>
            <w:pPr>
              <w:spacing w:after="0"/>
              <w:rPr>
                <w:sz w:val="1"/>
                <w:szCs w:val="1"/>
                <w:color w:val="auto"/>
              </w:rPr>
            </w:pPr>
          </w:p>
        </w:tc>
      </w:tr>
      <w:tr>
        <w:trPr>
          <w:trHeight w:val="21"/>
        </w:trPr>
        <w:tc>
          <w:tcPr>
            <w:tcW w:w="470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80" w:type="dxa"/>
            <w:vAlign w:val="bottom"/>
            <w:gridSpan w:val="5"/>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5"/>
          </w:tcPr>
          <w:p>
            <w:pPr>
              <w:spacing w:after="0"/>
              <w:rPr>
                <w:sz w:val="20"/>
                <w:szCs w:val="20"/>
                <w:color w:val="auto"/>
              </w:rPr>
            </w:pPr>
            <w:r>
              <w:rPr>
                <w:rFonts w:ascii="Arial" w:cs="Arial" w:eastAsia="Arial" w:hAnsi="Arial"/>
                <w:sz w:val="18"/>
                <w:szCs w:val="18"/>
                <w:color w:val="auto"/>
              </w:rPr>
              <w:t>Reconciliation to Condensed Consolidated Statement of Operations: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 income - 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Other deposit related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 and insurance commissions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Bank owned life insurance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8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63</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Nine months ending September 30, 2019</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Service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Other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Investment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Charges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Deposit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and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on Deposit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Related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Interchange</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Insurance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Accounts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Income</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Commissions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Retail</w:t>
            </w: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5"/>
              </w:rPr>
              <w:t>(In thousands)</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Overdraft fees</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5,582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Account service charges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ATM fees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Overdraft fees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 service charges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ATM fees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Interchange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7,744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Asset management 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Transaction based revenue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8,323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2,079</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7,744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1,197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19,343</w:t>
            </w:r>
          </w:p>
        </w:tc>
        <w:tc>
          <w:tcPr>
            <w:tcW w:w="0" w:type="dxa"/>
            <w:vAlign w:val="bottom"/>
          </w:tcPr>
          <w:p>
            <w:pPr>
              <w:spacing w:after="0"/>
              <w:rPr>
                <w:sz w:val="1"/>
                <w:szCs w:val="1"/>
                <w:color w:val="auto"/>
              </w:rPr>
            </w:pPr>
          </w:p>
        </w:tc>
      </w:tr>
      <w:tr>
        <w:trPr>
          <w:trHeight w:val="21"/>
        </w:trPr>
        <w:tc>
          <w:tcPr>
            <w:tcW w:w="470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80" w:type="dxa"/>
            <w:vAlign w:val="bottom"/>
            <w:gridSpan w:val="5"/>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5"/>
          </w:tcPr>
          <w:p>
            <w:pPr>
              <w:spacing w:after="0"/>
              <w:rPr>
                <w:sz w:val="20"/>
                <w:szCs w:val="20"/>
                <w:color w:val="auto"/>
              </w:rPr>
            </w:pPr>
            <w:r>
              <w:rPr>
                <w:rFonts w:ascii="Arial" w:cs="Arial" w:eastAsia="Arial" w:hAnsi="Arial"/>
                <w:sz w:val="18"/>
                <w:szCs w:val="18"/>
                <w:color w:val="auto"/>
              </w:rPr>
              <w:t>Reconciliation to Condensed Consolidated Statement of Operations: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 income - 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Other deposit related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 and insurance commissions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Bank owned life insurance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8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64</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Nine months ending September 30, 2018</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Service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Other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Investment</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Charges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Deposit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and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on Deposit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Related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Interchange</w:t>
            </w: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Insurance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Accounts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Income</w:t>
            </w: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Commissions</w:t>
            </w: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Retail</w:t>
            </w: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5"/>
              </w:rPr>
              <w:t>(In thousands)</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Overdraft fees</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Account service charges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ATM fees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Overdraft fees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 service charges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ATM fees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Interchange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7,236</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Asset management 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Transaction based revenue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608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9,166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2,158</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7,236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1,434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19,994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0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80" w:type="dxa"/>
            <w:vAlign w:val="bottom"/>
            <w:gridSpan w:val="5"/>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5"/>
          </w:tcPr>
          <w:p>
            <w:pPr>
              <w:spacing w:after="0"/>
              <w:rPr>
                <w:sz w:val="20"/>
                <w:szCs w:val="20"/>
                <w:color w:val="auto"/>
              </w:rPr>
            </w:pPr>
            <w:r>
              <w:rPr>
                <w:rFonts w:ascii="Arial" w:cs="Arial" w:eastAsia="Arial" w:hAnsi="Arial"/>
                <w:sz w:val="18"/>
                <w:szCs w:val="18"/>
                <w:color w:val="auto"/>
              </w:rPr>
              <w:t>Reconciliation to Condensed Consolidated Statement of Operations: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 income - 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Other deposit related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 and insurance commissions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Bank owned life insurance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8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16. </w:t>
      </w:r>
      <w:r>
        <w:rPr>
          <w:rFonts w:ascii="Arial" w:cs="Arial" w:eastAsia="Arial" w:hAnsi="Arial"/>
          <w:sz w:val="22"/>
          <w:szCs w:val="22"/>
          <w:u w:val="single" w:color="auto"/>
          <w:color w:val="auto"/>
        </w:rPr>
        <w:t>Leases</w:t>
      </w:r>
    </w:p>
    <w:p>
      <w:pPr>
        <w:spacing w:after="0" w:line="23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We have operating leases, primarily relating to certain office facilities, some of which include renewal options and escalation clauses. Certain leases also include both lease components (fixed payments including rent, taxes and insurance costs) and non-lease components (common area or other maintenance costs) which are accounted for as a single lease component as we have elected the practical expedient to group lease and non-lease components for all leases. Most of our leases include one or more options to renew. The exercise of lease renewal options is typically at our sole discretion and are included in our ROU assets and lease liabilities if they are reasonably certain of exercise. As most of our leases do not provide an implicit rate, we use our incremental borrowing rate based on the information available at the lease commencement date in determining the present value of the lease payments.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The cost components of our operating leases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Three Months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Nine Months</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Ended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Ended</w:t>
            </w: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6"/>
          </w:tcPr>
          <w:p>
            <w:pPr>
              <w:ind w:left="300"/>
              <w:spacing w:after="0"/>
              <w:rPr>
                <w:sz w:val="20"/>
                <w:szCs w:val="20"/>
                <w:color w:val="auto"/>
              </w:rPr>
            </w:pPr>
            <w:r>
              <w:rPr>
                <w:rFonts w:ascii="Arial" w:cs="Arial" w:eastAsia="Arial" w:hAnsi="Arial"/>
                <w:sz w:val="18"/>
                <w:szCs w:val="18"/>
                <w:color w:val="auto"/>
              </w:rPr>
              <w:t>September 30, 2019</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gridSpan w:val="5"/>
          </w:tcPr>
          <w:p>
            <w:pPr>
              <w:jc w:val="right"/>
              <w:ind w:right="65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5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Variable lease cost</w:t>
            </w:r>
          </w:p>
        </w:tc>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5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580" w:type="dxa"/>
            <w:vAlign w:val="bottom"/>
            <w:shd w:val="clear" w:color="auto" w:fill="CCEEFF"/>
          </w:tcPr>
          <w:p>
            <w:pPr>
              <w:spacing w:after="0"/>
              <w:rPr>
                <w:sz w:val="2"/>
                <w:szCs w:val="2"/>
                <w:color w:val="auto"/>
              </w:rPr>
            </w:pPr>
          </w:p>
        </w:tc>
        <w:tc>
          <w:tcPr>
            <w:tcW w:w="5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tcPr>
          <w:p>
            <w:pPr>
              <w:ind w:left="180"/>
              <w:spacing w:after="0"/>
              <w:rPr>
                <w:sz w:val="20"/>
                <w:szCs w:val="20"/>
                <w:color w:val="auto"/>
              </w:rPr>
            </w:pPr>
            <w:r>
              <w:rPr>
                <w:rFonts w:ascii="Arial" w:cs="Arial" w:eastAsia="Arial" w:hAnsi="Arial"/>
                <w:sz w:val="18"/>
                <w:szCs w:val="18"/>
                <w:color w:val="auto"/>
              </w:rPr>
              <w:t>Total</w:t>
            </w:r>
          </w:p>
        </w:tc>
        <w:tc>
          <w:tcPr>
            <w:tcW w:w="5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612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5240" w:type="dxa"/>
            <w:vAlign w:val="bottom"/>
            <w:vMerge w:val="restart"/>
          </w:tcPr>
          <w:p>
            <w:pPr>
              <w:jc w:val="right"/>
              <w:ind w:right="2956"/>
              <w:spacing w:after="0"/>
              <w:rPr>
                <w:sz w:val="20"/>
                <w:szCs w:val="20"/>
                <w:color w:val="auto"/>
              </w:rPr>
            </w:pPr>
            <w:r>
              <w:rPr>
                <w:rFonts w:ascii="Arial" w:cs="Arial" w:eastAsia="Arial" w:hAnsi="Arial"/>
                <w:sz w:val="14"/>
                <w:szCs w:val="14"/>
                <w:color w:val="auto"/>
              </w:rPr>
              <w:t>65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358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580" w:type="dxa"/>
            <w:vAlign w:val="bottom"/>
            <w:tcBorders>
              <w:bottom w:val="single" w:sz="8" w:color="auto"/>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Variable lease costs consist primarily of taxes, insurance, and common area or other maintenance costs for our leased facilities.</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Supplemental balance sheet information related to our operating leases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980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Arial" w:cs="Arial" w:eastAsia="Arial" w:hAnsi="Arial"/>
                <w:sz w:val="18"/>
                <w:szCs w:val="18"/>
                <w:color w:val="auto"/>
                <w:w w:val="96"/>
              </w:rPr>
              <w:t>September 30,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2"/>
              </w:rPr>
              <w:t>(In thousands)</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right of use asset (1)</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Lease liabilities (2)</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82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Weighted average remaining lease term (years)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Included in Accrued income and other assets in our Condensed Consolidated Statements of Financial Condition.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 in our Condensed Consolidated Statements of Financial Condition.</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Maturity analysis of our lease liabilities at September 30, 2019 based on required contractual payments follows: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9"/>
              </w:rPr>
              <w:t>(In thousands)</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30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ending December 31, 2019</w:t>
            </w:r>
          </w:p>
        </w:tc>
        <w:tc>
          <w:tcPr>
            <w:tcW w:w="60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2020</w:t>
            </w:r>
          </w:p>
        </w:tc>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2022</w:t>
            </w:r>
          </w:p>
        </w:tc>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2024 and thereafter</w:t>
            </w:r>
          </w:p>
        </w:tc>
        <w:tc>
          <w:tcPr>
            <w:tcW w:w="5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lease payments</w:t>
            </w:r>
          </w:p>
        </w:tc>
        <w:tc>
          <w:tcPr>
            <w:tcW w:w="5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Less imputed interest</w:t>
            </w:r>
          </w:p>
        </w:tc>
        <w:tc>
          <w:tcPr>
            <w:tcW w:w="5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58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5860" w:type="dxa"/>
            <w:vAlign w:val="bottom"/>
          </w:tcPr>
          <w:p>
            <w:pPr>
              <w:jc w:val="right"/>
              <w:ind w:right="4319"/>
              <w:spacing w:after="0"/>
              <w:rPr>
                <w:sz w:val="20"/>
                <w:szCs w:val="20"/>
                <w:color w:val="auto"/>
              </w:rPr>
            </w:pPr>
            <w:r>
              <w:rPr>
                <w:rFonts w:ascii="Arial" w:cs="Arial" w:eastAsia="Arial" w:hAnsi="Arial"/>
                <w:sz w:val="14"/>
                <w:szCs w:val="14"/>
                <w:color w:val="auto"/>
              </w:rPr>
              <w:t>66</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300" w:type="dxa"/>
            <w:vAlign w:val="bottom"/>
            <w:tcBorders>
              <w:bottom w:val="single" w:sz="8" w:color="auto"/>
            </w:tcBorders>
          </w:tcPr>
          <w:p>
            <w:pPr>
              <w:spacing w:after="0"/>
              <w:rPr>
                <w:sz w:val="4"/>
                <w:szCs w:val="4"/>
                <w:color w:val="auto"/>
              </w:rPr>
            </w:pPr>
          </w:p>
        </w:tc>
        <w:tc>
          <w:tcPr>
            <w:tcW w:w="5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ind w:left="380" w:hanging="372"/>
        <w:spacing w:after="0"/>
        <w:tabs>
          <w:tab w:leader="none" w:pos="38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Recent Acquisition</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Effective April 1, 2018, we completed the acquisition of all of the issued and outstanding shares of common stock of TCSB through a merger of TCSB into Independent Bank Corporation (“IBCP”), with IBCP as the surviving corporation (the ‘‘Merger’’). On that same date we also consolidated Traverse City State Bank, TCSB’s wholly-owned subsidiary bank, into Independent Bank (with Independent Bank as the surviving institution). Under the terms of the merger agreement each holder of TCSB common stock received 1.1166 shares of IBCP common stock plus cash in lieu of fractional shares totaling $0.005 million. TCSB option holders had their options converted into IBCP stock options. As a result we issued 2.71 million shares of common stock and 0.19 million stock options with a fair value of approximately $64.5 million to the shareholders and option holders of TCSB. The fair value of common stock and stock options issued as the consideration paid for TCSB was determined using the closing price of our common stock on the acquisition date. This acquisition was accounted for under the acquisition method of accounting. Accordingly, we recognized amounts for identifiable assets acquired and liabilities assumed at their estimated acquisition date fair values. TCSB results of operations are included in our results beginning April 1, 2018.</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reflects our final valuation of the assets acquired and liabilities assumed: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(In thousands)</w:t>
            </w: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80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Interest bearing deposits - time</w:t>
            </w:r>
          </w:p>
        </w:tc>
        <w:tc>
          <w:tcPr>
            <w:tcW w:w="3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4,054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 available for sale</w:t>
            </w:r>
          </w:p>
        </w:tc>
        <w:tc>
          <w:tcPr>
            <w:tcW w:w="3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Federal Home Loan Bank stock</w:t>
            </w:r>
          </w:p>
        </w:tc>
        <w:tc>
          <w:tcPr>
            <w:tcW w:w="3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net</w:t>
            </w:r>
          </w:p>
        </w:tc>
        <w:tc>
          <w:tcPr>
            <w:tcW w:w="3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295,799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Property and equipement, net</w:t>
            </w:r>
          </w:p>
        </w:tc>
        <w:tc>
          <w:tcPr>
            <w:tcW w:w="3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Capitalized mortgage loan servicing rights</w:t>
            </w:r>
          </w:p>
        </w:tc>
        <w:tc>
          <w:tcPr>
            <w:tcW w:w="3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Accrued income and other assets</w:t>
            </w:r>
          </w:p>
        </w:tc>
        <w:tc>
          <w:tcPr>
            <w:tcW w:w="3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3,362</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intangibles (1)</w:t>
            </w:r>
          </w:p>
        </w:tc>
        <w:tc>
          <w:tcPr>
            <w:tcW w:w="34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320"/>
              <w:spacing w:after="0"/>
              <w:rPr>
                <w:sz w:val="20"/>
                <w:szCs w:val="20"/>
                <w:color w:val="auto"/>
              </w:rPr>
            </w:pPr>
            <w:r>
              <w:rPr>
                <w:rFonts w:ascii="Arial" w:cs="Arial" w:eastAsia="Arial" w:hAnsi="Arial"/>
                <w:sz w:val="18"/>
                <w:szCs w:val="18"/>
                <w:color w:val="auto"/>
              </w:rPr>
              <w:t>Total assets acquired</w:t>
            </w:r>
          </w:p>
        </w:tc>
        <w:tc>
          <w:tcPr>
            <w:tcW w:w="34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343,492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Deposits</w:t>
            </w:r>
          </w:p>
        </w:tc>
        <w:tc>
          <w:tcPr>
            <w:tcW w:w="3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287,710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borrowings</w:t>
            </w:r>
          </w:p>
        </w:tc>
        <w:tc>
          <w:tcPr>
            <w:tcW w:w="3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Subordinated debentures</w:t>
            </w:r>
          </w:p>
        </w:tc>
        <w:tc>
          <w:tcPr>
            <w:tcW w:w="3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3,768</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34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320"/>
              <w:spacing w:after="0"/>
              <w:rPr>
                <w:sz w:val="20"/>
                <w:szCs w:val="20"/>
                <w:color w:val="auto"/>
              </w:rPr>
            </w:pPr>
            <w:r>
              <w:rPr>
                <w:rFonts w:ascii="Arial" w:cs="Arial" w:eastAsia="Arial" w:hAnsi="Arial"/>
                <w:sz w:val="18"/>
                <w:szCs w:val="18"/>
                <w:color w:val="auto"/>
              </w:rPr>
              <w:t>Total liabilities assumed</w:t>
            </w:r>
          </w:p>
        </w:tc>
        <w:tc>
          <w:tcPr>
            <w:tcW w:w="34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307,252</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assets acquired</w:t>
            </w:r>
          </w:p>
        </w:tc>
        <w:tc>
          <w:tcPr>
            <w:tcW w:w="34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Goodwill</w:t>
            </w:r>
          </w:p>
        </w:tc>
        <w:tc>
          <w:tcPr>
            <w:tcW w:w="34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28,300</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price (fair value of consideration)</w:t>
            </w:r>
          </w:p>
        </w:tc>
        <w:tc>
          <w:tcPr>
            <w:tcW w:w="34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64,540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Relates to core deposit intangibles (see note #7).</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Management views the disclosed fair values presented above to be final as the one-year measurement period for finalizing acquisition-date fair values has expired. During this measurement period we had one adjustment to our acquisition date fair values. During the third quarter of 2018, goodwill was reduced by $0.7 million (to $28.3 million) related to the collection of a TCSB acquired loan that had been charged off in full prior to the Merger. Because of the status of the collection activities related to this loan at the time of the Merger, we determined that this transaction was a measurement period adjustment and reduced goodwill accordingly.</w:t>
      </w:r>
    </w:p>
    <w:p>
      <w:pPr>
        <w:spacing w:after="0" w:line="215"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Goodwill related to this acquisition will not be deductible for tax purposes and consists largely of synergies and cost savings resulting from the combining of the operations of TCSB into ours as well as expansion into a new market.</w:t>
      </w:r>
    </w:p>
    <w:p>
      <w:pPr>
        <w:spacing w:after="0" w:line="20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estimated fair value of the core deposit intangible was $5.8 million and is being amortized over an estimated useful life of 10 years.</w:t>
      </w:r>
    </w:p>
    <w:p>
      <w:pPr>
        <w:spacing w:after="0" w:line="200"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fair value of net assets acquired includes fair value adjustments to certain receivables that were not considered impaired as of the acquisition date. The fair value adjustments were determined using discounted contractual cash flows. However, we believe that all contractual cash flows related to these financial instruments will be collected. As such, these receivables were not considered impaired at the acquisition date and were not subject to the guidance relating to purchased credit impaired loans which have shown evidence of credit deterioration since origination. Receivables acquired that are not subject to these requirements included non-impaired customer receivables with a fair value and gross contractual amounts receivable of $292.9 million and $298.6 million on the date of acquisition.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w:t>
      </w:r>
      <w:r>
        <w:rPr>
          <w:rFonts w:ascii="Arial" w:cs="Arial" w:eastAsia="Arial" w:hAnsi="Arial"/>
          <w:sz w:val="14"/>
          <w:szCs w:val="14"/>
          <w:b w:val="1"/>
          <w:bCs w:val="1"/>
          <w:color w:val="auto"/>
        </w:rPr>
        <w:t>ANAGEMENT</w:t>
      </w:r>
      <w:r>
        <w:rPr>
          <w:rFonts w:ascii="Arial" w:cs="Arial" w:eastAsia="Arial" w:hAnsi="Arial"/>
          <w:sz w:val="22"/>
          <w:szCs w:val="22"/>
          <w:b w:val="1"/>
          <w:bCs w:val="1"/>
          <w:color w:val="auto"/>
        </w:rPr>
        <w:t>’</w:t>
      </w:r>
      <w:r>
        <w:rPr>
          <w:rFonts w:ascii="Arial" w:cs="Arial" w:eastAsia="Arial" w:hAnsi="Arial"/>
          <w:sz w:val="14"/>
          <w:szCs w:val="14"/>
          <w:b w:val="1"/>
          <w:bCs w:val="1"/>
          <w:color w:val="auto"/>
        </w:rPr>
        <w:t>S</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ISCUSSION AND</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NALYSIS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OF </w:t>
      </w:r>
      <w:r>
        <w:rPr>
          <w:rFonts w:ascii="Arial" w:cs="Arial" w:eastAsia="Arial" w:hAnsi="Arial"/>
          <w:sz w:val="21"/>
          <w:szCs w:val="21"/>
          <w:b w:val="1"/>
          <w:bCs w:val="1"/>
          <w:color w:val="auto"/>
        </w:rPr>
        <w:t>F</w:t>
      </w:r>
      <w:r>
        <w:rPr>
          <w:rFonts w:ascii="Arial" w:cs="Arial" w:eastAsia="Arial" w:hAnsi="Arial"/>
          <w:sz w:val="15"/>
          <w:szCs w:val="15"/>
          <w:b w:val="1"/>
          <w:bCs w:val="1"/>
          <w:color w:val="auto"/>
        </w:rPr>
        <w:t xml:space="preserve">INANCIAL </w:t>
      </w:r>
      <w:r>
        <w:rPr>
          <w:rFonts w:ascii="Arial" w:cs="Arial" w:eastAsia="Arial" w:hAnsi="Arial"/>
          <w:sz w:val="21"/>
          <w:szCs w:val="21"/>
          <w:b w:val="1"/>
          <w:bCs w:val="1"/>
          <w:color w:val="auto"/>
        </w:rPr>
        <w:t>C</w:t>
      </w:r>
      <w:r>
        <w:rPr>
          <w:rFonts w:ascii="Arial" w:cs="Arial" w:eastAsia="Arial" w:hAnsi="Arial"/>
          <w:sz w:val="15"/>
          <w:szCs w:val="15"/>
          <w:b w:val="1"/>
          <w:bCs w:val="1"/>
          <w:color w:val="auto"/>
        </w:rPr>
        <w:t xml:space="preserve">ONDITION AND </w:t>
      </w:r>
      <w:r>
        <w:rPr>
          <w:rFonts w:ascii="Arial" w:cs="Arial" w:eastAsia="Arial" w:hAnsi="Arial"/>
          <w:sz w:val="21"/>
          <w:szCs w:val="21"/>
          <w:b w:val="1"/>
          <w:bCs w:val="1"/>
          <w:color w:val="auto"/>
        </w:rPr>
        <w:t>R</w:t>
      </w:r>
      <w:r>
        <w:rPr>
          <w:rFonts w:ascii="Arial" w:cs="Arial" w:eastAsia="Arial" w:hAnsi="Arial"/>
          <w:sz w:val="15"/>
          <w:szCs w:val="15"/>
          <w:b w:val="1"/>
          <w:bCs w:val="1"/>
          <w:color w:val="auto"/>
        </w:rPr>
        <w:t xml:space="preserve">ESULTS OF </w:t>
      </w:r>
      <w:r>
        <w:rPr>
          <w:rFonts w:ascii="Arial" w:cs="Arial" w:eastAsia="Arial" w:hAnsi="Arial"/>
          <w:sz w:val="21"/>
          <w:szCs w:val="21"/>
          <w:b w:val="1"/>
          <w:bCs w:val="1"/>
          <w:color w:val="auto"/>
        </w:rPr>
        <w:t>O</w:t>
      </w:r>
      <w:r>
        <w:rPr>
          <w:rFonts w:ascii="Arial" w:cs="Arial" w:eastAsia="Arial" w:hAnsi="Arial"/>
          <w:sz w:val="15"/>
          <w:szCs w:val="15"/>
          <w:b w:val="1"/>
          <w:bCs w:val="1"/>
          <w:color w:val="auto"/>
        </w:rPr>
        <w:t>PERATIONS</w:t>
      </w:r>
    </w:p>
    <w:p>
      <w:pPr>
        <w:spacing w:after="0" w:line="221" w:lineRule="exact"/>
        <w:rPr>
          <w:sz w:val="20"/>
          <w:szCs w:val="20"/>
          <w:color w:val="auto"/>
        </w:rPr>
      </w:pPr>
    </w:p>
    <w:p>
      <w:pPr>
        <w:jc w:val="both"/>
        <w:spacing w:after="0" w:line="284" w:lineRule="auto"/>
        <w:rPr>
          <w:sz w:val="20"/>
          <w:szCs w:val="20"/>
          <w:color w:val="auto"/>
        </w:rPr>
      </w:pPr>
      <w:r>
        <w:rPr>
          <w:rFonts w:ascii="Arial" w:cs="Arial" w:eastAsia="Arial" w:hAnsi="Arial"/>
          <w:sz w:val="19"/>
          <w:szCs w:val="19"/>
          <w:b w:val="1"/>
          <w:bCs w:val="1"/>
          <w:color w:val="auto"/>
        </w:rPr>
        <w:t>Introduction</w:t>
      </w:r>
      <w:r>
        <w:rPr>
          <w:rFonts w:ascii="Arial" w:cs="Arial" w:eastAsia="Arial" w:hAnsi="Arial"/>
          <w:sz w:val="19"/>
          <w:szCs w:val="19"/>
          <w:color w:val="auto"/>
        </w:rPr>
        <w:t>. The following section presents additional information to assess the financial condition and results of operations of</w:t>
      </w:r>
      <w:r>
        <w:rPr>
          <w:rFonts w:ascii="Arial" w:cs="Arial" w:eastAsia="Arial" w:hAnsi="Arial"/>
          <w:sz w:val="19"/>
          <w:szCs w:val="19"/>
          <w:b w:val="1"/>
          <w:bCs w:val="1"/>
          <w:color w:val="auto"/>
        </w:rPr>
        <w:t xml:space="preserve"> </w:t>
      </w:r>
      <w:r>
        <w:rPr>
          <w:rFonts w:ascii="Arial" w:cs="Arial" w:eastAsia="Arial" w:hAnsi="Arial"/>
          <w:sz w:val="19"/>
          <w:szCs w:val="19"/>
          <w:color w:val="auto"/>
        </w:rPr>
        <w:t>Independent Bank Corporation (“IBCP”), its wholly-owned bank, Independent Bank (the “Bank”), and their subsidiaries. This section should be read in conjunction with the Condensed Consolidated Financial Statements. We also encourage you to read our 2018 Annual Report on Form 10-K filed with the U.S. Securities and Exchange Commission (“SEC”). That report includes a list of risk factors that you should consider in connection with any decision to buy or sell our securities.</w:t>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Overview</w:t>
      </w:r>
      <w:r>
        <w:rPr>
          <w:rFonts w:ascii="Arial" w:cs="Arial" w:eastAsia="Arial" w:hAnsi="Arial"/>
          <w:sz w:val="22"/>
          <w:szCs w:val="22"/>
          <w:color w:val="auto"/>
        </w:rPr>
        <w:t>. We provide banking services to customers located primarily in Michigan’s Lower Peninsula. We also have two loan</w:t>
      </w:r>
      <w:r>
        <w:rPr>
          <w:rFonts w:ascii="Arial" w:cs="Arial" w:eastAsia="Arial" w:hAnsi="Arial"/>
          <w:sz w:val="22"/>
          <w:szCs w:val="22"/>
          <w:b w:val="1"/>
          <w:bCs w:val="1"/>
          <w:color w:val="auto"/>
        </w:rPr>
        <w:t xml:space="preserve"> </w:t>
      </w:r>
      <w:r>
        <w:rPr>
          <w:rFonts w:ascii="Arial" w:cs="Arial" w:eastAsia="Arial" w:hAnsi="Arial"/>
          <w:sz w:val="22"/>
          <w:szCs w:val="22"/>
          <w:color w:val="auto"/>
        </w:rPr>
        <w:t>production offices in Ohio (Columbus and Fairlawn). As a result, our success depends to a great extent upon the economic conditions in Michigan’s Lower Peninsula.</w:t>
      </w:r>
    </w:p>
    <w:p>
      <w:pPr>
        <w:spacing w:after="0" w:line="204" w:lineRule="exact"/>
        <w:rPr>
          <w:sz w:val="20"/>
          <w:szCs w:val="20"/>
          <w:color w:val="auto"/>
        </w:rPr>
      </w:pPr>
    </w:p>
    <w:p>
      <w:pPr>
        <w:jc w:val="both"/>
        <w:ind w:right="100"/>
        <w:spacing w:after="0" w:line="237" w:lineRule="auto"/>
        <w:rPr>
          <w:sz w:val="20"/>
          <w:szCs w:val="20"/>
          <w:color w:val="auto"/>
        </w:rPr>
      </w:pPr>
      <w:r>
        <w:rPr>
          <w:rFonts w:ascii="Arial" w:cs="Arial" w:eastAsia="Arial" w:hAnsi="Arial"/>
          <w:sz w:val="22"/>
          <w:szCs w:val="22"/>
          <w:b w:val="1"/>
          <w:bCs w:val="1"/>
          <w:color w:val="auto"/>
        </w:rPr>
        <w:t>Recent Developments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231F20"/>
        </w:rPr>
        <w:t>On December 4, 2017, we entered into an Agreement and Plan of Merger with TCSB Bancorp, Inc.</w:t>
      </w:r>
      <w:r>
        <w:rPr>
          <w:rFonts w:ascii="Arial" w:cs="Arial" w:eastAsia="Arial" w:hAnsi="Arial"/>
          <w:sz w:val="22"/>
          <w:szCs w:val="22"/>
          <w:b w:val="1"/>
          <w:bCs w:val="1"/>
          <w:color w:val="auto"/>
        </w:rPr>
        <w:t xml:space="preserve"> </w:t>
      </w:r>
      <w:r>
        <w:rPr>
          <w:rFonts w:ascii="Arial" w:cs="Arial" w:eastAsia="Arial" w:hAnsi="Arial"/>
          <w:sz w:val="22"/>
          <w:szCs w:val="22"/>
          <w:color w:val="231F20"/>
        </w:rPr>
        <w:t>(“TCSB”) (the “Merger Agreement”) providing for a business combination of IBCP and TCSB. On April 1, 2018, TCSB was merged with and into IBCP, with IBCP as the surviving corporation (the “Merger”). In connection with the Merger, on April 1, 2018, IBCP consolidated Traverse City State Bank, TCSB’s wholly-owned subsidiary bank, with and into Independent Bank (with Independent Bank as the surviving institution). See note #17.</w:t>
      </w:r>
    </w:p>
    <w:p>
      <w:pPr>
        <w:spacing w:after="0" w:line="21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It is against this backdrop that we discuss our results of operations and financial condition in the third quarter and first nine months of 2019 as compared to 2018.</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ESULTS OF</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PERATIONS</w:t>
      </w:r>
    </w:p>
    <w:p>
      <w:pPr>
        <w:spacing w:after="0" w:line="23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Summary. </w:t>
      </w:r>
      <w:r>
        <w:rPr>
          <w:rFonts w:ascii="Arial" w:cs="Arial" w:eastAsia="Arial" w:hAnsi="Arial"/>
          <w:sz w:val="22"/>
          <w:szCs w:val="22"/>
          <w:color w:val="auto"/>
        </w:rPr>
        <w:t>We recorded net income of $12.4 million and $11.9 million, respectively, during the three months ended September 30,</w:t>
      </w:r>
      <w:r>
        <w:rPr>
          <w:rFonts w:ascii="Arial" w:cs="Arial" w:eastAsia="Arial" w:hAnsi="Arial"/>
          <w:sz w:val="22"/>
          <w:szCs w:val="22"/>
          <w:b w:val="1"/>
          <w:bCs w:val="1"/>
          <w:color w:val="auto"/>
        </w:rPr>
        <w:t xml:space="preserve"> </w:t>
      </w:r>
      <w:r>
        <w:rPr>
          <w:rFonts w:ascii="Arial" w:cs="Arial" w:eastAsia="Arial" w:hAnsi="Arial"/>
          <w:sz w:val="22"/>
          <w:szCs w:val="22"/>
          <w:color w:val="auto"/>
        </w:rPr>
        <w:t>2019 and 2018. The increase in 2019 third quarter results as compared to 2018 reflects increases in net interest income and non-interest income as well as a decrease in the provision for loan losses that were partially offset by increases in non-interest expense and income tax expense.</w:t>
      </w:r>
    </w:p>
    <w:p>
      <w:pPr>
        <w:spacing w:after="0" w:line="21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recorded net income of $32.6 million and $29.9 million, respectively, during the nine months ended September 30, 2019 and 2018. The increase in 2019 year-to-date results as compared to 2018 is due to an increase in net interest income that was partially offset by a decrease in non-interest income and by increases in the provision for loan losses, non-interest expense and income tax expense.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performance ratios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5"/>
          </w:tcPr>
          <w:p>
            <w:pPr>
              <w:ind w:left="30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460" w:type="dxa"/>
            <w:vAlign w:val="bottom"/>
            <w:gridSpan w:val="6"/>
          </w:tcPr>
          <w:p>
            <w:pPr>
              <w:jc w:val="center"/>
              <w:ind w:right="420"/>
              <w:spacing w:after="0"/>
              <w:rPr>
                <w:sz w:val="20"/>
                <w:szCs w:val="20"/>
                <w:color w:val="auto"/>
              </w:rPr>
            </w:pPr>
            <w:r>
              <w:rPr>
                <w:rFonts w:ascii="Arial" w:cs="Arial" w:eastAsia="Arial" w:hAnsi="Arial"/>
                <w:sz w:val="18"/>
                <w:szCs w:val="18"/>
                <w:color w:val="auto"/>
                <w:w w:val="89"/>
              </w:rPr>
              <w:t>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gridSpan w:val="5"/>
          </w:tcPr>
          <w:p>
            <w:pPr>
              <w:ind w:left="540"/>
              <w:spacing w:after="0"/>
              <w:rPr>
                <w:sz w:val="20"/>
                <w:szCs w:val="20"/>
                <w:color w:val="auto"/>
              </w:rPr>
            </w:pPr>
            <w:r>
              <w:rPr>
                <w:rFonts w:ascii="Arial" w:cs="Arial" w:eastAsia="Arial" w:hAnsi="Arial"/>
                <w:sz w:val="18"/>
                <w:szCs w:val="18"/>
                <w:color w:val="auto"/>
              </w:rPr>
              <w:t>September 30,</w:t>
            </w:r>
          </w:p>
        </w:tc>
        <w:tc>
          <w:tcPr>
            <w:tcW w:w="240" w:type="dxa"/>
            <w:vAlign w:val="bottom"/>
          </w:tcPr>
          <w:p>
            <w:pPr>
              <w:spacing w:after="0"/>
              <w:rPr>
                <w:sz w:val="20"/>
                <w:szCs w:val="20"/>
                <w:color w:val="auto"/>
              </w:rPr>
            </w:pPr>
          </w:p>
        </w:tc>
        <w:tc>
          <w:tcPr>
            <w:tcW w:w="1540" w:type="dxa"/>
            <w:vAlign w:val="bottom"/>
            <w:gridSpan w:val="4"/>
          </w:tcPr>
          <w:p>
            <w:pPr>
              <w:jc w:val="center"/>
              <w:ind w:left="410"/>
              <w:spacing w:after="0"/>
              <w:rPr>
                <w:sz w:val="20"/>
                <w:szCs w:val="20"/>
                <w:color w:val="auto"/>
              </w:rPr>
            </w:pPr>
            <w:r>
              <w:rPr>
                <w:rFonts w:ascii="Arial" w:cs="Arial" w:eastAsia="Arial" w:hAnsi="Arial"/>
                <w:sz w:val="18"/>
                <w:szCs w:val="18"/>
                <w:color w:val="auto"/>
                <w:w w:val="88"/>
              </w:rPr>
              <w:t>September 30,</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89"/>
              </w:rPr>
              <w:t>2018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Net income (annualized) to</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Average assets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Average common shareholders’ equity</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14.64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12.84</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0.49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Diluted</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0.55</w:t>
            </w:r>
          </w:p>
        </w:tc>
        <w:tc>
          <w:tcPr>
            <w:tcW w:w="240" w:type="dxa"/>
            <w:vAlign w:val="bottom"/>
          </w:tcPr>
          <w:p>
            <w:pPr>
              <w:spacing w:after="0"/>
              <w:rPr>
                <w:sz w:val="20"/>
                <w:szCs w:val="20"/>
                <w:color w:val="auto"/>
              </w:rPr>
            </w:pP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0.49</w:t>
            </w: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78" w:lineRule="auto"/>
        <w:rPr>
          <w:sz w:val="20"/>
          <w:szCs w:val="20"/>
          <w:color w:val="auto"/>
        </w:rPr>
      </w:pPr>
      <w:r>
        <w:rPr>
          <w:rFonts w:ascii="Arial" w:cs="Arial" w:eastAsia="Arial" w:hAnsi="Arial"/>
          <w:sz w:val="19"/>
          <w:szCs w:val="19"/>
          <w:b w:val="1"/>
          <w:bCs w:val="1"/>
          <w:color w:val="auto"/>
        </w:rPr>
        <w:t xml:space="preserve">Net interest income. </w:t>
      </w:r>
      <w:r>
        <w:rPr>
          <w:rFonts w:ascii="Arial" w:cs="Arial" w:eastAsia="Arial" w:hAnsi="Arial"/>
          <w:sz w:val="19"/>
          <w:szCs w:val="19"/>
          <w:color w:val="auto"/>
        </w:rPr>
        <w:t>Net interest income is the most important source of our earnings and thus is critical in evaluating our results</w:t>
      </w:r>
      <w:r>
        <w:rPr>
          <w:rFonts w:ascii="Arial" w:cs="Arial" w:eastAsia="Arial" w:hAnsi="Arial"/>
          <w:sz w:val="19"/>
          <w:szCs w:val="19"/>
          <w:b w:val="1"/>
          <w:bCs w:val="1"/>
          <w:color w:val="auto"/>
        </w:rPr>
        <w:t xml:space="preserve"> </w:t>
      </w:r>
      <w:r>
        <w:rPr>
          <w:rFonts w:ascii="Arial" w:cs="Arial" w:eastAsia="Arial" w:hAnsi="Arial"/>
          <w:sz w:val="19"/>
          <w:szCs w:val="19"/>
          <w:color w:val="auto"/>
        </w:rPr>
        <w:t>of operations. Changes in our net 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or interest-rate risk, in particular, can adversely impact our net interest income.</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net interest income totaled $30.9 million during the third quarter of 2019, an increase of $1.2 million, or 4.0% from the year-ago period. This increase primarily reflects a $246.9 million increase in average interest-earning assets that was partially offset by a 15 basis point decrease in our tax equivalent net interest income as a percent of average interest-earning assets (the “net interest margin”).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first nine months of 2019, net interest income totaled $91.9 million, an increase of $9.3 million, or 11.2% from 2018. This increase primarily reflects a $336.8 million increase in average interest-earning assets that was partially offset by a three basis point decrease in our net interest margin.</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Interest and fees on loans include $0.4 million and $1.1 million for the third quarter and first nine months of 2019, respectively, and include $0.6 million and $1.2 million for the third quarter and first nine months of 2018, respectively, of accretion of the discount recorded on loans acquired in the Merger.</w:t>
      </w:r>
    </w:p>
    <w:p>
      <w:pPr>
        <w:spacing w:after="0" w:line="213"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The increase in average interest-earning assets primarily reflects loan growth utilizing funds from increases in deposits and borrowed funds as well as the impact of the Merger (for the year-to-date comparative periods). The decrease in the net interest margin reflects the impact of lower market interest rates and a flattening of the yield curve during 2019.</w:t>
      </w:r>
    </w:p>
    <w:p>
      <w:pPr>
        <w:spacing w:after="0" w:line="19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Our net interest income is also adversely impacted by our level of non-accrual loans. In the third quarter and first nine months of 2019 non-accrual loans averaged $6.9 million and $8.1 million, respectively, compared to $9.2 million and $8.1 million, respectively for the same periods in 2018. In addition, in the third quarter and first nine months of 2019 we had net (charge-offs)/recoveries of $0.23 million and $0.66 million, respectively, of unpaid interest on loans placed on or taken off non-accrual during each period or on loans previously charged-off compared to net (charge-offs)/recoveries of $(0.01) million and $0.35 million, respectively, during the same periods in 2018.</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Average Balances and Tax Equivalent Rates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5"/>
          </w:tcPr>
          <w:p>
            <w:pPr>
              <w:ind w:left="50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vMerge w:val="restart"/>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2760" w:type="dxa"/>
            <w:vAlign w:val="bottom"/>
            <w:gridSpan w:val="5"/>
          </w:tcPr>
          <w:p>
            <w:pPr>
              <w:ind w:left="740"/>
              <w:spacing w:after="0"/>
              <w:rPr>
                <w:sz w:val="20"/>
                <w:szCs w:val="20"/>
                <w:color w:val="auto"/>
              </w:rPr>
            </w:pPr>
            <w:r>
              <w:rPr>
                <w:rFonts w:ascii="Arial" w:cs="Arial" w:eastAsia="Arial" w:hAnsi="Arial"/>
                <w:sz w:val="18"/>
                <w:szCs w:val="18"/>
                <w:color w:val="auto"/>
              </w:rPr>
              <w:t>September 30,</w:t>
            </w:r>
          </w:p>
        </w:tc>
        <w:tc>
          <w:tcPr>
            <w:tcW w:w="180" w:type="dxa"/>
            <w:vAlign w:val="bottom"/>
          </w:tcPr>
          <w:p>
            <w:pPr>
              <w:spacing w:after="0"/>
              <w:rPr>
                <w:sz w:val="20"/>
                <w:szCs w:val="20"/>
                <w:color w:val="auto"/>
              </w:rPr>
            </w:pPr>
          </w:p>
        </w:tc>
        <w:tc>
          <w:tcPr>
            <w:tcW w:w="940" w:type="dxa"/>
            <w:vAlign w:val="bottom"/>
            <w:vMerge w:val="restart"/>
          </w:tcPr>
          <w:p>
            <w:pPr>
              <w:jc w:val="right"/>
              <w:ind w:right="2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Average</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vMerge w:val="restart"/>
          </w:tcPr>
          <w:p>
            <w:pPr>
              <w:ind w:left="30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30"/>
                <w:szCs w:val="30"/>
                <w:color w:val="auto"/>
                <w:vertAlign w:val="superscript"/>
              </w:rPr>
              <w:t>(2)</w:t>
            </w:r>
          </w:p>
        </w:tc>
        <w:tc>
          <w:tcPr>
            <w:tcW w:w="180" w:type="dxa"/>
            <w:vAlign w:val="bottom"/>
          </w:tcPr>
          <w:p>
            <w:pPr>
              <w:spacing w:after="0"/>
              <w:rPr>
                <w:sz w:val="17"/>
                <w:szCs w:val="17"/>
                <w:color w:val="auto"/>
              </w:rPr>
            </w:pPr>
          </w:p>
        </w:tc>
        <w:tc>
          <w:tcPr>
            <w:tcW w:w="118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vMerge w:val="restart"/>
          </w:tcPr>
          <w:p>
            <w:pPr>
              <w:ind w:left="30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20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Interest</w:t>
            </w:r>
          </w:p>
        </w:tc>
        <w:tc>
          <w:tcPr>
            <w:tcW w:w="14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18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Interest</w:t>
            </w:r>
          </w:p>
        </w:tc>
        <w:tc>
          <w:tcPr>
            <w:tcW w:w="13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4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(Dollars</w:t>
            </w:r>
          </w:p>
        </w:tc>
        <w:tc>
          <w:tcPr>
            <w:tcW w:w="260" w:type="dxa"/>
            <w:vAlign w:val="bottom"/>
          </w:tcPr>
          <w:p>
            <w:pPr>
              <w:spacing w:after="0"/>
              <w:rPr>
                <w:sz w:val="20"/>
                <w:szCs w:val="20"/>
                <w:color w:val="auto"/>
              </w:rPr>
            </w:pPr>
            <w:r>
              <w:rPr>
                <w:rFonts w:ascii="Arial" w:cs="Arial" w:eastAsia="Arial" w:hAnsi="Arial"/>
                <w:sz w:val="18"/>
                <w:szCs w:val="18"/>
                <w:color w:val="auto"/>
              </w:rPr>
              <w:t>in</w:t>
            </w: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Taxable loans</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2,779,132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34,151</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4.89%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2,543,712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30,936</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0"/>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line="216" w:lineRule="exact"/>
              <w:rPr>
                <w:sz w:val="20"/>
                <w:szCs w:val="20"/>
                <w:color w:val="auto"/>
              </w:rPr>
            </w:pPr>
            <w:r>
              <w:rPr>
                <w:rFonts w:ascii="Arial" w:cs="Arial" w:eastAsia="Arial" w:hAnsi="Arial"/>
                <w:sz w:val="16"/>
                <w:szCs w:val="16"/>
                <w:color w:val="auto"/>
              </w:rPr>
              <w:t xml:space="preserve">Tax-exempt loans </w:t>
            </w:r>
            <w:r>
              <w:rPr>
                <w:rFonts w:ascii="Arial" w:cs="Arial" w:eastAsia="Arial" w:hAnsi="Arial"/>
                <w:sz w:val="25"/>
                <w:szCs w:val="25"/>
                <w:color w:val="auto"/>
                <w:vertAlign w:val="superscript"/>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7,412</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5.03</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6,590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81</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Taxable securities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371,157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2,771</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2.99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379,985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2,737</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line="216" w:lineRule="exact"/>
              <w:rPr>
                <w:sz w:val="20"/>
                <w:szCs w:val="20"/>
                <w:color w:val="auto"/>
              </w:rPr>
            </w:pPr>
            <w:r>
              <w:rPr>
                <w:rFonts w:ascii="Arial" w:cs="Arial" w:eastAsia="Arial" w:hAnsi="Arial"/>
                <w:sz w:val="16"/>
                <w:szCs w:val="16"/>
                <w:color w:val="auto"/>
              </w:rPr>
              <w:t xml:space="preserve">Tax-exempt securities </w:t>
            </w:r>
            <w:r>
              <w:rPr>
                <w:rFonts w:ascii="Arial" w:cs="Arial" w:eastAsia="Arial" w:hAnsi="Arial"/>
                <w:sz w:val="25"/>
                <w:szCs w:val="25"/>
                <w:color w:val="auto"/>
                <w:vertAlign w:val="superscript"/>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52,098</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400</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3.07</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62,964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518</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Interest bearing cash</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56,923</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27,477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Other investments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18,359</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266</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5.75</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17,493</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237</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Interest Earning Assets</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3,285,081</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37,911</w:t>
            </w:r>
          </w:p>
        </w:tc>
        <w:tc>
          <w:tcPr>
            <w:tcW w:w="2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4.60</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3,038,221</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34,575</w:t>
            </w: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34,598</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35,874</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163,617</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173,508</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jc w:val="right"/>
              <w:spacing w:after="0"/>
              <w:rPr>
                <w:sz w:val="20"/>
                <w:szCs w:val="20"/>
                <w:color w:val="auto"/>
              </w:rPr>
            </w:pPr>
            <w:r>
              <w:rPr>
                <w:rFonts w:ascii="Arial" w:cs="Arial" w:eastAsia="Arial" w:hAnsi="Arial"/>
                <w:sz w:val="18"/>
                <w:szCs w:val="18"/>
                <w:color w:val="auto"/>
              </w:rPr>
              <w:t>Total Assets</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3,483,296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3,247,603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Savings and interest- bearing checking</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1,487,820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2,818</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0.75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1,241,868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1,223</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Time deposits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658,426</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3,418</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2.06</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664,098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2,753</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72,887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703</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3.83</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80,939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779</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jc w:val="right"/>
              <w:spacing w:after="0"/>
              <w:rPr>
                <w:sz w:val="20"/>
                <w:szCs w:val="20"/>
                <w:color w:val="auto"/>
              </w:rPr>
            </w:pPr>
            <w:r>
              <w:rPr>
                <w:rFonts w:ascii="Arial" w:cs="Arial" w:eastAsia="Arial" w:hAnsi="Arial"/>
                <w:sz w:val="18"/>
                <w:szCs w:val="18"/>
                <w:color w:val="auto"/>
              </w:rPr>
              <w:t>Interest Bearing Liabilities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2,219,133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6,939</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1,986,905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4,755</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deposits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877,088</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884,003</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49,913</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34,697</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337,162</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341,998</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jc w:val="right"/>
              <w:spacing w:after="0"/>
              <w:rPr>
                <w:sz w:val="20"/>
                <w:szCs w:val="20"/>
                <w:color w:val="auto"/>
              </w:rPr>
            </w:pPr>
            <w:r>
              <w:rPr>
                <w:rFonts w:ascii="Arial" w:cs="Arial" w:eastAsia="Arial" w:hAnsi="Arial"/>
                <w:sz w:val="18"/>
                <w:szCs w:val="18"/>
                <w:color w:val="auto"/>
                <w:w w:val="99"/>
              </w:rPr>
              <w:t>Total liabilities and shareholders’ equity</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3,483,296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3,247,603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jc w:val="right"/>
              <w:spacing w:after="0"/>
              <w:rPr>
                <w:sz w:val="20"/>
                <w:szCs w:val="20"/>
                <w:color w:val="auto"/>
              </w:rPr>
            </w:pPr>
            <w:r>
              <w:rPr>
                <w:rFonts w:ascii="Arial" w:cs="Arial" w:eastAsia="Arial" w:hAnsi="Arial"/>
                <w:sz w:val="18"/>
                <w:szCs w:val="18"/>
                <w:color w:val="auto"/>
              </w:rPr>
              <w:t>Net Interest Income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30,972</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29,820</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w w:val="90"/>
              </w:rPr>
              <w:t>Net Interest Income as a Percent of Average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jc w:val="right"/>
              <w:spacing w:after="0"/>
              <w:rPr>
                <w:sz w:val="20"/>
                <w:szCs w:val="20"/>
                <w:color w:val="auto"/>
              </w:rPr>
            </w:pPr>
            <w:r>
              <w:rPr>
                <w:rFonts w:ascii="Arial" w:cs="Arial" w:eastAsia="Arial" w:hAnsi="Arial"/>
                <w:sz w:val="18"/>
                <w:szCs w:val="18"/>
                <w:color w:val="auto"/>
              </w:rPr>
              <w:t>Interest Earning Assets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3.76%</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w w:val="90"/>
              </w:rPr>
              <w:t>3.91%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898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36"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Interest on tax-exempt loans and securities is presented on a fully tax equivalent basis assuming a marginal tax rate of 21%.</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Average Balances and Tax Equivalent Rates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5"/>
          </w:tcPr>
          <w:p>
            <w:pPr>
              <w:ind w:left="540"/>
              <w:spacing w:after="0"/>
              <w:rPr>
                <w:sz w:val="20"/>
                <w:szCs w:val="20"/>
                <w:color w:val="auto"/>
              </w:rPr>
            </w:pPr>
            <w:r>
              <w:rPr>
                <w:rFonts w:ascii="Arial" w:cs="Arial" w:eastAsia="Arial" w:hAnsi="Arial"/>
                <w:sz w:val="18"/>
                <w:szCs w:val="18"/>
                <w:color w:val="auto"/>
              </w:rPr>
              <w:t>Nine Months Ended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vMerge w:val="restart"/>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2760" w:type="dxa"/>
            <w:vAlign w:val="bottom"/>
            <w:gridSpan w:val="5"/>
          </w:tcPr>
          <w:p>
            <w:pPr>
              <w:ind w:left="740"/>
              <w:spacing w:after="0"/>
              <w:rPr>
                <w:sz w:val="20"/>
                <w:szCs w:val="20"/>
                <w:color w:val="auto"/>
              </w:rPr>
            </w:pPr>
            <w:r>
              <w:rPr>
                <w:rFonts w:ascii="Arial" w:cs="Arial" w:eastAsia="Arial" w:hAnsi="Arial"/>
                <w:sz w:val="18"/>
                <w:szCs w:val="18"/>
                <w:color w:val="auto"/>
              </w:rPr>
              <w:t>September 30,</w:t>
            </w:r>
          </w:p>
        </w:tc>
        <w:tc>
          <w:tcPr>
            <w:tcW w:w="180" w:type="dxa"/>
            <w:vAlign w:val="bottom"/>
          </w:tcPr>
          <w:p>
            <w:pPr>
              <w:spacing w:after="0"/>
              <w:rPr>
                <w:sz w:val="20"/>
                <w:szCs w:val="20"/>
                <w:color w:val="auto"/>
              </w:rPr>
            </w:pPr>
          </w:p>
        </w:tc>
        <w:tc>
          <w:tcPr>
            <w:tcW w:w="940" w:type="dxa"/>
            <w:vAlign w:val="bottom"/>
            <w:vMerge w:val="restart"/>
          </w:tcPr>
          <w:p>
            <w:pPr>
              <w:jc w:val="right"/>
              <w:ind w:right="2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Average</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vMerge w:val="restart"/>
          </w:tcPr>
          <w:p>
            <w:pPr>
              <w:ind w:left="30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30"/>
                <w:szCs w:val="30"/>
                <w:color w:val="auto"/>
                <w:vertAlign w:val="superscript"/>
              </w:rPr>
              <w:t>(2)</w:t>
            </w:r>
          </w:p>
        </w:tc>
        <w:tc>
          <w:tcPr>
            <w:tcW w:w="180" w:type="dxa"/>
            <w:vAlign w:val="bottom"/>
          </w:tcPr>
          <w:p>
            <w:pPr>
              <w:spacing w:after="0"/>
              <w:rPr>
                <w:sz w:val="17"/>
                <w:szCs w:val="17"/>
                <w:color w:val="auto"/>
              </w:rPr>
            </w:pPr>
          </w:p>
        </w:tc>
        <w:tc>
          <w:tcPr>
            <w:tcW w:w="118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vMerge w:val="restart"/>
          </w:tcPr>
          <w:p>
            <w:pPr>
              <w:ind w:left="30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20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Interest</w:t>
            </w:r>
          </w:p>
        </w:tc>
        <w:tc>
          <w:tcPr>
            <w:tcW w:w="14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18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Interest</w:t>
            </w:r>
          </w:p>
        </w:tc>
        <w:tc>
          <w:tcPr>
            <w:tcW w:w="13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(Dollars</w:t>
            </w:r>
          </w:p>
        </w:tc>
        <w:tc>
          <w:tcPr>
            <w:tcW w:w="260" w:type="dxa"/>
            <w:vAlign w:val="bottom"/>
          </w:tcPr>
          <w:p>
            <w:pPr>
              <w:spacing w:after="0"/>
              <w:rPr>
                <w:sz w:val="20"/>
                <w:szCs w:val="20"/>
                <w:color w:val="auto"/>
              </w:rPr>
            </w:pPr>
            <w:r>
              <w:rPr>
                <w:rFonts w:ascii="Arial" w:cs="Arial" w:eastAsia="Arial" w:hAnsi="Arial"/>
                <w:sz w:val="18"/>
                <w:szCs w:val="18"/>
                <w:color w:val="auto"/>
              </w:rPr>
              <w:t>in</w:t>
            </w: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Taxable loans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2,695,435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100,513</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4.98%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2,350,883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83,881</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0"/>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line="216" w:lineRule="exact"/>
              <w:rPr>
                <w:sz w:val="20"/>
                <w:szCs w:val="20"/>
                <w:color w:val="auto"/>
              </w:rPr>
            </w:pPr>
            <w:r>
              <w:rPr>
                <w:rFonts w:ascii="Arial" w:cs="Arial" w:eastAsia="Arial" w:hAnsi="Arial"/>
                <w:sz w:val="16"/>
                <w:szCs w:val="16"/>
                <w:color w:val="auto"/>
              </w:rPr>
              <w:t xml:space="preserve">Tax-exempt loans </w:t>
            </w:r>
            <w:r>
              <w:rPr>
                <w:rFonts w:ascii="Arial" w:cs="Arial" w:eastAsia="Arial" w:hAnsi="Arial"/>
                <w:sz w:val="25"/>
                <w:szCs w:val="25"/>
                <w:color w:val="auto"/>
                <w:vertAlign w:val="superscript"/>
              </w:rPr>
              <w:t>(1)</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7,856</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291</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4.95</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5,221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185</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Taxable securities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384,291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8,811</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3.06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400,957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8,092</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line="216" w:lineRule="exact"/>
              <w:rPr>
                <w:sz w:val="20"/>
                <w:szCs w:val="20"/>
                <w:color w:val="auto"/>
              </w:rPr>
            </w:pPr>
            <w:r>
              <w:rPr>
                <w:rFonts w:ascii="Arial" w:cs="Arial" w:eastAsia="Arial" w:hAnsi="Arial"/>
                <w:sz w:val="16"/>
                <w:szCs w:val="16"/>
                <w:color w:val="auto"/>
              </w:rPr>
              <w:t xml:space="preserve">Tax-exempt securities </w:t>
            </w:r>
            <w:r>
              <w:rPr>
                <w:rFonts w:ascii="Arial" w:cs="Arial" w:eastAsia="Arial" w:hAnsi="Arial"/>
                <w:sz w:val="25"/>
                <w:szCs w:val="25"/>
                <w:color w:val="auto"/>
                <w:vertAlign w:val="superscript"/>
              </w:rPr>
              <w:t>(1)</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52,794</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1,275</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70,155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1,680</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bearing cash</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51,260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655</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1.71</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29,502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Other investments</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18,359</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794</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5.78</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16,457</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684</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Borders>
              <w:bottom w:val="single" w:sz="8" w:color="CCEEFF"/>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Interest Earning Assets</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3,209,995</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112,339</w:t>
            </w:r>
          </w:p>
        </w:tc>
        <w:tc>
          <w:tcPr>
            <w:tcW w:w="2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4.67</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2,873,175</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94,736</w:t>
            </w: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34,032</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33,204</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166,037</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159,844</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jc w:val="right"/>
              <w:ind w:right="31"/>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3,410,064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3,066,223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2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Savings and interest- bearing checking</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1,421,114</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7,787</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0.73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1,193,388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2,785</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Time deposits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670,479</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10,151</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611,103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6,687</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72,233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2,211</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4.09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82,253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2,267</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jc w:val="right"/>
              <w:ind w:right="31"/>
              <w:spacing w:after="0"/>
              <w:rPr>
                <w:sz w:val="20"/>
                <w:szCs w:val="20"/>
                <w:color w:val="auto"/>
              </w:rPr>
            </w:pPr>
            <w:r>
              <w:rPr>
                <w:rFonts w:ascii="Arial" w:cs="Arial" w:eastAsia="Arial" w:hAnsi="Arial"/>
                <w:sz w:val="18"/>
                <w:szCs w:val="18"/>
                <w:color w:val="auto"/>
              </w:rPr>
              <w:t>Interest Bearing Liabilities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2,163,826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20,149</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1,886,744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11,739</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Non-interest bearing deposits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862,929</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833,283</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44,323</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32,177</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338,986</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314,019</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jc w:val="right"/>
              <w:ind w:right="31"/>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3,410,064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3,066,223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jc w:val="right"/>
              <w:ind w:right="31"/>
              <w:spacing w:after="0"/>
              <w:rPr>
                <w:sz w:val="20"/>
                <w:szCs w:val="20"/>
                <w:color w:val="auto"/>
              </w:rPr>
            </w:pPr>
            <w:r>
              <w:rPr>
                <w:rFonts w:ascii="Arial" w:cs="Arial" w:eastAsia="Arial" w:hAnsi="Arial"/>
                <w:sz w:val="18"/>
                <w:szCs w:val="18"/>
                <w:color w:val="auto"/>
              </w:rPr>
              <w:t>Net Interest Income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92,190</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82,997</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tcPr>
          <w:p>
            <w:pPr>
              <w:jc w:val="right"/>
              <w:ind w:right="31"/>
              <w:spacing w:after="0" w:line="201" w:lineRule="exact"/>
              <w:rPr>
                <w:sz w:val="20"/>
                <w:szCs w:val="20"/>
                <w:color w:val="auto"/>
              </w:rPr>
            </w:pPr>
            <w:r>
              <w:rPr>
                <w:rFonts w:ascii="Arial" w:cs="Arial" w:eastAsia="Arial" w:hAnsi="Arial"/>
                <w:sz w:val="18"/>
                <w:szCs w:val="18"/>
                <w:color w:val="auto"/>
                <w:w w:val="88"/>
              </w:rPr>
              <w:t>Net Interest Income as a Percent of Average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jc w:val="right"/>
              <w:ind w:right="31"/>
              <w:spacing w:after="0"/>
              <w:rPr>
                <w:sz w:val="20"/>
                <w:szCs w:val="20"/>
                <w:color w:val="auto"/>
              </w:rPr>
            </w:pPr>
            <w:r>
              <w:rPr>
                <w:rFonts w:ascii="Arial" w:cs="Arial" w:eastAsia="Arial" w:hAnsi="Arial"/>
                <w:sz w:val="18"/>
                <w:szCs w:val="18"/>
                <w:color w:val="auto"/>
              </w:rPr>
              <w:t>Interest Earning Assets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3.83%</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w w:val="90"/>
              </w:rPr>
              <w:t>3.86%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898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36"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Interest on tax-exempt loans and securities is presented on a fully tax equivalent basis assuming a marginal tax rate of 21%.</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Reconciliation of Non-GAAP Financial Measures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5"/>
          </w:tcPr>
          <w:p>
            <w:pPr>
              <w:jc w:val="right"/>
              <w:ind w:right="69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2018</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9"/>
              </w:rPr>
              <w:t>2018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Interest Margin, Fully Taxable Equivalent (“FTE”)</w:t>
            </w: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(Dollars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71"/>
              </w:rPr>
              <w:t>in</w:t>
            </w:r>
          </w:p>
        </w:tc>
        <w:tc>
          <w:tcPr>
            <w:tcW w:w="114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8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30,872</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29,697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91,871</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82,613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Add: taxable equivalent adjustment</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90"/>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319</w:t>
            </w:r>
          </w:p>
        </w:tc>
        <w:tc>
          <w:tcPr>
            <w:tcW w:w="3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interest income - taxable equivalent</w:t>
            </w:r>
          </w:p>
        </w:tc>
        <w:tc>
          <w:tcPr>
            <w:tcW w:w="8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30,972</w:t>
            </w:r>
          </w:p>
        </w:tc>
        <w:tc>
          <w:tcPr>
            <w:tcW w:w="2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29,820</w:t>
            </w:r>
          </w:p>
        </w:tc>
        <w:tc>
          <w:tcPr>
            <w:tcW w:w="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92,190</w:t>
            </w: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82,997</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Pr>
          <w:p>
            <w:pPr>
              <w:spacing w:after="0" w:line="210" w:lineRule="exact"/>
              <w:rPr>
                <w:sz w:val="20"/>
                <w:szCs w:val="20"/>
                <w:color w:val="auto"/>
              </w:rPr>
            </w:pPr>
            <w:r>
              <w:rPr>
                <w:rFonts w:ascii="Arial" w:cs="Arial" w:eastAsia="Arial" w:hAnsi="Arial"/>
                <w:sz w:val="15"/>
                <w:szCs w:val="15"/>
                <w:color w:val="auto"/>
              </w:rPr>
              <w:t xml:space="preserve">Net interest margin (GAAP) </w:t>
            </w:r>
            <w:r>
              <w:rPr>
                <w:rFonts w:ascii="Arial" w:cs="Arial" w:eastAsia="Arial" w:hAnsi="Arial"/>
                <w:sz w:val="24"/>
                <w:szCs w:val="24"/>
                <w:color w:val="auto"/>
                <w:vertAlign w:val="superscript"/>
              </w:rPr>
              <w:t>(1)</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3.74%</w:t>
            </w:r>
          </w:p>
        </w:tc>
        <w:tc>
          <w:tcPr>
            <w:tcW w:w="38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3.88%</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3.82%</w:t>
            </w:r>
          </w:p>
        </w:tc>
        <w:tc>
          <w:tcPr>
            <w:tcW w:w="3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06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 xml:space="preserve">Net interest margin (FTE) </w:t>
            </w:r>
            <w:r>
              <w:rPr>
                <w:rFonts w:ascii="Arial" w:cs="Arial" w:eastAsia="Arial" w:hAnsi="Arial"/>
                <w:sz w:val="24"/>
                <w:szCs w:val="24"/>
                <w:color w:val="auto"/>
                <w:vertAlign w:val="superscript"/>
              </w:rPr>
              <w:t>(1)</w:t>
            </w: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w:t>
            </w:r>
          </w:p>
        </w:tc>
        <w:tc>
          <w:tcPr>
            <w:tcW w:w="3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3.91%</w:t>
            </w:r>
          </w:p>
        </w:tc>
        <w:tc>
          <w:tcPr>
            <w:tcW w:w="24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w:t>
            </w:r>
          </w:p>
        </w:tc>
        <w:tc>
          <w:tcPr>
            <w:tcW w:w="3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(1) Annualized.</w:t>
      </w:r>
    </w:p>
    <w:p>
      <w:pPr>
        <w:spacing w:after="0" w:line="227"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 xml:space="preserve">Provision for loan losses. </w:t>
      </w:r>
      <w:r>
        <w:rPr>
          <w:rFonts w:ascii="Arial" w:cs="Arial" w:eastAsia="Arial" w:hAnsi="Arial"/>
          <w:sz w:val="19"/>
          <w:szCs w:val="19"/>
          <w:color w:val="auto"/>
        </w:rPr>
        <w:t>The provision for loan losses was a credit of $0.3 million and $0.1 million during the three months</w:t>
      </w:r>
      <w:r>
        <w:rPr>
          <w:rFonts w:ascii="Arial" w:cs="Arial" w:eastAsia="Arial" w:hAnsi="Arial"/>
          <w:sz w:val="19"/>
          <w:szCs w:val="19"/>
          <w:b w:val="1"/>
          <w:bCs w:val="1"/>
          <w:color w:val="auto"/>
        </w:rPr>
        <w:t xml:space="preserve"> </w:t>
      </w:r>
      <w:r>
        <w:rPr>
          <w:rFonts w:ascii="Arial" w:cs="Arial" w:eastAsia="Arial" w:hAnsi="Arial"/>
          <w:sz w:val="19"/>
          <w:szCs w:val="19"/>
          <w:color w:val="auto"/>
        </w:rPr>
        <w:t>ended September 30, 2019 and 2018, respectively. During the nine-month periods ended September 30, 2019 and 2018, the provision was an expense of $1.0 million and $0.9 million, respectively. The provision reflects our assessment of the allowance for loan losses taking into consideration factors such as loan growth, loan mix, levels of non-performing and classified loans and loan net charge-offs. While we use relevant information to recognize losses on loans, additional provisions for related losses may be necessary based on changes in economic conditions, customer circumstances and other credit risk factors. See “Portfolio Loans and asset quality” for a discussion of the various components of the allowance for loan losses and their impact on the provision for loan losses in the third quarter and first nine months of 2019.</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21"/>
          <w:szCs w:val="21"/>
          <w:b w:val="1"/>
          <w:bCs w:val="1"/>
          <w:color w:val="auto"/>
        </w:rPr>
        <w:t xml:space="preserve">Non-interest income. </w:t>
      </w:r>
      <w:r>
        <w:rPr>
          <w:rFonts w:ascii="Arial" w:cs="Arial" w:eastAsia="Arial" w:hAnsi="Arial"/>
          <w:sz w:val="21"/>
          <w:szCs w:val="21"/>
          <w:color w:val="auto"/>
        </w:rPr>
        <w:t>Non-interest income is a significant element in assessing our results of operations. Non-interest income</w:t>
      </w:r>
      <w:r>
        <w:rPr>
          <w:rFonts w:ascii="Arial" w:cs="Arial" w:eastAsia="Arial" w:hAnsi="Arial"/>
          <w:sz w:val="21"/>
          <w:szCs w:val="21"/>
          <w:b w:val="1"/>
          <w:bCs w:val="1"/>
          <w:color w:val="auto"/>
        </w:rPr>
        <w:t xml:space="preserve"> </w:t>
      </w:r>
      <w:r>
        <w:rPr>
          <w:rFonts w:ascii="Arial" w:cs="Arial" w:eastAsia="Arial" w:hAnsi="Arial"/>
          <w:sz w:val="21"/>
          <w:szCs w:val="21"/>
          <w:color w:val="auto"/>
        </w:rPr>
        <w:t>totaled $12.3 million during the third quarter of 2019 compared to $11.8 million in 2018. For the first nine months of 2019 non-interest income totaled $32.1 million compared to $35.9 million for the first nine months of 2018.</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The components of non-interest income are as follows: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Non-Interest Income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6"/>
          </w:tcPr>
          <w:p>
            <w:pPr>
              <w:ind w:left="280"/>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17"/>
                <w:szCs w:val="17"/>
                <w:color w:val="auto"/>
              </w:rPr>
            </w:pPr>
          </w:p>
        </w:tc>
        <w:tc>
          <w:tcPr>
            <w:tcW w:w="2200" w:type="dxa"/>
            <w:vAlign w:val="bottom"/>
            <w:gridSpan w:val="6"/>
          </w:tcPr>
          <w:p>
            <w:pPr>
              <w:jc w:val="right"/>
              <w:ind w:right="660"/>
              <w:spacing w:after="0"/>
              <w:rPr>
                <w:sz w:val="20"/>
                <w:szCs w:val="20"/>
                <w:color w:val="auto"/>
              </w:rPr>
            </w:pPr>
            <w:r>
              <w:rPr>
                <w:rFonts w:ascii="Arial" w:cs="Arial" w:eastAsia="Arial" w:hAnsi="Arial"/>
                <w:sz w:val="18"/>
                <w:szCs w:val="18"/>
                <w:color w:val="auto"/>
                <w:w w:val="97"/>
              </w:rPr>
              <w:t>Nine months ended</w:t>
            </w:r>
          </w:p>
        </w:tc>
      </w:t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0" w:type="dxa"/>
            <w:vAlign w:val="bottom"/>
            <w:gridSpan w:val="6"/>
          </w:tcPr>
          <w:p>
            <w:pPr>
              <w:jc w:val="right"/>
              <w:ind w:right="840"/>
              <w:spacing w:after="0"/>
              <w:rPr>
                <w:sz w:val="20"/>
                <w:szCs w:val="20"/>
                <w:color w:val="auto"/>
              </w:rPr>
            </w:pPr>
            <w:r>
              <w:rPr>
                <w:rFonts w:ascii="Arial" w:cs="Arial" w:eastAsia="Arial" w:hAnsi="Arial"/>
                <w:sz w:val="18"/>
                <w:szCs w:val="18"/>
                <w:color w:val="auto"/>
              </w:rPr>
              <w:t>September 30,</w:t>
            </w:r>
          </w:p>
        </w:tc>
      </w:tr>
      <w:tr>
        <w:trPr>
          <w:trHeight w:val="237"/>
        </w:trPr>
        <w:tc>
          <w:tcPr>
            <w:tcW w:w="6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2018</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w w:val="70"/>
              </w:rPr>
              <w:t>thousands)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Service charges on deposit accounts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3,166</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8,323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9,166</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Interchange income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2,486</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7,744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7,236</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gains (losses) on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Mortgage loans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2,745</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13,590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8,571</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Mortgage loan servicing, net</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1,212</w:t>
            </w: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(4,684)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4,668</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insurance commissions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513</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1,434</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Bank owned life insurance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237</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713</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4,147</w:t>
            </w:r>
          </w:p>
        </w:tc>
      </w:tr>
      <w:tr>
        <w:trPr>
          <w:trHeight w:val="27"/>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080" w:type="dxa"/>
            <w:vAlign w:val="bottom"/>
          </w:tcPr>
          <w:p>
            <w:pPr>
              <w:ind w:left="340"/>
              <w:spacing w:after="0"/>
              <w:rPr>
                <w:sz w:val="20"/>
                <w:szCs w:val="20"/>
                <w:color w:val="auto"/>
              </w:rPr>
            </w:pPr>
            <w:r>
              <w:rPr>
                <w:rFonts w:ascii="Arial" w:cs="Arial" w:eastAsia="Arial" w:hAnsi="Arial"/>
                <w:sz w:val="18"/>
                <w:szCs w:val="18"/>
                <w:color w:val="auto"/>
              </w:rPr>
              <w:t>Total non-interest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12,275</w:t>
            </w:r>
          </w:p>
        </w:tc>
        <w:tc>
          <w:tcPr>
            <w:tcW w:w="14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11,836</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32,139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35,864</w:t>
            </w:r>
          </w:p>
        </w:tc>
      </w:tr>
      <w:tr>
        <w:trPr>
          <w:trHeight w:val="21"/>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Service charges on deposit accounts decreased on both a comparative quarterly and year-to-date basis in 2019 as compared to 2018. These decreases were principally due to a decrease in non-sufficient funds occurrences.</w:t>
      </w:r>
    </w:p>
    <w:p>
      <w:pPr>
        <w:spacing w:after="0" w:line="20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Interchange income increased on both a comparative quarterly and year-to-date basis in 2019 as compared to 2018 due primarily to an increase in debit card transaction volume as well as the timing of the receipt of a volume incentive from our debit card brand partner. In 2019 this volume incentive ($0.2 million) was received in the third quarter; however, in 2018, the comparable volume incentive was not received until the fourth quarter.</w:t>
      </w:r>
    </w:p>
    <w:p>
      <w:pPr>
        <w:spacing w:after="0" w:line="212"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Net gains on mortgage loans increased from 2018 on both a quarterly and a year to date basis. Mortgage loan activity is summarized as follows: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Mortgage Loan Activity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5"/>
          </w:tcPr>
          <w:p>
            <w:pPr>
              <w:jc w:val="center"/>
              <w:ind w:right="410"/>
              <w:spacing w:after="0"/>
              <w:rPr>
                <w:sz w:val="20"/>
                <w:szCs w:val="20"/>
                <w:color w:val="auto"/>
              </w:rPr>
            </w:pPr>
            <w:r>
              <w:rPr>
                <w:rFonts w:ascii="Arial" w:cs="Arial" w:eastAsia="Arial" w:hAnsi="Arial"/>
                <w:sz w:val="18"/>
                <w:szCs w:val="18"/>
                <w:color w:val="auto"/>
                <w:w w:val="89"/>
              </w:rPr>
              <w:t>Three months ended</w:t>
            </w:r>
          </w:p>
        </w:tc>
        <w:tc>
          <w:tcPr>
            <w:tcW w:w="240" w:type="dxa"/>
            <w:vAlign w:val="bottom"/>
          </w:tcPr>
          <w:p>
            <w:pPr>
              <w:spacing w:after="0"/>
              <w:rPr>
                <w:sz w:val="18"/>
                <w:szCs w:val="18"/>
                <w:color w:val="auto"/>
              </w:rPr>
            </w:pPr>
          </w:p>
        </w:tc>
        <w:tc>
          <w:tcPr>
            <w:tcW w:w="2460" w:type="dxa"/>
            <w:vAlign w:val="bottom"/>
            <w:gridSpan w:val="6"/>
          </w:tcPr>
          <w:p>
            <w:pPr>
              <w:jc w:val="center"/>
              <w:ind w:right="420"/>
              <w:spacing w:after="0"/>
              <w:rPr>
                <w:sz w:val="20"/>
                <w:szCs w:val="20"/>
                <w:color w:val="auto"/>
              </w:rPr>
            </w:pPr>
            <w:r>
              <w:rPr>
                <w:rFonts w:ascii="Arial" w:cs="Arial" w:eastAsia="Arial" w:hAnsi="Arial"/>
                <w:sz w:val="18"/>
                <w:szCs w:val="18"/>
                <w:color w:val="auto"/>
                <w:w w:val="89"/>
              </w:rPr>
              <w:t>Nine months ended</w:t>
            </w:r>
          </w:p>
        </w:tc>
      </w:tr>
      <w:tr>
        <w:trPr>
          <w:trHeight w:val="216"/>
        </w:trPr>
        <w:tc>
          <w:tcPr>
            <w:tcW w:w="5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center"/>
              <w:ind w:left="430"/>
              <w:spacing w:after="0"/>
              <w:rPr>
                <w:sz w:val="20"/>
                <w:szCs w:val="20"/>
                <w:color w:val="auto"/>
              </w:rPr>
            </w:pPr>
            <w:r>
              <w:rPr>
                <w:rFonts w:ascii="Arial" w:cs="Arial" w:eastAsia="Arial" w:hAnsi="Arial"/>
                <w:sz w:val="18"/>
                <w:szCs w:val="18"/>
                <w:color w:val="auto"/>
                <w:w w:val="88"/>
              </w:rPr>
              <w:t>September 30,</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center"/>
              <w:ind w:left="410"/>
              <w:spacing w:after="0"/>
              <w:rPr>
                <w:sz w:val="20"/>
                <w:szCs w:val="20"/>
                <w:color w:val="auto"/>
              </w:rPr>
            </w:pPr>
            <w:r>
              <w:rPr>
                <w:rFonts w:ascii="Arial" w:cs="Arial" w:eastAsia="Arial" w:hAnsi="Arial"/>
                <w:sz w:val="18"/>
                <w:szCs w:val="18"/>
                <w:color w:val="auto"/>
                <w:w w:val="88"/>
              </w:rPr>
              <w:t>September 30,</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5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2018</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9"/>
              </w:rPr>
              <w:t>2018</w:t>
            </w:r>
          </w:p>
        </w:tc>
        <w:tc>
          <w:tcPr>
            <w:tcW w:w="160" w:type="dxa"/>
            <w:vAlign w:val="bottom"/>
          </w:tcPr>
          <w:p>
            <w:pPr>
              <w:spacing w:after="0"/>
              <w:rPr>
                <w:sz w:val="20"/>
                <w:szCs w:val="20"/>
                <w:color w:val="auto"/>
              </w:rPr>
            </w:pPr>
          </w:p>
        </w:tc>
      </w:tr>
      <w:tr>
        <w:trPr>
          <w:trHeight w:val="216"/>
        </w:trPr>
        <w:tc>
          <w:tcPr>
            <w:tcW w:w="5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(Dollars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71"/>
              </w:rPr>
              <w:t>in</w:t>
            </w:r>
          </w:p>
        </w:tc>
        <w:tc>
          <w:tcPr>
            <w:tcW w:w="114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originated</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329,461</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231,849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708,621</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617,080</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Mortgage loans sold</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204,058</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148,730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490,219</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370,372</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gains on mortgage loans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5,677</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13,590</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8,571</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w w:val="99"/>
              </w:rPr>
              <w:t>Net gains as a percent of mortgage loans sold (“Loan Sales Margin”)</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2.78%</w:t>
            </w:r>
          </w:p>
        </w:tc>
        <w:tc>
          <w:tcPr>
            <w:tcW w:w="38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2.77%</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2.31%</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included in the Loan Sales Margin</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0.22</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(0.26)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0.48</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0.10</w:t>
            </w:r>
          </w:p>
        </w:tc>
      </w:tr>
    </w:tbl>
    <w:p>
      <w:pPr>
        <w:spacing w:after="0" w:line="22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increase in mortgage loans originated is due primarily to lower interest rates spurring higher mortgage loan refinance volumes. Mortgage loans sold increased due to a higher mix of salable loans in our origination volumes, the rise in mortgage loan refinance activity and some portfolio mortgage loan sales that were completed during 2019. These factors resulted in net gains on mortgage loans increasing in 2019 as compared to 2018.</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17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Our Loan Sales Margin is impacted by several factors including competition and the manner in which the loan is sold. Net gains on mortgage loans are also impacted by recording fair value accounting adjustments. Excluding the aforementioned fair value accounting adjustments, the Loan Sales Margin would have been 2.56% and 2.11% in the third quarters of 2019 and 2018, respectively and 2.29% and 2.21% for the comparative 2019 and 2018 year-to-date periods, respectively. The increase in the Loan Sales Margin (excluding fair value adjustments) in 2019 was generally due to a widening of primary-to-secondary market pricing spreads due to competitive factors throughout the mortgage banking industry (lower mortgage loan interest rates and an increase in refinance volume). The changes in the fair value accounting adjustments are primarily due to changes in the amount of commitments to originate mortgage loans for sale.</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Net gains (losses) on securities were relatively nominal for the comparative quarterly periods. We recorded a net gain of $0.3 million and a net loss of $0.1 million on securities for the first nine months of 2019 and 2018, respectively. We recorded no net impairment losses in either 2019 or 2018 for other than temporary impairment of securities available for sale. See “Securities” below and note #3 to the Condensed Consolidated Financial Statements.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Mortgage loan servicing, net, generated a loss of $1.6 million and income of $1.2 million in the third quarters of 2019 and 2018, respectively. For the first nine months of 2019, mortgage loan servicing, net, generated a loss of $4.7 million as compared to income of $4.7 million in 2018. The significant variances in mortgage loan servicing, net are primarily due to changes in the fair value of capitalized mortgage loan servicing rights associated with changes in mortgage loan interest rates (a decline in 2019 as compared to an increase in 2018) and expected future prepayment levels. This activity is summarized in the following table: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Three Months Ended</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4"/>
          </w:tcPr>
          <w:p>
            <w:pPr>
              <w:jc w:val="right"/>
              <w:ind w:right="62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7"/>
              </w:rPr>
              <w:t>9/30/2019</w:t>
            </w:r>
          </w:p>
        </w:tc>
        <w:tc>
          <w:tcPr>
            <w:tcW w:w="1360" w:type="dxa"/>
            <w:vAlign w:val="bottom"/>
            <w:tcBorders>
              <w:top w:val="single" w:sz="8" w:color="auto"/>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9/30/2018</w:t>
            </w: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4"/>
              </w:rPr>
              <w:t>9/30/2019</w:t>
            </w: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9/30/2018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Mortgage loan servicing, net:</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60" w:type="dxa"/>
            <w:vAlign w:val="bottom"/>
            <w:gridSpan w:val="3"/>
          </w:tcPr>
          <w:p>
            <w:pPr>
              <w:jc w:val="right"/>
              <w:ind w:right="810"/>
              <w:spacing w:after="0"/>
              <w:rPr>
                <w:sz w:val="20"/>
                <w:szCs w:val="20"/>
                <w:color w:val="auto"/>
              </w:rPr>
            </w:pPr>
            <w:r>
              <w:rPr>
                <w:rFonts w:ascii="Arial" w:cs="Arial" w:eastAsia="Arial" w:hAnsi="Arial"/>
                <w:sz w:val="18"/>
                <w:szCs w:val="18"/>
                <w:color w:val="auto"/>
                <w:w w:val="90"/>
              </w:rPr>
              <w:t>(In thousands)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 net</w:t>
            </w:r>
          </w:p>
        </w:tc>
        <w:tc>
          <w:tcPr>
            <w:tcW w:w="2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1,583</w:t>
            </w:r>
          </w:p>
        </w:tc>
        <w:tc>
          <w:tcPr>
            <w:tcW w:w="7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4,574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Fair value change due to price</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(2,163)</w:t>
            </w:r>
          </w:p>
        </w:tc>
        <w:tc>
          <w:tcPr>
            <w:tcW w:w="7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610</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(7,036)</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change due to pay-downs</w:t>
            </w: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Total</w:t>
            </w:r>
          </w:p>
        </w:tc>
        <w:tc>
          <w:tcPr>
            <w:tcW w:w="2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(1,562)</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1,212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(4,684)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4,668</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880" w:type="dxa"/>
            <w:vAlign w:val="bottom"/>
          </w:tcPr>
          <w:p>
            <w:pPr>
              <w:jc w:val="right"/>
              <w:ind w:right="216"/>
              <w:spacing w:after="0"/>
              <w:rPr>
                <w:sz w:val="20"/>
                <w:szCs w:val="20"/>
                <w:color w:val="auto"/>
              </w:rPr>
            </w:pPr>
            <w:r>
              <w:rPr>
                <w:rFonts w:ascii="Arial" w:cs="Arial" w:eastAsia="Arial" w:hAnsi="Arial"/>
                <w:sz w:val="14"/>
                <w:szCs w:val="14"/>
                <w:color w:val="auto"/>
              </w:rPr>
              <w:t>75</w:t>
            </w:r>
          </w:p>
        </w:tc>
        <w:tc>
          <w:tcPr>
            <w:tcW w:w="1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18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Activity related to capitalized mortgage loan servicing rights is as follows: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Capitalized Mortgage Loan Servicing Rights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6"/>
          </w:tcPr>
          <w:p>
            <w:pPr>
              <w:jc w:val="right"/>
              <w:ind w:right="660"/>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17"/>
                <w:szCs w:val="17"/>
                <w:color w:val="auto"/>
              </w:rPr>
            </w:pPr>
          </w:p>
        </w:tc>
        <w:tc>
          <w:tcPr>
            <w:tcW w:w="2200" w:type="dxa"/>
            <w:vAlign w:val="bottom"/>
            <w:gridSpan w:val="6"/>
          </w:tcPr>
          <w:p>
            <w:pPr>
              <w:jc w:val="center"/>
              <w:ind w:right="520"/>
              <w:spacing w:after="0"/>
              <w:rPr>
                <w:sz w:val="20"/>
                <w:szCs w:val="20"/>
                <w:color w:val="auto"/>
              </w:rPr>
            </w:pPr>
            <w:r>
              <w:rPr>
                <w:rFonts w:ascii="Arial" w:cs="Arial" w:eastAsia="Arial" w:hAnsi="Arial"/>
                <w:sz w:val="18"/>
                <w:szCs w:val="18"/>
                <w:color w:val="auto"/>
                <w:w w:val="89"/>
              </w:rPr>
              <w:t>Nine months ended</w:t>
            </w: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0" w:type="dxa"/>
            <w:vAlign w:val="bottom"/>
            <w:gridSpan w:val="6"/>
          </w:tcPr>
          <w:p>
            <w:pPr>
              <w:jc w:val="center"/>
              <w:ind w:right="520"/>
              <w:spacing w:after="0"/>
              <w:rPr>
                <w:sz w:val="20"/>
                <w:szCs w:val="20"/>
                <w:color w:val="auto"/>
              </w:rPr>
            </w:pPr>
            <w:r>
              <w:rPr>
                <w:rFonts w:ascii="Arial" w:cs="Arial" w:eastAsia="Arial" w:hAnsi="Arial"/>
                <w:sz w:val="18"/>
                <w:szCs w:val="18"/>
                <w:color w:val="auto"/>
                <w:w w:val="88"/>
              </w:rPr>
              <w:t>September 30,</w:t>
            </w:r>
          </w:p>
        </w:tc>
      </w:tr>
      <w:tr>
        <w:trPr>
          <w:trHeight w:val="237"/>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2018</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w w:val="70"/>
              </w:rPr>
              <w:t>thousands)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8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17,894</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21,848</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21,400</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15,699</w:t>
            </w: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Servicing rights acquired</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3,047</w:t>
            </w: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Originated servicing rights capitalized</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1,501</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3,711</w:t>
            </w:r>
          </w:p>
        </w:tc>
      </w:tr>
      <w:tr>
        <w:trPr>
          <w:trHeight w:val="223"/>
        </w:trPr>
        <w:tc>
          <w:tcPr>
            <w:tcW w:w="20" w:type="dxa"/>
            <w:vAlign w:val="bottom"/>
          </w:tcPr>
          <w:p>
            <w:pPr>
              <w:spacing w:after="0"/>
              <w:rPr>
                <w:sz w:val="19"/>
                <w:szCs w:val="19"/>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Change in fair value</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c>
          <w:tcPr>
            <w:tcW w:w="4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(9,258)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694</w:t>
            </w:r>
          </w:p>
        </w:tc>
      </w:tr>
      <w:tr>
        <w:trPr>
          <w:trHeight w:val="257"/>
        </w:trPr>
        <w:tc>
          <w:tcPr>
            <w:tcW w:w="20" w:type="dxa"/>
            <w:vAlign w:val="bottom"/>
          </w:tcPr>
          <w:p>
            <w:pPr>
              <w:spacing w:after="0"/>
              <w:rPr>
                <w:sz w:val="22"/>
                <w:szCs w:val="22"/>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5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16,906</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23,151</w:t>
            </w: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16,906</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At September 30, 2019 we were servicing approximately $2.48 billion in mortgage loans for others on which servicing rights have been capitalized. This servicing portfolio had a weighted average coupon rate of 4.25% and a weighted average service fee of approximately 25.8 basis points. Capitalized mortgage loan servicing rights at September 30, 2019 totaled $16.9 million, representing approximately 68.2 basis points on the related amount of mortgage loans serviced for others.</w:t>
      </w:r>
    </w:p>
    <w:p>
      <w:pPr>
        <w:spacing w:after="0" w:line="17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Investment and insurance commissions represent revenues generated on the sale or management of investments and insurance for our customers. These revenues were relatively comparable on a quarterly basis, but declined on a year-to-date basis in 2019 as compared to 2018. The year-to-date decline in 2019 was primarily due to slower sales in the first quarter of 2019, principally reflecting market volatility and uncertainty.</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Income from bank owned life insurance (“BOLI”) increased on both a comparative quarterly and year-to-date basis in 2019 compared to 2018 reflecting a higher crediting rate on our cash surrender value. Our BOLI separate account is primarily invested in agency mortgage-backed securities. The crediting rate (on which the earnings are based) reflects the performance of the separate account. The total cash surrender value of our BOLI was $55.4 million and $55.1 million at September 30, 2019 and December 31, 2018, respectively.</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Other non-interest income increased on both a comparative quarterly and year-to-date basis in 2019 compared to 2018, due primarily to increases in fees on interest rate swaps, merchant processing, and credit cards. The year-to-date increase in 2019 compared to 2018 is also due to $0.38 million of recoveries recorded in the first quarter of 2019 on TCSB loans that had been charged-off prior to the Merger.</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Non-interest expense. </w:t>
      </w:r>
      <w:r>
        <w:rPr>
          <w:rFonts w:ascii="Arial" w:cs="Arial" w:eastAsia="Arial" w:hAnsi="Arial"/>
          <w:sz w:val="22"/>
          <w:szCs w:val="22"/>
          <w:color w:val="auto"/>
        </w:rPr>
        <w:t>Non-interest expense is an important component of our results of operations. We strive to efficiently</w:t>
      </w:r>
      <w:r>
        <w:rPr>
          <w:rFonts w:ascii="Arial" w:cs="Arial" w:eastAsia="Arial" w:hAnsi="Arial"/>
          <w:sz w:val="22"/>
          <w:szCs w:val="22"/>
          <w:b w:val="1"/>
          <w:bCs w:val="1"/>
          <w:color w:val="auto"/>
        </w:rPr>
        <w:t xml:space="preserve"> </w:t>
      </w:r>
      <w:r>
        <w:rPr>
          <w:rFonts w:ascii="Arial" w:cs="Arial" w:eastAsia="Arial" w:hAnsi="Arial"/>
          <w:sz w:val="22"/>
          <w:szCs w:val="22"/>
          <w:color w:val="auto"/>
        </w:rPr>
        <w:t>manage our cost structure.</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Non-interest expense increased by $1.1 million to $27.8 million and by $1.8 million to $82.4 million during the three- and nine-month periods ended September 30, 2019, respectively, compared to the same periods in 2018.</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The components of non-interest expense are as follows: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Non-Interest Expense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5"/>
          </w:tcPr>
          <w:p>
            <w:pPr>
              <w:jc w:val="right"/>
              <w:ind w:right="660"/>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17"/>
                <w:szCs w:val="17"/>
                <w:color w:val="auto"/>
              </w:rPr>
            </w:pPr>
          </w:p>
        </w:tc>
        <w:tc>
          <w:tcPr>
            <w:tcW w:w="2200" w:type="dxa"/>
            <w:vAlign w:val="bottom"/>
            <w:gridSpan w:val="6"/>
          </w:tcPr>
          <w:p>
            <w:pPr>
              <w:jc w:val="right"/>
              <w:ind w:right="660"/>
              <w:spacing w:after="0"/>
              <w:rPr>
                <w:sz w:val="20"/>
                <w:szCs w:val="20"/>
                <w:color w:val="auto"/>
              </w:rPr>
            </w:pPr>
            <w:r>
              <w:rPr>
                <w:rFonts w:ascii="Arial" w:cs="Arial" w:eastAsia="Arial" w:hAnsi="Arial"/>
                <w:sz w:val="18"/>
                <w:szCs w:val="18"/>
                <w:color w:val="auto"/>
                <w:w w:val="97"/>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0" w:type="dxa"/>
            <w:vAlign w:val="bottom"/>
            <w:gridSpan w:val="6"/>
          </w:tcPr>
          <w:p>
            <w:pPr>
              <w:jc w:val="right"/>
              <w:ind w:right="84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2018</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w w:val="70"/>
              </w:rPr>
              <w:t>thousands)</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96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gridSpan w:val="2"/>
          </w:tcPr>
          <w:p>
            <w:pPr>
              <w:spacing w:after="0"/>
              <w:rPr>
                <w:sz w:val="17"/>
                <w:szCs w:val="17"/>
                <w:color w:val="auto"/>
              </w:rPr>
            </w:pPr>
          </w:p>
        </w:tc>
        <w:tc>
          <w:tcPr>
            <w:tcW w:w="320" w:type="dxa"/>
            <w:vAlign w:val="bottom"/>
            <w:gridSpan w:val="2"/>
          </w:tcPr>
          <w:p>
            <w:pPr>
              <w:spacing w:after="0"/>
              <w:rPr>
                <w:sz w:val="17"/>
                <w:szCs w:val="17"/>
                <w:color w:val="auto"/>
              </w:rPr>
            </w:pPr>
          </w:p>
        </w:tc>
        <w:tc>
          <w:tcPr>
            <w:tcW w:w="1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10,327</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9,582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30,993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Performance-based compensation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3,214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3,305</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7,730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Payroll taxes and employee benefits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10,232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Compensation and employee benefits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16,673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16,169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48,955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Occupancy, net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2,233</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Data processing</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2,051</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6,597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1,043</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Interchange expense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715</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2,332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727</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Loan and collection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531</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1,976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594</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Legal and professional</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477</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1,281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FDIC deposit insurance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Supplies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Costs (recoveries) related to unfunded lending commitments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Credit card and bank service fees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Provision for loss reimbursement on sold loans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(gains) losses on other real estate and repossessed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Merger related expenses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Total non-interest expense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27,848</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26,740</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82,430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80,636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Compensation and employee benefits expenses, in total, increased $0.5 million on a quarterly comparative basis and increased $2.4 million for the first nine months of 2019 compared to the same periods in 2018.</w:t>
      </w:r>
    </w:p>
    <w:p>
      <w:pPr>
        <w:spacing w:after="0" w:line="20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Compensation expense increased by $0.7 million and $2.9 million in the third quarter and first nine months of 2019, respectively, compared to the same periods in 2018. The quarterly and year-to-date comparative increase in 2019 is primarily due to salary increases that were predominantly effective on January 1, 2019 and growth in the number of full-time equivalent employees. The year-to-date comparative increase in 2019 also reflects the impact of the Merger.</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Performance-based compensation decreased by $0.1 million and $1.5 million in the third quarter and first nine months of 2019, respectively, versus the same periods in 2018, due primarily to relative comparative changes in the accrual for anticipated incentive compensation based on our estimated full-year performance as compared to goals.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Payroll taxes and employee benefits decreased by $0.2 million and increased by $1.1 million in the third quarter and first nine months of 2019, respectively, compared to the same periods in 2018. The quarterly comparative decrease is due primarily to a decline in health care costs. The year-to-date comparative increase is due primarily to increases in health care costs (due to increased claims in the first six months of 2019), payroll taxes and workers’ compensation insurance costs.</w:t>
      </w:r>
    </w:p>
    <w:p>
      <w:pPr>
        <w:spacing w:after="0" w:line="170"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Occupancy, net, furniture, fixtures and equipment, communications, legal and professional, supplies, and credit card and bank service fees expenses were all relatively unchanged on a comparative quarterly and year-to-date basis in 2019 as compared to 2018.</w:t>
      </w:r>
    </w:p>
    <w:p>
      <w:pPr>
        <w:spacing w:after="0" w:line="213" w:lineRule="exact"/>
        <w:rPr>
          <w:sz w:val="20"/>
          <w:szCs w:val="20"/>
          <w:color w:val="auto"/>
        </w:rPr>
      </w:pPr>
    </w:p>
    <w:p>
      <w:pPr>
        <w:jc w:val="both"/>
        <w:ind w:right="100"/>
        <w:spacing w:after="0" w:line="258" w:lineRule="auto"/>
        <w:rPr>
          <w:sz w:val="20"/>
          <w:szCs w:val="20"/>
          <w:color w:val="auto"/>
        </w:rPr>
      </w:pPr>
      <w:r>
        <w:rPr>
          <w:rFonts w:ascii="Arial" w:cs="Arial" w:eastAsia="Arial" w:hAnsi="Arial"/>
          <w:sz w:val="21"/>
          <w:szCs w:val="21"/>
          <w:color w:val="auto"/>
        </w:rPr>
        <w:t>Data processing expenses increased on both a comparative quarterly and year-to-date basis in 2019 as compared to 2018. These increases were due primarily to several new products or services implemented in 2019 as well as increases in mobile-banking related costs (due to higher usage) and certain software licensing costs (due principally to more users).</w:t>
      </w:r>
    </w:p>
    <w:p>
      <w:pPr>
        <w:spacing w:after="0" w:line="194" w:lineRule="exact"/>
        <w:rPr>
          <w:sz w:val="20"/>
          <w:szCs w:val="20"/>
          <w:color w:val="auto"/>
        </w:rPr>
      </w:pPr>
    </w:p>
    <w:p>
      <w:pPr>
        <w:jc w:val="both"/>
        <w:ind w:right="100"/>
        <w:spacing w:after="0" w:line="328" w:lineRule="auto"/>
        <w:rPr>
          <w:sz w:val="20"/>
          <w:szCs w:val="20"/>
          <w:color w:val="auto"/>
        </w:rPr>
      </w:pPr>
      <w:r>
        <w:rPr>
          <w:rFonts w:ascii="Arial" w:cs="Arial" w:eastAsia="Arial" w:hAnsi="Arial"/>
          <w:sz w:val="19"/>
          <w:szCs w:val="19"/>
          <w:color w:val="auto"/>
        </w:rPr>
        <w:t>Interchange expense primarily represents our third-party cost to process debit card transactions. This cost increased in 2019 on both a comparative quarterly and year-to-date basis as compared to 2018 due principally to an increase in transaction volume.</w:t>
      </w:r>
    </w:p>
    <w:p>
      <w:pPr>
        <w:spacing w:after="0" w:line="132"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Loan and collection expenses reflect costs related to new lending activity as well as the management and collection of non-performing loans and other problem credits. The increased expenses in 2019 as compared to 2018 primarily reflects lower recoveries of previously incurred collection expenses on non-performing and previously charged-off loans.</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Total advertising expenses increased in 2019 on both a comparative quarterly and year-to-date basis as compared to 2018 due primarily to an increase in outdoor (billboard) advertising.</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amortization of intangible assets relates to the Merger and prior branch acquisitions and the amortization of the deposit customer relationship value, including core deposit value, which was acquired in connection with those acquisitions. We had remaining unamortized intangible assets of $5.6 million and $6.4 million at September 30, 2019 and December 31, 2018, respectively. See note #7 to the Condensed Consolidated Financial Statements for a schedule of future amortization of intangible assets.</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FDIC deposit insurance expense decreased in 2019 on a comparative quarterly basis and was relatively unchanged on a year-to-date basis. This quarterly decrease is related to the use of our Small Bank Assessment Credit (the “Assessment Credit”). After the application of the Assessment Credit against the Company’s June 30, 2019 FDIC deposit insurance expense billing, approximately $0.4 million of Assessment Credit remains available to offset future expense. Absent the use of the Assessment Credit, FDIC deposit insurance expense would be higher in 2019 due primarily to growth in our total assets.</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changes in cost (recoveries) related to unfunded lending commitments are primarily impacted by changes in the amounts of such commitments to originate portfolio loans as well as (for commercial loan commitments) the grade (pursuant to our loan rating system) of such commitments.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provision for loss reimbursement on sold loans was an expense of $0.03 million and $0.18 million in the third quarter and first nine months of 2019, respectively, compared to an expense of $0.05 million and $0.08 million in the third quarter and first nine months of 2018, respectively. This provision represents our estimate of incurred losses related to mortgage loans that we have sold to investors (primarily Fannie Mae, Freddie Mac, Ginnie Mae and the Federal Home Loan Bank of Indianapolis). The small expense provisions in 2019 and 2018 are primarily due to growth in the balance of loans serviced for investors. Since we sell mortgage loans without recourse, loss reimbursements only occur in those instances where we have breached a representation or warranty or other contractual requirement related to the loan sale. The reserve for loss reimbursements on sold mortgage loans totaled $0.85 million and $0.78 million at September 30, 2019 and December 31, 2018, respectively. This reserve is included in accrued expenses and other liabilities in our Condensed Consolidated Statements of Financial Condition.</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Net (gains) losses on other real estate and repossessed assets primarily represent the gain or loss on the sale or additional write downs on these assets subsequent to the transfer of the asset from our loan portfolio. This transfer occurs at the time we acquire the collateral that secured the loan. At the time of acquisition, the other real estate or repossessed asset is valued at fair value, less estimated costs to sell, which becomes the new basis for the asset. Any write-downs at the time of acquisition are charged to the allowance for loan losses. The gains in 2018 were primarily related to the sale of several residential properties.</w:t>
      </w:r>
    </w:p>
    <w:p>
      <w:pPr>
        <w:spacing w:after="0" w:line="175" w:lineRule="exact"/>
        <w:rPr>
          <w:sz w:val="20"/>
          <w:szCs w:val="20"/>
          <w:color w:val="auto"/>
        </w:rPr>
      </w:pPr>
    </w:p>
    <w:p>
      <w:pPr>
        <w:jc w:val="both"/>
        <w:ind w:right="120"/>
        <w:spacing w:after="0" w:line="297" w:lineRule="auto"/>
        <w:rPr>
          <w:sz w:val="20"/>
          <w:szCs w:val="20"/>
          <w:color w:val="auto"/>
        </w:rPr>
      </w:pPr>
      <w:r>
        <w:rPr>
          <w:rFonts w:ascii="Arial" w:cs="Arial" w:eastAsia="Arial" w:hAnsi="Arial"/>
          <w:sz w:val="19"/>
          <w:szCs w:val="19"/>
          <w:color w:val="auto"/>
        </w:rPr>
        <w:t>Merger related expenses totaled $0.1 million and $3.4 million for the third quarter and first nine months of 2018, respectively. These expenses included our investment banking fees, certain accounting and legal costs, various contract termination fees, data processing conversion costs, payments made on officer change-in-control contracts, and employee severance costs.</w:t>
      </w:r>
    </w:p>
    <w:p>
      <w:pPr>
        <w:spacing w:after="0" w:line="16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Other non-interest expenses were relatively unchanged in 2019 on a comparative quarterly basis and increased on a year-to-date basis as compared to 2018 due primarily to an increase in deposit account/debit card fraud costs.</w:t>
      </w:r>
    </w:p>
    <w:p>
      <w:pPr>
        <w:spacing w:after="0" w:line="194"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Income tax expense. </w:t>
      </w:r>
      <w:r>
        <w:rPr>
          <w:rFonts w:ascii="Arial" w:cs="Arial" w:eastAsia="Arial" w:hAnsi="Arial"/>
          <w:sz w:val="22"/>
          <w:szCs w:val="22"/>
          <w:color w:val="auto"/>
        </w:rPr>
        <w:t>We recorded an income tax expense of $3.1 million and $8.0 million in the third quarter and the first nine</w:t>
      </w:r>
      <w:r>
        <w:rPr>
          <w:rFonts w:ascii="Arial" w:cs="Arial" w:eastAsia="Arial" w:hAnsi="Arial"/>
          <w:sz w:val="22"/>
          <w:szCs w:val="22"/>
          <w:b w:val="1"/>
          <w:bCs w:val="1"/>
          <w:color w:val="auto"/>
        </w:rPr>
        <w:t xml:space="preserve"> </w:t>
      </w:r>
      <w:r>
        <w:rPr>
          <w:rFonts w:ascii="Arial" w:cs="Arial" w:eastAsia="Arial" w:hAnsi="Arial"/>
          <w:sz w:val="22"/>
          <w:szCs w:val="22"/>
          <w:color w:val="auto"/>
        </w:rPr>
        <w:t>months of 2019, respectively. This compares to an income tax expense of $2.9 million and $7.0 million in the third quarter and the first nine months of 2018, respectively.</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actual income tax expense is different than the amount computed by applying our statutory income tax rate to our income before income tax primarily due to tax-exempt interest income, tax-exempt income from the increase in the cash surrender value on life insurance, and differences in the value of stock awards that vest and stock options that are exercised as compared to the initial fair values that were expensed.</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September 30, 2019 and 2018 and at December 31, 2018, that the realization of substantially all of our deferred tax assets continues to be more likely than not.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INANCIAL</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ONDITION</w:t>
      </w:r>
    </w:p>
    <w:p>
      <w:pPr>
        <w:spacing w:after="0" w:line="233" w:lineRule="exact"/>
        <w:rPr>
          <w:sz w:val="20"/>
          <w:szCs w:val="20"/>
          <w:color w:val="auto"/>
        </w:rPr>
      </w:pPr>
    </w:p>
    <w:p>
      <w:pPr>
        <w:jc w:val="both"/>
        <w:ind w:right="20"/>
        <w:spacing w:after="0" w:line="243" w:lineRule="auto"/>
        <w:rPr>
          <w:sz w:val="20"/>
          <w:szCs w:val="20"/>
          <w:color w:val="auto"/>
        </w:rPr>
      </w:pPr>
      <w:r>
        <w:rPr>
          <w:rFonts w:ascii="Arial" w:cs="Arial" w:eastAsia="Arial" w:hAnsi="Arial"/>
          <w:sz w:val="22"/>
          <w:szCs w:val="22"/>
          <w:b w:val="1"/>
          <w:bCs w:val="1"/>
          <w:color w:val="auto"/>
        </w:rPr>
        <w:t xml:space="preserve">Summary. </w:t>
      </w:r>
      <w:r>
        <w:rPr>
          <w:rFonts w:ascii="Arial" w:cs="Arial" w:eastAsia="Arial" w:hAnsi="Arial"/>
          <w:sz w:val="22"/>
          <w:szCs w:val="22"/>
          <w:color w:val="auto"/>
        </w:rPr>
        <w:t>Our total assets increased by $197.6 million during the first nine months of 2019. Loans, excluding loans held for sale</w:t>
      </w:r>
      <w:r>
        <w:rPr>
          <w:rFonts w:ascii="Arial" w:cs="Arial" w:eastAsia="Arial" w:hAnsi="Arial"/>
          <w:sz w:val="22"/>
          <w:szCs w:val="22"/>
          <w:b w:val="1"/>
          <w:bCs w:val="1"/>
          <w:color w:val="auto"/>
        </w:rPr>
        <w:t xml:space="preserve"> </w:t>
      </w:r>
      <w:r>
        <w:rPr>
          <w:rFonts w:ascii="Arial" w:cs="Arial" w:eastAsia="Arial" w:hAnsi="Arial"/>
          <w:sz w:val="22"/>
          <w:szCs w:val="22"/>
          <w:color w:val="auto"/>
        </w:rPr>
        <w:t>(“Portfolio Loans”), totaled $2.72 billion at September 30, 2019, an increase of $139.9 million, or 5.4%, from December 31, 2018. (See “Portfolio Loans and asset quality.”)</w:t>
      </w:r>
    </w:p>
    <w:p>
      <w:pPr>
        <w:spacing w:after="0" w:line="21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Deposits totaled $3.05 billion at September 30, 2019, compared to $2.91 billion at December 31, 2018. The $138.9 million increase in total deposits during the period is due primarily to growth in reciprocal deposits.</w:t>
      </w:r>
    </w:p>
    <w:p>
      <w:pPr>
        <w:spacing w:after="0" w:line="194" w:lineRule="exact"/>
        <w:rPr>
          <w:sz w:val="20"/>
          <w:szCs w:val="20"/>
          <w:color w:val="auto"/>
        </w:rPr>
      </w:pPr>
    </w:p>
    <w:p>
      <w:pPr>
        <w:jc w:val="both"/>
        <w:spacing w:after="0" w:line="278" w:lineRule="auto"/>
        <w:rPr>
          <w:sz w:val="20"/>
          <w:szCs w:val="20"/>
          <w:color w:val="auto"/>
        </w:rPr>
      </w:pPr>
      <w:r>
        <w:rPr>
          <w:rFonts w:ascii="Arial" w:cs="Arial" w:eastAsia="Arial" w:hAnsi="Arial"/>
          <w:sz w:val="19"/>
          <w:szCs w:val="19"/>
          <w:b w:val="1"/>
          <w:bCs w:val="1"/>
          <w:color w:val="auto"/>
        </w:rPr>
        <w:t xml:space="preserve">Securities. </w:t>
      </w:r>
      <w:r>
        <w:rPr>
          <w:rFonts w:ascii="Arial" w:cs="Arial" w:eastAsia="Arial" w:hAnsi="Arial"/>
          <w:sz w:val="19"/>
          <w:szCs w:val="19"/>
          <w:color w:val="auto"/>
        </w:rPr>
        <w:t>We maintain diversified securities portfolios, which include obligations of U.S. government-sponsored agencies,</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issued by states and political subdivisions, residential and commercial mortgage-backed securities, asset-backed securities, corporate securities, trust preferred securities and foreign government securities (that are denominated in U.S. dollars). We regularly evaluate asset/liability management needs and attempt to maintain a portfolio structure that provides sufficient liquidity and cash flow. Except as discussed below, we believe that the unrealized losses on securities available for sale are temporary in nature and are expected to be recovered within a reasonable time period. We believe that we have the ability to hold securities with unrealized losses to maturity or until such time as the unrealized losses reverse. (See “Asset/liability management.”)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Securities</w:t>
      </w:r>
    </w:p>
    <w:p>
      <w:pPr>
        <w:spacing w:after="0" w:line="19" w:lineRule="exact"/>
        <w:rPr>
          <w:sz w:val="20"/>
          <w:szCs w:val="20"/>
          <w:color w:val="auto"/>
        </w:rPr>
      </w:pPr>
    </w:p>
    <w:tbl>
      <w:tblPr>
        <w:tblLayout w:type="fixed"/>
        <w:tblInd w:w="580" w:type="dxa"/>
        <w:tblCellMar>
          <w:top w:w="0" w:type="dxa"/>
          <w:left w:w="0" w:type="dxa"/>
          <w:bottom w:w="0" w:type="dxa"/>
          <w:right w:w="0" w:type="dxa"/>
        </w:tblCellMar>
      </w:tblPr>
      <w:tr>
        <w:trPr>
          <w:trHeight w:val="221"/>
        </w:trPr>
        <w:tc>
          <w:tcPr>
            <w:tcW w:w="3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w w:val="92"/>
              </w:rPr>
              <w:t>Unrealized</w:t>
            </w: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10"/>
              <w:spacing w:after="0" w:line="201" w:lineRule="exact"/>
              <w:rPr>
                <w:sz w:val="20"/>
                <w:szCs w:val="20"/>
                <w:color w:val="auto"/>
              </w:rPr>
            </w:pPr>
            <w:r>
              <w:rPr>
                <w:rFonts w:ascii="Arial" w:cs="Arial" w:eastAsia="Arial" w:hAnsi="Arial"/>
                <w:sz w:val="18"/>
                <w:szCs w:val="18"/>
                <w:color w:val="auto"/>
                <w:w w:val="98"/>
              </w:rPr>
              <w:t>Amortized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50"/>
              <w:spacing w:after="0" w:line="201" w:lineRule="exact"/>
              <w:rPr>
                <w:sz w:val="20"/>
                <w:szCs w:val="20"/>
                <w:color w:val="auto"/>
              </w:rPr>
            </w:pPr>
            <w:r>
              <w:rPr>
                <w:rFonts w:ascii="Arial" w:cs="Arial" w:eastAsia="Arial" w:hAnsi="Arial"/>
                <w:sz w:val="18"/>
                <w:szCs w:val="18"/>
                <w:color w:val="auto"/>
              </w:rPr>
              <w:t>Fair</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Cost</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Gains</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60" w:type="dxa"/>
            <w:vAlign w:val="bottom"/>
            <w:vMerge w:val="restart"/>
          </w:tcPr>
          <w:p>
            <w:pPr>
              <w:spacing w:after="0"/>
              <w:rPr>
                <w:sz w:val="20"/>
                <w:szCs w:val="20"/>
                <w:color w:val="auto"/>
              </w:rPr>
            </w:pPr>
            <w:r>
              <w:rPr>
                <w:rFonts w:ascii="Arial" w:cs="Arial" w:eastAsia="Arial" w:hAnsi="Arial"/>
                <w:sz w:val="18"/>
                <w:szCs w:val="18"/>
                <w:color w:val="auto"/>
              </w:rPr>
              <w:t>Securities available for sale</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ind w:left="520"/>
              <w:spacing w:after="0"/>
              <w:rPr>
                <w:sz w:val="20"/>
                <w:szCs w:val="20"/>
                <w:color w:val="auto"/>
              </w:rPr>
            </w:pPr>
            <w:r>
              <w:rPr>
                <w:rFonts w:ascii="Arial" w:cs="Arial" w:eastAsia="Arial" w:hAnsi="Arial"/>
                <w:sz w:val="18"/>
                <w:szCs w:val="18"/>
                <w:color w:val="auto"/>
              </w:rPr>
              <w:t>(In</w:t>
            </w:r>
          </w:p>
        </w:tc>
        <w:tc>
          <w:tcPr>
            <w:tcW w:w="1360" w:type="dxa"/>
            <w:vAlign w:val="bottom"/>
            <w:gridSpan w:val="3"/>
          </w:tcPr>
          <w:p>
            <w:pPr>
              <w:jc w:val="right"/>
              <w:ind w:right="650"/>
              <w:spacing w:after="0"/>
              <w:rPr>
                <w:sz w:val="20"/>
                <w:szCs w:val="20"/>
                <w:color w:val="auto"/>
              </w:rPr>
            </w:pPr>
            <w:r>
              <w:rPr>
                <w:rFonts w:ascii="Arial" w:cs="Arial" w:eastAsia="Arial" w:hAnsi="Arial"/>
                <w:sz w:val="17"/>
                <w:szCs w:val="17"/>
                <w:color w:val="auto"/>
                <w:w w:val="71"/>
              </w:rPr>
              <w:t>thousands)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6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September 30, 2019</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434,231</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6,106</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60"/>
              <w:spacing w:after="0"/>
              <w:rPr>
                <w:sz w:val="20"/>
                <w:szCs w:val="20"/>
                <w:color w:val="auto"/>
              </w:rPr>
            </w:pPr>
            <w:r>
              <w:rPr>
                <w:rFonts w:ascii="Arial" w:cs="Arial" w:eastAsia="Arial" w:hAnsi="Arial"/>
                <w:sz w:val="18"/>
                <w:szCs w:val="18"/>
                <w:color w:val="auto"/>
              </w:rPr>
              <w:t>December 31, 2018</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433,224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ind w:left="520"/>
              <w:spacing w:after="0"/>
              <w:rPr>
                <w:sz w:val="20"/>
                <w:szCs w:val="20"/>
                <w:color w:val="auto"/>
              </w:rPr>
            </w:pPr>
            <w:r>
              <w:rPr>
                <w:rFonts w:ascii="Arial" w:cs="Arial" w:eastAsia="Arial" w:hAnsi="Arial"/>
                <w:sz w:val="18"/>
                <w:szCs w:val="18"/>
                <w:color w:val="auto"/>
                <w:w w:val="88"/>
              </w:rPr>
              <w:t>1,520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6,818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427,926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Securities available for sale increased $11.7 million during the first nine months of 2019. Our portfolio of securities available for sale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these recovery criteria, the amount of impairment recognized in earnings is limited to the amount related to credit losses, while impairment related to other factors is recognized in other comprehensive income (loss). We recorded no impairment losses related to other than temporary impairment on securities available for sale in either of the first nine months of 2019 or 2018.</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Sales of securities were as follows (See “Non-interest income.”):</w:t>
      </w:r>
    </w:p>
    <w:p>
      <w:pPr>
        <w:spacing w:after="0" w:line="240"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6"/>
          </w:tcPr>
          <w:p>
            <w:pPr>
              <w:jc w:val="right"/>
              <w:ind w:right="66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6"/>
          </w:tcPr>
          <w:p>
            <w:pPr>
              <w:jc w:val="right"/>
              <w:ind w:right="84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80" w:type="dxa"/>
            <w:vAlign w:val="bottom"/>
            <w:gridSpan w:val="4"/>
          </w:tcPr>
          <w:p>
            <w:pPr>
              <w:jc w:val="right"/>
              <w:ind w:right="650"/>
              <w:spacing w:after="0"/>
              <w:rPr>
                <w:sz w:val="20"/>
                <w:szCs w:val="20"/>
                <w:color w:val="auto"/>
              </w:rPr>
            </w:pPr>
            <w:r>
              <w:rPr>
                <w:rFonts w:ascii="Arial" w:cs="Arial" w:eastAsia="Arial" w:hAnsi="Arial"/>
                <w:sz w:val="17"/>
                <w:szCs w:val="17"/>
                <w:color w:val="auto"/>
                <w:w w:val="73"/>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520" w:type="dxa"/>
            <w:vAlign w:val="bottom"/>
          </w:tcPr>
          <w:p>
            <w:pPr>
              <w:spacing w:after="0"/>
              <w:rPr>
                <w:sz w:val="17"/>
                <w:szCs w:val="17"/>
                <w:color w:val="auto"/>
              </w:rPr>
            </w:pPr>
          </w:p>
        </w:tc>
        <w:tc>
          <w:tcPr>
            <w:tcW w:w="206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10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Proceeds</w:t>
            </w:r>
          </w:p>
        </w:tc>
        <w:tc>
          <w:tcPr>
            <w:tcW w:w="20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44,305</w:t>
            </w:r>
          </w:p>
        </w:tc>
        <w:tc>
          <w:tcPr>
            <w:tcW w:w="1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Gross gains</w:t>
            </w:r>
          </w:p>
        </w:tc>
        <w:tc>
          <w:tcPr>
            <w:tcW w:w="20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Gross losses</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Net impairment charges</w:t>
            </w: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Fair value adjustments</w:t>
            </w: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gains (losses)</w:t>
            </w:r>
          </w:p>
        </w:tc>
        <w:tc>
          <w:tcPr>
            <w:tcW w:w="18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Portfolio Loans and asset quality. </w:t>
      </w:r>
      <w:r>
        <w:rPr>
          <w:rFonts w:ascii="Arial" w:cs="Arial" w:eastAsia="Arial" w:hAnsi="Arial"/>
          <w:sz w:val="22"/>
          <w:szCs w:val="22"/>
          <w:color w:val="auto"/>
        </w:rPr>
        <w:t>In addition to the communities served by our Bank branch and loan production office network,</w:t>
      </w:r>
      <w:r>
        <w:rPr>
          <w:rFonts w:ascii="Arial" w:cs="Arial" w:eastAsia="Arial" w:hAnsi="Arial"/>
          <w:sz w:val="22"/>
          <w:szCs w:val="22"/>
          <w:b w:val="1"/>
          <w:bCs w:val="1"/>
          <w:color w:val="auto"/>
        </w:rPr>
        <w:t xml:space="preserve"> </w:t>
      </w:r>
      <w:r>
        <w:rPr>
          <w:rFonts w:ascii="Arial" w:cs="Arial" w:eastAsia="Arial" w:hAnsi="Arial"/>
          <w:sz w:val="22"/>
          <w:szCs w:val="22"/>
          <w:color w:val="auto"/>
        </w:rPr>
        <w:t>our principal lending markets also include nearby communities and metropolitan areas. Subject to established underwriting criteria, we also may participate in commercial lending transactions with certain non-affiliated banks and make whole loan purchases from other financial institutions.</w:t>
      </w:r>
    </w:p>
    <w:p>
      <w:pPr>
        <w:spacing w:after="0" w:line="21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We generally retain loans that may be profitably funded within established risk parameters. (See “Asset/liability management.”) As a result, we may hold adjustable-rate conventional and fixed rate jumbo mortgage loans as Portfolio Loans, while 15- and 30-year fixed-rate non-jumbo mortgage loans are generally sold to mitigate exposure to changes in interest rates. (See “Non-interest income.”) Due primarily to the expansion of our mortgage-banking activities and a change in mix in our mortgage loan originations, we are now originating and putting into Portfolio Loans more fixed rate mortgage loans than as compared to past periods. These fixed rate mortgage loans generally have terms from 15 to 30 years, do not have prepayment penalties and expose us to more interest rate risk. To date, our interest rate risk profile has not changed significantly. However, we are carefully monitoring this change in the composition of our Portfolio Loans and the impact of potential future changes in interest rates on our changes in market value of portfolio equity and changes in net interest income. (See “Asset/liability management.”). As a result, we have added and may continue to add some longer-term borrowings, may utilize derivatives (interest rate swaps and interest rate caps) to manage interest rate risk and may continue to sell some fixed rate jumbo and other portfolio mortgage loans in the future.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A summary of our Portfolio Loans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6"/>
          </w:tcPr>
          <w:p>
            <w:pPr>
              <w:jc w:val="center"/>
              <w:ind w:right="120"/>
              <w:spacing w:after="0"/>
              <w:rPr>
                <w:sz w:val="20"/>
                <w:szCs w:val="20"/>
                <w:color w:val="auto"/>
              </w:rPr>
            </w:pPr>
            <w:r>
              <w:rPr>
                <w:rFonts w:ascii="Arial" w:cs="Arial" w:eastAsia="Arial" w:hAnsi="Arial"/>
                <w:sz w:val="18"/>
                <w:szCs w:val="18"/>
                <w:color w:val="auto"/>
                <w:w w:val="88"/>
              </w:rPr>
              <w:t>September 30,</w:t>
            </w:r>
          </w:p>
        </w:tc>
        <w:tc>
          <w:tcPr>
            <w:tcW w:w="120" w:type="dxa"/>
            <w:vAlign w:val="bottom"/>
          </w:tcPr>
          <w:p>
            <w:pPr>
              <w:spacing w:after="0"/>
              <w:rPr>
                <w:sz w:val="18"/>
                <w:szCs w:val="18"/>
                <w:color w:val="auto"/>
              </w:rPr>
            </w:pPr>
          </w:p>
        </w:tc>
        <w:tc>
          <w:tcPr>
            <w:tcW w:w="1240" w:type="dxa"/>
            <w:vAlign w:val="bottom"/>
            <w:gridSpan w:val="5"/>
          </w:tcPr>
          <w:p>
            <w:pPr>
              <w:ind w:left="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8080" w:type="dxa"/>
            <w:vAlign w:val="bottom"/>
            <w:gridSpan w:val="4"/>
            <w:vMerge w:val="restart"/>
          </w:tcPr>
          <w:p>
            <w:pPr>
              <w:spacing w:after="0"/>
              <w:rPr>
                <w:sz w:val="20"/>
                <w:szCs w:val="20"/>
                <w:color w:val="auto"/>
              </w:rPr>
            </w:pPr>
            <w:r>
              <w:rPr>
                <w:rFonts w:ascii="Arial" w:cs="Arial" w:eastAsia="Arial" w:hAnsi="Arial"/>
                <w:sz w:val="18"/>
                <w:szCs w:val="18"/>
                <w:color w:val="auto"/>
              </w:rPr>
              <w:t>Real estate(1)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8"/>
          </w:tcPr>
          <w:p>
            <w:pPr>
              <w:ind w:left="1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1"/>
        </w:trPr>
        <w:tc>
          <w:tcPr>
            <w:tcW w:w="8080" w:type="dxa"/>
            <w:vAlign w:val="bottom"/>
            <w:gridSpan w:val="4"/>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Residential first mortgages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821,531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811,719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tcPr>
          <w:p>
            <w:pPr>
              <w:ind w:left="160"/>
              <w:spacing w:after="0"/>
              <w:rPr>
                <w:sz w:val="20"/>
                <w:szCs w:val="20"/>
                <w:color w:val="auto"/>
              </w:rPr>
            </w:pPr>
            <w:r>
              <w:rPr>
                <w:rFonts w:ascii="Arial" w:cs="Arial" w:eastAsia="Arial" w:hAnsi="Arial"/>
                <w:sz w:val="18"/>
                <w:szCs w:val="18"/>
                <w:color w:val="auto"/>
              </w:rPr>
              <w:t>Residential home equity and other junior mortgages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173,099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8"/>
                <w:szCs w:val="18"/>
                <w:color w:val="auto"/>
              </w:rPr>
              <w:t>177,574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Construction and land development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220,822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180,286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tcPr>
          <w:p>
            <w:pPr>
              <w:ind w:left="160"/>
              <w:spacing w:after="0"/>
              <w:rPr>
                <w:sz w:val="20"/>
                <w:szCs w:val="20"/>
                <w:color w:val="auto"/>
              </w:rPr>
            </w:pPr>
            <w:r>
              <w:rPr>
                <w:rFonts w:ascii="Arial" w:cs="Arial" w:eastAsia="Arial" w:hAnsi="Arial"/>
                <w:sz w:val="18"/>
                <w:szCs w:val="18"/>
                <w:color w:val="auto"/>
              </w:rPr>
              <w:t>Other(2)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721,042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8"/>
                <w:szCs w:val="18"/>
                <w:color w:val="auto"/>
              </w:rPr>
              <w:t>707,347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451,025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379,607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tcPr>
          <w:p>
            <w:pPr>
              <w:spacing w:after="0"/>
              <w:rPr>
                <w:sz w:val="20"/>
                <w:szCs w:val="20"/>
                <w:color w:val="auto"/>
              </w:rPr>
            </w:pPr>
            <w:r>
              <w:rPr>
                <w:rFonts w:ascii="Arial" w:cs="Arial" w:eastAsia="Arial" w:hAnsi="Arial"/>
                <w:sz w:val="18"/>
                <w:szCs w:val="18"/>
                <w:color w:val="auto"/>
              </w:rPr>
              <w:t>Commercial</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330,073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8"/>
                <w:szCs w:val="18"/>
                <w:color w:val="auto"/>
              </w:rPr>
              <w:t>319,058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Agricultural</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6,929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69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tcPr>
          <w:p>
            <w:pPr>
              <w:ind w:left="320"/>
              <w:spacing w:after="0"/>
              <w:rPr>
                <w:sz w:val="20"/>
                <w:szCs w:val="20"/>
                <w:color w:val="auto"/>
              </w:rPr>
            </w:pPr>
            <w:r>
              <w:rPr>
                <w:rFonts w:ascii="Arial" w:cs="Arial" w:eastAsia="Arial" w:hAnsi="Arial"/>
                <w:sz w:val="18"/>
                <w:szCs w:val="18"/>
                <w:color w:val="auto"/>
              </w:rPr>
              <w:t>Total loans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5"/>
          </w:tcPr>
          <w:p>
            <w:pPr>
              <w:jc w:val="right"/>
              <w:ind w:right="100"/>
              <w:spacing w:after="0"/>
              <w:rPr>
                <w:sz w:val="20"/>
                <w:szCs w:val="20"/>
                <w:color w:val="auto"/>
              </w:rPr>
            </w:pPr>
            <w:r>
              <w:rPr>
                <w:rFonts w:ascii="Arial" w:cs="Arial" w:eastAsia="Arial" w:hAnsi="Arial"/>
                <w:sz w:val="18"/>
                <w:szCs w:val="18"/>
                <w:color w:val="auto"/>
              </w:rPr>
              <w:t>2,722,446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ind w:right="100"/>
              <w:spacing w:after="0"/>
              <w:rPr>
                <w:sz w:val="20"/>
                <w:szCs w:val="20"/>
                <w:color w:val="auto"/>
              </w:rPr>
            </w:pPr>
            <w:r>
              <w:rPr>
                <w:rFonts w:ascii="Arial" w:cs="Arial" w:eastAsia="Arial" w:hAnsi="Arial"/>
                <w:sz w:val="18"/>
                <w:szCs w:val="18"/>
                <w:color w:val="auto"/>
              </w:rPr>
              <w:t>2,582,520</w:t>
            </w:r>
          </w:p>
        </w:tc>
        <w:tc>
          <w:tcPr>
            <w:tcW w:w="0" w:type="dxa"/>
            <w:vAlign w:val="bottom"/>
          </w:tcPr>
          <w:p>
            <w:pPr>
              <w:spacing w:after="0"/>
              <w:rPr>
                <w:sz w:val="1"/>
                <w:szCs w:val="1"/>
                <w:color w:val="auto"/>
              </w:rPr>
            </w:pPr>
          </w:p>
        </w:tc>
      </w:tr>
      <w:tr>
        <w:trPr>
          <w:trHeight w:val="21"/>
        </w:trPr>
        <w:tc>
          <w:tcPr>
            <w:tcW w:w="5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6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60" w:type="dxa"/>
            <w:vAlign w:val="bottom"/>
            <w:gridSpan w:val="3"/>
          </w:tcPr>
          <w:p>
            <w:pPr>
              <w:spacing w:after="0" w:line="201" w:lineRule="exact"/>
              <w:rPr>
                <w:sz w:val="20"/>
                <w:szCs w:val="20"/>
                <w:color w:val="auto"/>
              </w:rPr>
            </w:pPr>
            <w:r>
              <w:rPr>
                <w:rFonts w:ascii="Arial" w:cs="Arial" w:eastAsia="Arial" w:hAnsi="Arial"/>
                <w:sz w:val="18"/>
                <w:szCs w:val="18"/>
                <w:color w:val="auto"/>
              </w:rPr>
              <w:t>(1) Includes both residential and non-residential commercial loans secured by real estate.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80" w:type="dxa"/>
            <w:vAlign w:val="bottom"/>
            <w:gridSpan w:val="4"/>
          </w:tcPr>
          <w:p>
            <w:pPr>
              <w:spacing w:after="0"/>
              <w:rPr>
                <w:sz w:val="20"/>
                <w:szCs w:val="20"/>
                <w:color w:val="auto"/>
              </w:rPr>
            </w:pPr>
            <w:r>
              <w:rPr>
                <w:rFonts w:ascii="Arial" w:cs="Arial" w:eastAsia="Arial" w:hAnsi="Arial"/>
                <w:sz w:val="18"/>
                <w:szCs w:val="18"/>
                <w:color w:val="auto"/>
              </w:rPr>
              <w:t>(2) Includes loans secured by multi-family residential and non-farm, non-residential property.</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6"/>
        </w:trPr>
        <w:tc>
          <w:tcPr>
            <w:tcW w:w="8080" w:type="dxa"/>
            <w:vAlign w:val="bottom"/>
            <w:gridSpan w:val="4"/>
          </w:tcPr>
          <w:p>
            <w:pPr>
              <w:spacing w:after="0"/>
              <w:rPr>
                <w:sz w:val="20"/>
                <w:szCs w:val="20"/>
                <w:color w:val="auto"/>
              </w:rPr>
            </w:pPr>
            <w:r>
              <w:rPr>
                <w:rFonts w:ascii="Arial" w:cs="Arial" w:eastAsia="Arial" w:hAnsi="Arial"/>
                <w:sz w:val="22"/>
                <w:szCs w:val="22"/>
                <w:b w:val="1"/>
                <w:bCs w:val="1"/>
                <w:color w:val="auto"/>
              </w:rPr>
              <w:t>Non-performing assets</w:t>
            </w:r>
            <w:r>
              <w:rPr>
                <w:rFonts w:ascii="Arial" w:cs="Arial" w:eastAsia="Arial" w:hAnsi="Arial"/>
                <w:sz w:val="36"/>
                <w:szCs w:val="36"/>
                <w:b w:val="1"/>
                <w:bCs w:val="1"/>
                <w:color w:val="auto"/>
                <w:vertAlign w:val="superscript"/>
              </w:rPr>
              <w:t>(1)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5"/>
          </w:tcPr>
          <w:p>
            <w:pPr>
              <w:jc w:val="right"/>
              <w:ind w:right="30"/>
              <w:spacing w:after="0"/>
              <w:rPr>
                <w:sz w:val="20"/>
                <w:szCs w:val="20"/>
                <w:color w:val="auto"/>
              </w:rPr>
            </w:pPr>
            <w:r>
              <w:rPr>
                <w:rFonts w:ascii="Arial" w:cs="Arial" w:eastAsia="Arial" w:hAnsi="Arial"/>
                <w:sz w:val="18"/>
                <w:szCs w:val="18"/>
                <w:color w:val="auto"/>
                <w:w w:val="89"/>
              </w:rPr>
              <w:t>September 30,</w:t>
            </w:r>
          </w:p>
        </w:tc>
        <w:tc>
          <w:tcPr>
            <w:tcW w:w="180" w:type="dxa"/>
            <w:vAlign w:val="bottom"/>
          </w:tcPr>
          <w:p>
            <w:pPr>
              <w:spacing w:after="0"/>
              <w:rPr>
                <w:sz w:val="21"/>
                <w:szCs w:val="21"/>
                <w:color w:val="auto"/>
              </w:rPr>
            </w:pPr>
          </w:p>
        </w:tc>
        <w:tc>
          <w:tcPr>
            <w:tcW w:w="1900" w:type="dxa"/>
            <w:vAlign w:val="bottom"/>
            <w:gridSpan w:val="8"/>
          </w:tcPr>
          <w:p>
            <w:pPr>
              <w:ind w:left="8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6"/>
          </w:tcPr>
          <w:p>
            <w:pPr>
              <w:jc w:val="right"/>
              <w:ind w:right="31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71"/>
              </w:rPr>
              <w:t>in</w:t>
            </w:r>
          </w:p>
        </w:tc>
        <w:tc>
          <w:tcPr>
            <w:tcW w:w="7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w w:val="80"/>
              </w:rPr>
              <w:t>thousands)</w:t>
            </w:r>
          </w:p>
        </w:tc>
        <w:tc>
          <w:tcPr>
            <w:tcW w:w="4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7,124</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9,029</w:t>
            </w:r>
          </w:p>
        </w:tc>
        <w:tc>
          <w:tcPr>
            <w:tcW w:w="1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Loans 90 days or more past due and still accruing interest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 government guaranteed loans</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(475)</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Total non-performing loans</w:t>
            </w: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6,649</w:t>
            </w: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8,574</w:t>
            </w:r>
          </w:p>
        </w:tc>
        <w:tc>
          <w:tcPr>
            <w:tcW w:w="180" w:type="dxa"/>
            <w:vAlign w:val="bottom"/>
            <w:tcBorders>
              <w:top w:val="single" w:sz="8" w:color="CCEEFF"/>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real estate and repossessed assets</w:t>
            </w: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1,299</w:t>
            </w:r>
          </w:p>
        </w:tc>
        <w:tc>
          <w:tcPr>
            <w:tcW w:w="180" w:type="dxa"/>
            <w:vAlign w:val="bottom"/>
            <w:tcBorders>
              <w:bottom w:val="single" w:sz="8" w:color="CCEEFF"/>
            </w:tcBorders>
            <w:shd w:val="clear" w:color="auto" w:fill="CCEEFF"/>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920" w:type="dxa"/>
            <w:vAlign w:val="bottom"/>
          </w:tcPr>
          <w:p>
            <w:pPr>
              <w:jc w:val="right"/>
              <w:spacing w:after="0"/>
              <w:rPr>
                <w:sz w:val="20"/>
                <w:szCs w:val="20"/>
                <w:color w:val="auto"/>
              </w:rPr>
            </w:pPr>
            <w:r>
              <w:rPr>
                <w:rFonts w:ascii="Arial" w:cs="Arial" w:eastAsia="Arial" w:hAnsi="Arial"/>
                <w:sz w:val="18"/>
                <w:szCs w:val="18"/>
                <w:color w:val="auto"/>
              </w:rPr>
              <w:t>Total non-performing assets</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8,438</w:t>
            </w:r>
          </w:p>
        </w:tc>
        <w:tc>
          <w:tcPr>
            <w:tcW w:w="8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9,873</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7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a percent of Portfolio Loans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500" w:type="dxa"/>
            <w:vAlign w:val="bottom"/>
            <w:gridSpan w:val="2"/>
          </w:tcPr>
          <w:p>
            <w:pPr>
              <w:ind w:left="160"/>
              <w:spacing w:after="0"/>
              <w:rPr>
                <w:sz w:val="20"/>
                <w:szCs w:val="20"/>
                <w:color w:val="auto"/>
              </w:rPr>
            </w:pPr>
            <w:r>
              <w:rPr>
                <w:rFonts w:ascii="Arial" w:cs="Arial" w:eastAsia="Arial" w:hAnsi="Arial"/>
                <w:sz w:val="18"/>
                <w:szCs w:val="18"/>
                <w:color w:val="auto"/>
              </w:rPr>
              <w:t>Non-performing loans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30"/>
              <w:spacing w:after="0"/>
              <w:rPr>
                <w:sz w:val="20"/>
                <w:szCs w:val="20"/>
                <w:color w:val="auto"/>
              </w:rPr>
            </w:pPr>
            <w:r>
              <w:rPr>
                <w:rFonts w:ascii="Arial" w:cs="Arial" w:eastAsia="Arial" w:hAnsi="Arial"/>
                <w:sz w:val="18"/>
                <w:szCs w:val="18"/>
                <w:color w:val="auto"/>
                <w:w w:val="90"/>
              </w:rPr>
              <w:t>0.24%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0.33%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Allowance for loan losses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0.96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Non-performing assets to total assets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0.24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0.29</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loan losses as a percent of non-performing loans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393.26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290.27</w:t>
            </w:r>
          </w:p>
        </w:tc>
        <w:tc>
          <w:tcPr>
            <w:tcW w:w="1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30"/>
          <w:szCs w:val="30"/>
          <w:color w:val="auto"/>
          <w:vertAlign w:val="superscript"/>
        </w:rPr>
        <w:t>(1)</w:t>
      </w:r>
      <w:r>
        <w:rPr>
          <w:sz w:val="20"/>
          <w:szCs w:val="20"/>
          <w:color w:val="auto"/>
        </w:rPr>
        <w:tab/>
      </w:r>
      <w:r>
        <w:rPr>
          <w:rFonts w:ascii="Arial" w:cs="Arial" w:eastAsia="Arial" w:hAnsi="Arial"/>
          <w:sz w:val="16"/>
          <w:szCs w:val="16"/>
          <w:color w:val="auto"/>
        </w:rPr>
        <w:t>Excludes loans classified as “troubled debt restructured” that are not past due.</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Troubled debt restructurings (“TDR”)</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w w:val="91"/>
              </w:rPr>
              <w:t>September 30, 2019</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40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Commercial</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540"/>
              <w:spacing w:after="0" w:line="216" w:lineRule="exact"/>
              <w:rPr>
                <w:sz w:val="20"/>
                <w:szCs w:val="20"/>
                <w:color w:val="auto"/>
              </w:rPr>
            </w:pPr>
            <w:r>
              <w:rPr>
                <w:rFonts w:ascii="Arial" w:cs="Arial" w:eastAsia="Arial" w:hAnsi="Arial"/>
                <w:sz w:val="16"/>
                <w:szCs w:val="16"/>
                <w:color w:val="auto"/>
              </w:rPr>
              <w:t xml:space="preserve">Retail </w:t>
            </w:r>
            <w:r>
              <w:rPr>
                <w:rFonts w:ascii="Arial" w:cs="Arial" w:eastAsia="Arial" w:hAnsi="Arial"/>
                <w:sz w:val="25"/>
                <w:szCs w:val="25"/>
                <w:color w:val="auto"/>
                <w:vertAlign w:val="superscript"/>
              </w:rPr>
              <w:t>(1)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r>
      <w:tr>
        <w:trPr>
          <w:trHeight w:val="216"/>
        </w:trPr>
        <w:tc>
          <w:tcPr>
            <w:tcW w:w="40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(In thousands)</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40,873</w:t>
            </w:r>
          </w:p>
        </w:tc>
        <w:tc>
          <w:tcPr>
            <w:tcW w:w="3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47,820</w:t>
            </w:r>
          </w:p>
        </w:tc>
      </w:tr>
      <w:tr>
        <w:trPr>
          <w:trHeight w:val="223"/>
        </w:trPr>
        <w:tc>
          <w:tcPr>
            <w:tcW w:w="4080" w:type="dxa"/>
            <w:vAlign w:val="bottom"/>
          </w:tcPr>
          <w:p>
            <w:pPr>
              <w:spacing w:after="0" w:line="216" w:lineRule="exact"/>
              <w:rPr>
                <w:sz w:val="20"/>
                <w:szCs w:val="20"/>
                <w:color w:val="auto"/>
              </w:rPr>
            </w:pPr>
            <w:r>
              <w:rPr>
                <w:rFonts w:ascii="Arial" w:cs="Arial" w:eastAsia="Arial" w:hAnsi="Arial"/>
                <w:sz w:val="16"/>
                <w:szCs w:val="16"/>
                <w:color w:val="auto"/>
              </w:rPr>
              <w:t xml:space="preserve">Non-performing TDR’s </w:t>
            </w:r>
            <w:r>
              <w:rPr>
                <w:rFonts w:ascii="Arial" w:cs="Arial" w:eastAsia="Arial" w:hAnsi="Arial"/>
                <w:sz w:val="25"/>
                <w:szCs w:val="25"/>
                <w:color w:val="auto"/>
                <w:vertAlign w:val="superscript"/>
              </w:rPr>
              <w:t>(2)</w:t>
            </w: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20"/>
              <w:spacing w:after="0" w:line="216" w:lineRule="exact"/>
              <w:rPr>
                <w:sz w:val="20"/>
                <w:szCs w:val="20"/>
                <w:color w:val="auto"/>
              </w:rPr>
            </w:pPr>
            <w:r>
              <w:rPr>
                <w:rFonts w:ascii="Arial" w:cs="Arial" w:eastAsia="Arial" w:hAnsi="Arial"/>
                <w:sz w:val="16"/>
                <w:szCs w:val="16"/>
                <w:color w:val="auto"/>
              </w:rPr>
              <w:t>2,357</w:t>
            </w:r>
            <w:r>
              <w:rPr>
                <w:rFonts w:ascii="Arial" w:cs="Arial" w:eastAsia="Arial" w:hAnsi="Arial"/>
                <w:sz w:val="25"/>
                <w:szCs w:val="25"/>
                <w:color w:val="auto"/>
                <w:vertAlign w:val="superscript"/>
              </w:rPr>
              <w:t>(3)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2,403</w:t>
            </w:r>
          </w:p>
        </w:tc>
      </w:tr>
      <w:tr>
        <w:trPr>
          <w:trHeight w:val="257"/>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43,230</w:t>
            </w:r>
          </w:p>
        </w:tc>
        <w:tc>
          <w:tcPr>
            <w:tcW w:w="3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50,223</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460"/>
        </w:trPr>
        <w:tc>
          <w:tcPr>
            <w:tcW w:w="40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w w:val="93"/>
              </w:rPr>
              <w:t>December 31, 2018</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40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Commercial</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540"/>
              <w:spacing w:after="0" w:line="216" w:lineRule="exact"/>
              <w:rPr>
                <w:sz w:val="20"/>
                <w:szCs w:val="20"/>
                <w:color w:val="auto"/>
              </w:rPr>
            </w:pPr>
            <w:r>
              <w:rPr>
                <w:rFonts w:ascii="Arial" w:cs="Arial" w:eastAsia="Arial" w:hAnsi="Arial"/>
                <w:sz w:val="16"/>
                <w:szCs w:val="16"/>
                <w:color w:val="auto"/>
              </w:rPr>
              <w:t xml:space="preserve">Retail </w:t>
            </w:r>
            <w:r>
              <w:rPr>
                <w:rFonts w:ascii="Arial" w:cs="Arial" w:eastAsia="Arial" w:hAnsi="Arial"/>
                <w:sz w:val="25"/>
                <w:szCs w:val="25"/>
                <w:color w:val="auto"/>
                <w:vertAlign w:val="superscript"/>
              </w:rPr>
              <w:t>(1)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r>
      <w:tr>
        <w:trPr>
          <w:trHeight w:val="216"/>
        </w:trPr>
        <w:tc>
          <w:tcPr>
            <w:tcW w:w="40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(In thousands)</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46,627</w:t>
            </w:r>
          </w:p>
        </w:tc>
        <w:tc>
          <w:tcPr>
            <w:tcW w:w="3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53,087</w:t>
            </w:r>
          </w:p>
        </w:tc>
      </w:tr>
      <w:tr>
        <w:trPr>
          <w:trHeight w:val="223"/>
        </w:trPr>
        <w:tc>
          <w:tcPr>
            <w:tcW w:w="4080" w:type="dxa"/>
            <w:vAlign w:val="bottom"/>
          </w:tcPr>
          <w:p>
            <w:pPr>
              <w:spacing w:after="0" w:line="216" w:lineRule="exact"/>
              <w:rPr>
                <w:sz w:val="20"/>
                <w:szCs w:val="20"/>
                <w:color w:val="auto"/>
              </w:rPr>
            </w:pPr>
            <w:r>
              <w:rPr>
                <w:rFonts w:ascii="Arial" w:cs="Arial" w:eastAsia="Arial" w:hAnsi="Arial"/>
                <w:sz w:val="16"/>
                <w:szCs w:val="16"/>
                <w:color w:val="auto"/>
              </w:rPr>
              <w:t xml:space="preserve">Non-performing TDR’s </w:t>
            </w:r>
            <w:r>
              <w:rPr>
                <w:rFonts w:ascii="Arial" w:cs="Arial" w:eastAsia="Arial" w:hAnsi="Arial"/>
                <w:sz w:val="25"/>
                <w:szCs w:val="25"/>
                <w:color w:val="auto"/>
                <w:vertAlign w:val="superscript"/>
              </w:rPr>
              <w:t>(2)</w:t>
            </w: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20"/>
              <w:spacing w:after="0" w:line="216" w:lineRule="exact"/>
              <w:rPr>
                <w:sz w:val="20"/>
                <w:szCs w:val="20"/>
                <w:color w:val="auto"/>
              </w:rPr>
            </w:pPr>
            <w:r>
              <w:rPr>
                <w:rFonts w:ascii="Arial" w:cs="Arial" w:eastAsia="Arial" w:hAnsi="Arial"/>
                <w:sz w:val="16"/>
                <w:szCs w:val="16"/>
                <w:color w:val="auto"/>
              </w:rPr>
              <w:t>2,884</w:t>
            </w:r>
            <w:r>
              <w:rPr>
                <w:rFonts w:ascii="Arial" w:cs="Arial" w:eastAsia="Arial" w:hAnsi="Arial"/>
                <w:sz w:val="25"/>
                <w:szCs w:val="25"/>
                <w:color w:val="auto"/>
                <w:vertAlign w:val="superscript"/>
              </w:rPr>
              <w:t>(3)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2,958</w:t>
            </w:r>
          </w:p>
        </w:tc>
      </w:tr>
      <w:tr>
        <w:trPr>
          <w:trHeight w:val="257"/>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49,511</w:t>
            </w:r>
          </w:p>
        </w:tc>
        <w:tc>
          <w:tcPr>
            <w:tcW w:w="3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56,045</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Retail loans include mortgage and installment loan segments.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Included in non-performing assets table above.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Also includes loans on non-accrual at the time of modification until six payments are received on a timely basis.</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Non-performing loans decreased by $1.9 million during the first nine months of 2019 due principally to a decline in non-performing commercial and mortgage loans. This decline primarily reflects reduced levels of new loan defaults as well as loan charge-offs, pay-offs, negotiated transactions, and the migration of loans into other real estate. In general, stable economic conditions in our market areas, as well as our collection and resolution efforts, have resulted in a downward trend in non-performing loans. However, we are still experiencing some loan defaults, particularly related to commercial loans secured by income-producing property and mortgage loans secured by resort/vacation property.</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Non-performing loans exclude performing loans that are classified as troubled debt restructurings (“TDRs”). Performing TDRs totaled $47.8 million, or 1.8% of total Portfolio Loans, and $53.1 million, or 2.1% of total Portfolio Loans, at September 30, 2019 and December 31, 2018, respectively. The decrease in the amount of performing TDRs in the first nine months of 2019 primarily reflects pay downs and payoffs.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Other real estate and repossessed assets totaled $1.8 million and $1.3 million at September 30, 2019 and December 31, 2018, respectively. This increase is primarily due to the addition of a $0.6 million commercial office building located in Grand Rapids, Michigan during the second quarter of 2019.</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We had loan net recoveries in both the first nine months of 2019 and 2018 due primarily to recoveries on previously charged-off commercial loans. The following tables reflect activity in and the allocation of the allowance for loan losses (“AFLL”).</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Allowance for loan losses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4"/>
          </w:tcPr>
          <w:p>
            <w:pPr>
              <w:jc w:val="center"/>
              <w:ind w:left="30"/>
              <w:spacing w:after="0"/>
              <w:rPr>
                <w:sz w:val="20"/>
                <w:szCs w:val="20"/>
                <w:color w:val="auto"/>
              </w:rPr>
            </w:pPr>
            <w:r>
              <w:rPr>
                <w:rFonts w:ascii="Arial" w:cs="Arial" w:eastAsia="Arial" w:hAnsi="Arial"/>
                <w:sz w:val="18"/>
                <w:szCs w:val="18"/>
                <w:color w:val="auto"/>
                <w:w w:val="89"/>
              </w:rPr>
              <w:t>Nine months ended</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3"/>
            <w:vMerge w:val="restart"/>
          </w:tcPr>
          <w:p>
            <w:pPr>
              <w:jc w:val="right"/>
              <w:ind w:right="1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560" w:type="dxa"/>
            <w:vAlign w:val="bottom"/>
            <w:gridSpan w:val="4"/>
          </w:tcPr>
          <w:p>
            <w:pPr>
              <w:jc w:val="center"/>
              <w:ind w:left="30"/>
              <w:spacing w:after="0"/>
              <w:rPr>
                <w:sz w:val="20"/>
                <w:szCs w:val="20"/>
                <w:color w:val="auto"/>
              </w:rPr>
            </w:pPr>
            <w:r>
              <w:rPr>
                <w:rFonts w:ascii="Arial" w:cs="Arial" w:eastAsia="Arial" w:hAnsi="Arial"/>
                <w:sz w:val="18"/>
                <w:szCs w:val="18"/>
                <w:color w:val="auto"/>
                <w:w w:val="88"/>
              </w:rPr>
              <w:t>September 30,</w:t>
            </w:r>
          </w:p>
        </w:tc>
        <w:tc>
          <w:tcPr>
            <w:tcW w:w="940" w:type="dxa"/>
            <w:vAlign w:val="bottom"/>
            <w:gridSpan w:val="4"/>
            <w:vMerge w:val="restart"/>
          </w:tcPr>
          <w:p>
            <w:pPr>
              <w:jc w:val="right"/>
              <w:spacing w:after="0"/>
              <w:rPr>
                <w:sz w:val="20"/>
                <w:szCs w:val="20"/>
                <w:color w:val="auto"/>
              </w:rPr>
            </w:pPr>
            <w:r>
              <w:rPr>
                <w:rFonts w:ascii="Arial" w:cs="Arial" w:eastAsia="Arial" w:hAnsi="Arial"/>
                <w:sz w:val="18"/>
                <w:szCs w:val="18"/>
                <w:color w:val="auto"/>
              </w:rPr>
              <w:t>2018</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vMerge w:val="continue"/>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3"/>
          </w:tcPr>
          <w:p>
            <w:pPr>
              <w:jc w:val="right"/>
              <w:ind w:right="110"/>
              <w:spacing w:after="0" w:line="201" w:lineRule="exact"/>
              <w:rPr>
                <w:sz w:val="20"/>
                <w:szCs w:val="20"/>
                <w:color w:val="auto"/>
              </w:rPr>
            </w:pPr>
            <w:r>
              <w:rPr>
                <w:rFonts w:ascii="Arial" w:cs="Arial" w:eastAsia="Arial" w:hAnsi="Arial"/>
                <w:sz w:val="18"/>
                <w:szCs w:val="18"/>
                <w:color w:val="auto"/>
              </w:rPr>
              <w:t>Unfunded</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Unfunded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Loans</w:t>
            </w:r>
          </w:p>
        </w:tc>
        <w:tc>
          <w:tcPr>
            <w:tcW w:w="320" w:type="dxa"/>
            <w:vAlign w:val="bottom"/>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Commitments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Loans</w:t>
            </w:r>
          </w:p>
        </w:tc>
        <w:tc>
          <w:tcPr>
            <w:tcW w:w="320" w:type="dxa"/>
            <w:vAlign w:val="bottom"/>
            <w:gridSpan w:val="2"/>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Commitments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7"/>
          </w:tcPr>
          <w:p>
            <w:pPr>
              <w:jc w:val="center"/>
              <w:ind w:right="720"/>
              <w:spacing w:after="0"/>
              <w:rPr>
                <w:sz w:val="20"/>
                <w:szCs w:val="20"/>
                <w:color w:val="auto"/>
              </w:rPr>
            </w:pPr>
            <w:r>
              <w:rPr>
                <w:rFonts w:ascii="Arial" w:cs="Arial" w:eastAsia="Arial" w:hAnsi="Arial"/>
                <w:sz w:val="18"/>
                <w:szCs w:val="18"/>
                <w:color w:val="auto"/>
                <w:w w:val="91"/>
              </w:rPr>
              <w:t>(Dollars in thousands)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24,888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22,587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Additions (deductions)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loan losses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Recoveries credited to allowance</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3,109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3,768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charged against the allowance</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(2,894)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(2,866)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Additions included in non-interest expense</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341</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26,148</w:t>
            </w:r>
          </w:p>
        </w:tc>
        <w:tc>
          <w:tcPr>
            <w:tcW w:w="3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24,401</w:t>
            </w:r>
          </w:p>
        </w:tc>
        <w:tc>
          <w:tcPr>
            <w:tcW w:w="3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w w:val="99"/>
              </w:rPr>
              <w:t>Net loans charged against the allowance to average Portfolio Loans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96"/>
        </w:trPr>
        <w:tc>
          <w:tcPr>
            <w:tcW w:w="5380" w:type="dxa"/>
            <w:vAlign w:val="bottom"/>
            <w:gridSpan w:val="2"/>
          </w:tcPr>
          <w:p>
            <w:pPr>
              <w:spacing w:after="0"/>
              <w:rPr>
                <w:sz w:val="20"/>
                <w:szCs w:val="20"/>
                <w:color w:val="auto"/>
              </w:rPr>
            </w:pPr>
            <w:r>
              <w:rPr>
                <w:rFonts w:ascii="Arial" w:cs="Arial" w:eastAsia="Arial" w:hAnsi="Arial"/>
                <w:sz w:val="22"/>
                <w:szCs w:val="22"/>
                <w:b w:val="1"/>
                <w:bCs w:val="1"/>
                <w:color w:val="auto"/>
              </w:rPr>
              <w:t>Allocation of the Allowance for Loan Losses</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gridSpan w:val="4"/>
            <w:vMerge w:val="restart"/>
          </w:tcPr>
          <w:p>
            <w:pPr>
              <w:jc w:val="right"/>
              <w:ind w:right="105"/>
              <w:spacing w:after="0"/>
              <w:rPr>
                <w:sz w:val="20"/>
                <w:szCs w:val="20"/>
                <w:color w:val="auto"/>
              </w:rPr>
            </w:pPr>
            <w:r>
              <w:rPr>
                <w:rFonts w:ascii="Arial" w:cs="Arial" w:eastAsia="Arial" w:hAnsi="Arial"/>
                <w:sz w:val="18"/>
                <w:szCs w:val="18"/>
                <w:color w:val="auto"/>
                <w:w w:val="89"/>
              </w:rPr>
              <w:t>September 30,</w:t>
            </w:r>
          </w:p>
        </w:tc>
        <w:tc>
          <w:tcPr>
            <w:tcW w:w="1260" w:type="dxa"/>
            <w:vAlign w:val="bottom"/>
            <w:gridSpan w:val="4"/>
            <w:vMerge w:val="restart"/>
          </w:tcPr>
          <w:p>
            <w:pPr>
              <w:ind w:left="160"/>
              <w:spacing w:after="0"/>
              <w:rPr>
                <w:sz w:val="20"/>
                <w:szCs w:val="20"/>
                <w:color w:val="auto"/>
              </w:rPr>
            </w:pPr>
            <w:r>
              <w:rPr>
                <w:rFonts w:ascii="Arial" w:cs="Arial" w:eastAsia="Arial" w:hAnsi="Arial"/>
                <w:sz w:val="18"/>
                <w:szCs w:val="18"/>
                <w:color w:val="auto"/>
                <w:w w:val="95"/>
              </w:rPr>
              <w:t>December 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4"/>
            <w:vMerge w:val="continue"/>
          </w:tcPr>
          <w:p>
            <w:pPr>
              <w:spacing w:after="0"/>
              <w:rPr>
                <w:sz w:val="16"/>
                <w:szCs w:val="16"/>
                <w:color w:val="auto"/>
              </w:rPr>
            </w:pPr>
          </w:p>
        </w:tc>
        <w:tc>
          <w:tcPr>
            <w:tcW w:w="126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6"/>
          </w:tcPr>
          <w:p>
            <w:pPr>
              <w:jc w:val="right"/>
              <w:ind w:right="740"/>
              <w:spacing w:after="0"/>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Specific allocations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5,779</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adversely rated commercial loans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45"/>
              <w:spacing w:after="0"/>
              <w:rPr>
                <w:sz w:val="20"/>
                <w:szCs w:val="20"/>
                <w:color w:val="auto"/>
              </w:rPr>
            </w:pPr>
            <w:r>
              <w:rPr>
                <w:rFonts w:ascii="Arial" w:cs="Arial" w:eastAsia="Arial" w:hAnsi="Arial"/>
                <w:sz w:val="18"/>
                <w:szCs w:val="18"/>
                <w:color w:val="auto"/>
              </w:rPr>
              <w:t>3,022</w:t>
            </w:r>
          </w:p>
        </w:tc>
        <w:tc>
          <w:tcPr>
            <w:tcW w:w="4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1,861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Historical loss allocations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8,752</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Additional allocations based on subjective factors</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color w:val="auto"/>
              </w:rPr>
              <w:t>8,595</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8,925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26,148</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24,888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Some loans will not be repaid in full. Therefore, an AFLL is maintained at a level which represents our best estimate of losses incurred. In determining the AFLL and the related provision for loan losses, we consider four principal elements: (i) specific allocations based upon probable losses identified during the review of the loan portfolio, (ii) allocations established for other adversely rated commercial loans, (iii) allocations based principally on historical loan loss experience, and (iv) additional allowances based on subjective factors, including local and general economic business factors and trends, portfolio concentrations and changes in the size and/or the general terms of the loan portfolios.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first AFLL element (specific allocations) reflects our estimate of probable incurred losses based upon our systematic review of specific loans. These estimates are based upon a number of factors, such as payment history, financial condition of the borrower, discounted collateral exposure and discounted cash flow analysis. Impaired commercial, mortgage and installment loans are allocated AFLL amounts using this first element. The second AFLL element (other adversely rated commercial loans) reflects the application of our commercial loan rating system. This rating system is similar to those employed by state and federal banking regulators. Commercial loans that are rated below a certain predetermined classification are assigned a loss allocation factor for each loan classification category that is based upon a historical analysis of both the probability of default and the expected loss rate (“loss given default”). The lower the rating assigned to a loan or category, the greater the allocation percentage that is applied. The third AFLL element (historical loss allocations) is determined by assigning allocations to higher rated (“non-watch credit”) commercial loans using a probability of default and loss given default similar to the second AFLL element and to homogenous mortgage and installment loan groups based upon borrower credit score and portfolio segment. For homogenous mortgage and installment loans a probability of default for each homogenous pool is calculated by way of credit score migration. Historical loss data for each homogenous pool coupled with the associated probability of default is utilized to calculate an expected loss allocation rate. The fourth AFLL element (additional allocations based on subjective factors) is based on factors that cannot be associated with a specific credit or loan category and reflects our attempt to ensure that the overall AFLL appropriately reflects a margin for the imprecision necessarily inherent in the estimates of expected credit losses. We consider a number of subjective factors when determining this fourth element, including local and general economic business factors and trends, portfolio concentrations and changes in the size, mix and the general terms of the overall loan portfolio.</w:t>
      </w:r>
    </w:p>
    <w:p>
      <w:pPr>
        <w:spacing w:after="0" w:line="19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Increases in the AFLL are recorded by a provision for loan losses charged to expense. Although we periodically allocate portions of the AFLL to specific loans and loan portfolios, the entire AFLL is available for incurred losses. We generally charge-off commercial, homogenous residential mortgage and installment loans when they are deemed uncollectible or reach a predetermined number of days past due based on product, industry practice and other factors. Collection efforts may continue and recoveries may occur after a loan is charged against the AFLL.</w:t>
      </w:r>
    </w:p>
    <w:p>
      <w:pPr>
        <w:spacing w:after="0" w:line="215"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While we use relevant information to recognize losses on loans, additional provisions for related losses may be necessary based on changes in economic conditions, customer circumstances and other credit risk factors.</w:t>
      </w:r>
    </w:p>
    <w:p>
      <w:pPr>
        <w:spacing w:after="0" w:line="20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AFLL increased $1.3 million to $26.1 million at September 30, 2019 from $24.9 million at December 31, 2018 and was equal to 0.96% of total Portfolio Loans at both September 30, 2019 and December 31, 2018, respectively.</w:t>
      </w:r>
    </w:p>
    <w:p>
      <w:pPr>
        <w:spacing w:after="0" w:line="20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During the first quarter of 2019, we deployed a third-party software solution (we previously used spreadsheet software) to assist in the determination of our AFLL. This new third-party software will also assist us in moving to the expected loss framework that is required to be implemented on January 1, 2020. Although the use of this new third-party software did not have any material impact on our overall AFLL, it did result in some classification shifts from the AFLL related to subjective factors into the AFLL related to historical losses as the new software model allowed us to capture longer historical look-back periods (previously this was being captured in the subjective portion of the AFLL).</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Two of the four components of the AFLL outlined above increased during the first nine months of 2019. The AFLL related to specific loans decreased $0.5 million during the first nine months of 2019 due primarily to a $4.9 million decline in the amount of such loans. The AFLL related to other adversely rated commercial loans increased $1.2 million during the first nine months of 2019, primarily due to an increase in the balance of such loans included in this component to $67.2 million at September 30, 2019 from $44.7 million at December 31, 2018. The increase in other adversely rated commercial loans was primarily in early watch credit categories and these loans are largely performing. We do not believe that we will experience any significant loan losses as a result of this rise in other adversely rated commercial loans. The AFLL related to historical losses increased $1.0 million during the first nine months of 2019, and the AFLL related to subjective factors decreased $0.3 million during the first nine months of 2019, due in part to the classification shifts discussed above, as well as loan growth, for the AFLL related to historical losses.</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Deposits and borrowings. </w:t>
      </w:r>
      <w:r>
        <w:rPr>
          <w:rFonts w:ascii="Arial" w:cs="Arial" w:eastAsia="Arial" w:hAnsi="Arial"/>
          <w:sz w:val="22"/>
          <w:szCs w:val="22"/>
          <w:color w:val="auto"/>
        </w:rPr>
        <w:t>Historically, the loyalty of our customer base has allowed us to price deposits competitively,</w:t>
      </w:r>
      <w:r>
        <w:rPr>
          <w:rFonts w:ascii="Arial" w:cs="Arial" w:eastAsia="Arial" w:hAnsi="Arial"/>
          <w:sz w:val="22"/>
          <w:szCs w:val="22"/>
          <w:b w:val="1"/>
          <w:bCs w:val="1"/>
          <w:color w:val="auto"/>
        </w:rPr>
        <w:t xml:space="preserve"> </w:t>
      </w:r>
      <w:r>
        <w:rPr>
          <w:rFonts w:ascii="Arial" w:cs="Arial" w:eastAsia="Arial" w:hAnsi="Arial"/>
          <w:sz w:val="22"/>
          <w:szCs w:val="22"/>
          <w:color w:val="auto"/>
        </w:rPr>
        <w:t>contributing to a net interest margin that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Deposits totaled $3.05 billion and $2.91 billion at September 30, 2019 and December 31, 2018, respectively. The $138.9 million increase in deposits during the first nine months of 2019 is primarily due to growth in reciprocal deposits. Reciprocal deposits totaled $416.2 million and $182.1 million at September 30, 2019 and December 31, 2018, respectively. These deposits represent demand, money market and time deposits from our customers that have been placed through Promontory Interfinancial Network’s Insured Cash Sweep</w:t>
      </w:r>
      <w:r>
        <w:rPr>
          <w:rFonts w:ascii="Arial" w:cs="Arial" w:eastAsia="Arial" w:hAnsi="Arial"/>
          <w:sz w:val="33"/>
          <w:szCs w:val="33"/>
          <w:color w:val="auto"/>
          <w:vertAlign w:val="superscript"/>
        </w:rPr>
        <w:t>®</w:t>
      </w:r>
      <w:r>
        <w:rPr>
          <w:rFonts w:ascii="Arial" w:cs="Arial" w:eastAsia="Arial" w:hAnsi="Arial"/>
          <w:sz w:val="20"/>
          <w:szCs w:val="20"/>
          <w:color w:val="auto"/>
        </w:rPr>
        <w:t xml:space="preserve"> service and Certificate of Deposit Account Registry Service</w:t>
      </w:r>
      <w:r>
        <w:rPr>
          <w:rFonts w:ascii="Arial" w:cs="Arial" w:eastAsia="Arial" w:hAnsi="Arial"/>
          <w:sz w:val="33"/>
          <w:szCs w:val="33"/>
          <w:color w:val="auto"/>
          <w:vertAlign w:val="superscript"/>
        </w:rPr>
        <w:t>®</w:t>
      </w:r>
      <w:r>
        <w:rPr>
          <w:rFonts w:ascii="Arial" w:cs="Arial" w:eastAsia="Arial" w:hAnsi="Arial"/>
          <w:sz w:val="20"/>
          <w:szCs w:val="20"/>
          <w:color w:val="auto"/>
        </w:rPr>
        <w:t>. These services allow our customers to access multi-million dollar FDIC deposit insurance on deposit balances greater than the standard FDIC insurance maximum. The significant increase in reciprocal deposits is due in part to an automated sweep product that we introduced in mid-2018 as well as the marketing and sales efforts of our treasury management team.</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cannot be sure that we will be able to maintain our current level of core deposits. In particular, those deposits that are uninsured may be susceptible to outflow. At September 30, 2019, we had approximately $554.3 million of uninsured deposits. A reduction in core deposits would likely increase our need to rely on wholesale funding sources.</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have also implemented strategies that incorporate using federal funds purchased, other borrowings and Brokered CDs to fund a portion of our interest-earning assets. The use of such alternate sources of funds supplements our core deposits and is also an integral part of our asset/liability management efforts.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Other borrowings, comprised primarily of advances from the FHLB and federal funds sold, totaled $64.0 million and $25.7 million at September 30, 2019 and December 31, 2018, respectively.</w:t>
      </w:r>
    </w:p>
    <w:p>
      <w:pPr>
        <w:spacing w:after="0" w:line="20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As described above, we utilize wholesale funding, including federal funds purchased, FHLB borrowings and Brokered CDs to augment our core deposits and fund a portion of our assets. At September 30, 2019, our use of such wholesale funding sources (including reciprocal deposits) amounted to approximately $679.9 million, or 21.8% of total funding (deposits and all borrowings, excluding subordinated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We historically employed derivative financial instruments to manage our exposure to changes in interest rates. During the first nine months of 2019 and 2018, we entered into $55.4 million and $16.6 million (aggregate notional amounts), respectively, of interest rate swaps with commercial loan customers, which were offset with interest rate swaps that the Bank entered into with a broker-dealer. We recorded $0.7 million and $0.4 million of fee income related to these transactions during the first nine months of 2019 and 2018, respectively. See note #6 to the Condensed Consolidated Financial Statements included within this report for more information on our derivative financial instruments.</w:t>
      </w:r>
    </w:p>
    <w:p>
      <w:pPr>
        <w:spacing w:after="0" w:line="198" w:lineRule="exact"/>
        <w:rPr>
          <w:sz w:val="20"/>
          <w:szCs w:val="20"/>
          <w:color w:val="auto"/>
        </w:rPr>
      </w:pPr>
    </w:p>
    <w:p>
      <w:pPr>
        <w:jc w:val="both"/>
        <w:spacing w:after="0" w:line="278" w:lineRule="auto"/>
        <w:rPr>
          <w:sz w:val="20"/>
          <w:szCs w:val="20"/>
          <w:color w:val="auto"/>
        </w:rPr>
      </w:pPr>
      <w:r>
        <w:rPr>
          <w:rFonts w:ascii="Arial" w:cs="Arial" w:eastAsia="Arial" w:hAnsi="Arial"/>
          <w:sz w:val="19"/>
          <w:szCs w:val="19"/>
          <w:b w:val="1"/>
          <w:bCs w:val="1"/>
          <w:color w:val="auto"/>
        </w:rPr>
        <w:t xml:space="preserve">Liquidity and capital resources. </w:t>
      </w:r>
      <w:r>
        <w:rPr>
          <w:rFonts w:ascii="Arial" w:cs="Arial" w:eastAsia="Arial" w:hAnsi="Arial"/>
          <w:sz w:val="19"/>
          <w:szCs w:val="19"/>
          <w:color w:val="auto"/>
        </w:rPr>
        <w:t>Liquidity risk is the risk of being unable to timely meet obligations as they come due at a</w:t>
      </w:r>
      <w:r>
        <w:rPr>
          <w:rFonts w:ascii="Arial" w:cs="Arial" w:eastAsia="Arial" w:hAnsi="Arial"/>
          <w:sz w:val="19"/>
          <w:szCs w:val="19"/>
          <w:b w:val="1"/>
          <w:bCs w:val="1"/>
          <w:color w:val="auto"/>
        </w:rPr>
        <w:t xml:space="preserve"> </w:t>
      </w:r>
      <w:r>
        <w:rPr>
          <w:rFonts w:ascii="Arial" w:cs="Arial" w:eastAsia="Arial" w:hAnsi="Arial"/>
          <w:sz w:val="19"/>
          <w:szCs w:val="19"/>
          <w:color w:val="auto"/>
        </w:rPr>
        <w:t>reasonable funding cost or without incurring unacceptable losses. Our liquidity management involves the measurement and monitoring of a variety of sources and uses of funds. Our Condensed Consolidated Statements of Cash Flows categorize these sources and uses into operating, investing and financing activities. We primarily focus our liquidity management on maintaining adequate levels of liquid assets (primarily funds on deposit with the FRB and certain securities available for sale) as well as developing access to a variety of borrowing sources to supplement our deposit gathering activities and provide funds for purchasing securities available for sale or originating Portfolio Loans as well as to be able to respond to unforeseen liquidity needs.</w:t>
      </w:r>
    </w:p>
    <w:p>
      <w:pPr>
        <w:spacing w:after="0" w:line="17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Our primary sources of funds include our deposit base, secured advances from the FHLB, federal funds purchased borrowing facilities with other banks, and access to the capital markets (for Brokered CDs).</w:t>
      </w:r>
    </w:p>
    <w:p>
      <w:pPr>
        <w:spacing w:after="0" w:line="200" w:lineRule="exact"/>
        <w:rPr>
          <w:sz w:val="20"/>
          <w:szCs w:val="20"/>
          <w:color w:val="auto"/>
        </w:rPr>
      </w:pPr>
    </w:p>
    <w:p>
      <w:pPr>
        <w:jc w:val="both"/>
        <w:ind w:right="100"/>
        <w:spacing w:after="0" w:line="279" w:lineRule="auto"/>
        <w:rPr>
          <w:sz w:val="20"/>
          <w:szCs w:val="20"/>
          <w:color w:val="auto"/>
        </w:rPr>
      </w:pPr>
      <w:r>
        <w:rPr>
          <w:rFonts w:ascii="Arial" w:cs="Arial" w:eastAsia="Arial" w:hAnsi="Arial"/>
          <w:sz w:val="19"/>
          <w:szCs w:val="19"/>
          <w:color w:val="auto"/>
        </w:rPr>
        <w:t>At September 30, 2019, we had $508.1 million of time deposits that mature in the next 12 months. Historically, a majority of these maturing time deposits are renewed by our customers. Additionally, $2.43 billion of our deposits at September 30, 2019, were in 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8" w:name="page89"/>
    <w:bookmarkEnd w:id="8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highly liquid or short-term assets) to total assets, short-term liability dependence and basic surplus (defined as quick assets less volatile liabilities to total assets). Policy limits have been established for our various liquidity measurements and are monitored on a quarterly basis. In addition, we also prepare cash flow forecasts that include a variety of different scenarios.</w:t>
      </w:r>
    </w:p>
    <w:p>
      <w:pPr>
        <w:spacing w:after="0" w:line="204"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We believe that we currently have adequate liquidity at our Bank because of our cash and cash equivalents, our portfolio of securities available for sale, our access to secured advances from the FHLB and our ability to issue Brokered CDs.</w:t>
      </w:r>
    </w:p>
    <w:p>
      <w:pPr>
        <w:spacing w:after="0" w:line="178"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We also believe that the available cash on hand at the parent company (including time deposits) of approximately $16.3 million as of September 30, 2019 provides sufficient liquidity resources at the parent company to meet operating expenses, to make interest payments on the subordinated debentures, and to pay projected cash dividends on our common stock.</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Effective management of capital resources is critical to our mission to create value for our shareholders. In addition to common stock, our capital structure also currently includes cumulative trust preferred securities.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Capitalization</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40" w:type="dxa"/>
            <w:vAlign w:val="bottom"/>
          </w:tcPr>
          <w:p>
            <w:pPr>
              <w:spacing w:after="0"/>
              <w:rPr>
                <w:sz w:val="17"/>
                <w:szCs w:val="17"/>
                <w:color w:val="auto"/>
              </w:rPr>
            </w:pPr>
          </w:p>
        </w:tc>
        <w:tc>
          <w:tcPr>
            <w:tcW w:w="1280" w:type="dxa"/>
            <w:vAlign w:val="bottom"/>
            <w:gridSpan w:val="3"/>
          </w:tcPr>
          <w:p>
            <w:pPr>
              <w:jc w:val="right"/>
              <w:ind w:right="115"/>
              <w:spacing w:after="0"/>
              <w:rPr>
                <w:sz w:val="20"/>
                <w:szCs w:val="20"/>
                <w:color w:val="auto"/>
              </w:rPr>
            </w:pPr>
            <w:r>
              <w:rPr>
                <w:rFonts w:ascii="Arial" w:cs="Arial" w:eastAsia="Arial" w:hAnsi="Arial"/>
                <w:sz w:val="18"/>
                <w:szCs w:val="18"/>
                <w:color w:val="auto"/>
                <w:w w:val="89"/>
              </w:rPr>
              <w:t>September 30,</w:t>
            </w:r>
          </w:p>
        </w:tc>
        <w:tc>
          <w:tcPr>
            <w:tcW w:w="80" w:type="dxa"/>
            <w:vAlign w:val="bottom"/>
          </w:tcPr>
          <w:p>
            <w:pPr>
              <w:spacing w:after="0"/>
              <w:rPr>
                <w:sz w:val="17"/>
                <w:szCs w:val="17"/>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w w:val="93"/>
              </w:rPr>
              <w:t>December 31,</w:t>
            </w:r>
          </w:p>
        </w:tc>
      </w:tr>
      <w:tr>
        <w:trPr>
          <w:trHeight w:val="237"/>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39,439</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39,388</w:t>
            </w: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Amount not qualifying as regulatory capital</w:t>
            </w: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(1,224)</w:t>
            </w:r>
          </w:p>
        </w:tc>
      </w:tr>
      <w:tr>
        <w:trPr>
          <w:trHeight w:val="223"/>
        </w:trPr>
        <w:tc>
          <w:tcPr>
            <w:tcW w:w="20" w:type="dxa"/>
            <w:vAlign w:val="bottom"/>
          </w:tcPr>
          <w:p>
            <w:pPr>
              <w:spacing w:after="0"/>
              <w:rPr>
                <w:sz w:val="19"/>
                <w:szCs w:val="19"/>
                <w:color w:val="auto"/>
              </w:rPr>
            </w:pPr>
          </w:p>
        </w:tc>
        <w:tc>
          <w:tcPr>
            <w:tcW w:w="7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Amount qualifying as regulatory capital</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38,164</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377,372</w:t>
            </w: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(8,221)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(28,270)</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(10,108)</w:t>
            </w:r>
          </w:p>
        </w:tc>
      </w:tr>
      <w:tr>
        <w:trPr>
          <w:trHeight w:val="27"/>
        </w:trPr>
        <w:tc>
          <w:tcPr>
            <w:tcW w:w="20" w:type="dxa"/>
            <w:vAlign w:val="bottom"/>
          </w:tcPr>
          <w:p>
            <w:pPr>
              <w:spacing w:after="0"/>
              <w:rPr>
                <w:sz w:val="2"/>
                <w:szCs w:val="2"/>
                <w:color w:val="auto"/>
              </w:rPr>
            </w:pPr>
          </w:p>
        </w:tc>
        <w:tc>
          <w:tcPr>
            <w:tcW w:w="76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Total shareholders’ equity</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340,245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338,994</w:t>
            </w:r>
          </w:p>
        </w:tc>
      </w:tr>
      <w:tr>
        <w:trPr>
          <w:trHeight w:val="257"/>
        </w:trPr>
        <w:tc>
          <w:tcPr>
            <w:tcW w:w="20" w:type="dxa"/>
            <w:vAlign w:val="bottom"/>
          </w:tcPr>
          <w:p>
            <w:pPr>
              <w:spacing w:after="0"/>
              <w:rPr>
                <w:sz w:val="22"/>
                <w:szCs w:val="22"/>
                <w:color w:val="auto"/>
              </w:rPr>
            </w:pPr>
          </w:p>
        </w:tc>
        <w:tc>
          <w:tcPr>
            <w:tcW w:w="7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capitalization</w:t>
            </w: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378,460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377,158</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We currently have four special purpose entities with $38.2 million of outstanding cumulative trust preferred securities as of September 30, 2019.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Condensed Consolidated Statements of Financial Condition.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FRB has issued rules regarding trust preferred securities as a component of the Tier 1 capital of bank holding companies. The aggregate amount of trust preferred securities (and certain other capital elements) are limited to 25 percent of Tier 1 capital elements, net of goodwill (net of any associated deferred tax liability). The amount of trust preferred securities and certain other elements in excess of the limit can be included in Tier 2 capital, subject to restrictions. At the parent company, all of these securities qualified as Tier 1 capital at September 30, 2019 and December 31, 2018.</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Common shareholders’ equity increased to $340.2 million at September 30, 2019, from $339.0 million at December 31, 2018, due primarily to our net income and a decrease in our accumulated other comprehensive loss that were partially offset by share repurchases and cash dividend payments. Our tangible common equity (“TCE”) totaled $306.3 million and $304.3 million, respectively, at those same dates. Our ratio of TCE to tangible assets was 8.71% and 9.17% at September 30, 2019, and December 31, 2018, respectively. TCE and the ratio of TCE to tangible assets are non-GAAP measures. TCE represents total common equity less goodwill and other intangible assets.</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In December 2018, our Board of Directors authorized a 2019 share repurchase plan. Under the terms of the original 2019 share repurchase plan, we were authorized to buy back up to 5% of our outstanding common stock. In June 2019, our Board of Directors supplemented the 2019 share repurchase plan and authorized the repurchase of up to 300,000 additional common shares. The 2019 share repurchase plan is authorized to last through December 31, 2019. During the first nine months of 2019, the Company repurchased 1,204,688 shares at a weighted average purchase price of $21.82 per share (including 25,000 shares at a weighted average purchase price of $20.09 per share in the third quarter of 2019).</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pay a quarterly cash dividend on our common stock. These dividends totaled $0.18 per share in each of the first, second and third quarters of 2019 and $0.15 per share in each of the comparable quarters in 2018. We generally favor a dividend payout ratio between 30% and 50% of net income.</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September 30, 2019 and December 31, 2018, our Bank (and holding company) continued to meet the requirements to be considered “well-capitalized” under federal regulatory standards (also see note #10 to the Condensed Consolidated Financial Statements included within this report).</w:t>
      </w:r>
    </w:p>
    <w:p>
      <w:pPr>
        <w:spacing w:after="0" w:line="207"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Asset/liability management. </w:t>
      </w:r>
      <w:r>
        <w:rPr>
          <w:rFonts w:ascii="Arial" w:cs="Arial" w:eastAsia="Arial" w:hAnsi="Arial"/>
          <w:sz w:val="22"/>
          <w:szCs w:val="22"/>
          <w:color w:val="auto"/>
        </w:rPr>
        <w:t>Interest-rate risk is created by differences in the cash flow characteristics of our assets and liabilities.</w:t>
      </w:r>
      <w:r>
        <w:rPr>
          <w:rFonts w:ascii="Arial" w:cs="Arial" w:eastAsia="Arial" w:hAnsi="Arial"/>
          <w:sz w:val="22"/>
          <w:szCs w:val="22"/>
          <w:b w:val="1"/>
          <w:bCs w:val="1"/>
          <w:color w:val="auto"/>
        </w:rPr>
        <w:t xml:space="preserve"> </w:t>
      </w:r>
      <w:r>
        <w:rPr>
          <w:rFonts w:ascii="Arial" w:cs="Arial" w:eastAsia="Arial" w:hAnsi="Arial"/>
          <w:sz w:val="22"/>
          <w:szCs w:val="22"/>
          <w:color w:val="auto"/>
        </w:rPr>
        <w:t>Options embedded in certain financial instruments, including caps on adjustable-rate loans as well as borrowers’ rights to prepay fixed-rate loans, also create interest-rate risk.</w:t>
      </w:r>
    </w:p>
    <w:p>
      <w:pPr>
        <w:spacing w:after="0" w:line="210"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Our asset/liability management efforts identify and evaluate opportunities to structure our assets and liabilities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MARKET VALUE OF PORTFOLIO EQUITY AND NET INTEREST INCOME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Market</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Value of</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Net</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Portfolio</w:t>
            </w:r>
          </w:p>
        </w:tc>
        <w:tc>
          <w:tcPr>
            <w:tcW w:w="146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Percent</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Interest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34"/>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Change in Interest Rates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Equity(1)</w:t>
            </w:r>
          </w:p>
        </w:tc>
        <w:tc>
          <w:tcPr>
            <w:tcW w:w="146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Income(2)</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74"/>
              </w:rPr>
              <w:t>in</w:t>
            </w:r>
          </w:p>
        </w:tc>
        <w:tc>
          <w:tcPr>
            <w:tcW w:w="1120" w:type="dxa"/>
            <w:vAlign w:val="bottom"/>
            <w:gridSpan w:val="2"/>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September 30, 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(Dollars</w:t>
            </w:r>
          </w:p>
        </w:tc>
        <w:tc>
          <w:tcPr>
            <w:tcW w:w="340" w:type="dxa"/>
            <w:vAlign w:val="bottom"/>
            <w:vMerge w:val="continue"/>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220" w:type="dxa"/>
            <w:vAlign w:val="bottom"/>
            <w:vMerge w:val="continue"/>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200 basis point rise</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447,100</w:t>
            </w:r>
          </w:p>
        </w:tc>
        <w:tc>
          <w:tcPr>
            <w:tcW w:w="14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125,300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100 basis point rise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455,900</w:t>
            </w:r>
          </w:p>
        </w:tc>
        <w:tc>
          <w:tcPr>
            <w:tcW w:w="1460" w:type="dxa"/>
            <w:vAlign w:val="bottom"/>
            <w:gridSpan w:val="2"/>
          </w:tcPr>
          <w:p>
            <w:pPr>
              <w:jc w:val="right"/>
              <w:ind w:right="25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124,800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Base-rate scenario</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442,600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123,400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100 basis point decline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387,700</w:t>
            </w:r>
          </w:p>
        </w:tc>
        <w:tc>
          <w:tcPr>
            <w:tcW w:w="1460" w:type="dxa"/>
            <w:vAlign w:val="bottom"/>
            <w:gridSpan w:val="2"/>
          </w:tcPr>
          <w:p>
            <w:pPr>
              <w:jc w:val="right"/>
              <w:ind w:right="190"/>
              <w:spacing w:after="0"/>
              <w:rPr>
                <w:sz w:val="20"/>
                <w:szCs w:val="20"/>
                <w:color w:val="auto"/>
              </w:rPr>
            </w:pPr>
            <w:r>
              <w:rPr>
                <w:rFonts w:ascii="Arial" w:cs="Arial" w:eastAsia="Arial" w:hAnsi="Arial"/>
                <w:sz w:val="18"/>
                <w:szCs w:val="18"/>
                <w:color w:val="auto"/>
              </w:rPr>
              <w:t>(12.40)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119,500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b w:val="1"/>
                <w:bCs w:val="1"/>
                <w:color w:val="auto"/>
              </w:rPr>
              <w:t>December 31, 2018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200 basis point rise</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481,100</w:t>
            </w:r>
          </w:p>
        </w:tc>
        <w:tc>
          <w:tcPr>
            <w:tcW w:w="1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126,200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100 basis point rise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495,400</w:t>
            </w:r>
          </w:p>
        </w:tc>
        <w:tc>
          <w:tcPr>
            <w:tcW w:w="1460" w:type="dxa"/>
            <w:vAlign w:val="bottom"/>
            <w:gridSpan w:val="2"/>
          </w:tcPr>
          <w:p>
            <w:pPr>
              <w:jc w:val="right"/>
              <w:ind w:right="190"/>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124,800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Base-rate scenario</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497,900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122,200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100 basis point decline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482,800</w:t>
            </w:r>
          </w:p>
        </w:tc>
        <w:tc>
          <w:tcPr>
            <w:tcW w:w="1460" w:type="dxa"/>
            <w:vAlign w:val="bottom"/>
            <w:gridSpan w:val="2"/>
          </w:tcPr>
          <w:p>
            <w:pPr>
              <w:jc w:val="right"/>
              <w:ind w:right="19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119,600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08902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21" w:lineRule="exact"/>
        <w:rPr>
          <w:sz w:val="20"/>
          <w:szCs w:val="20"/>
          <w:color w:val="auto"/>
        </w:rPr>
      </w:pPr>
    </w:p>
    <w:p>
      <w:pPr>
        <w:jc w:val="both"/>
        <w:ind w:left="340" w:hanging="332"/>
        <w:spacing w:after="0" w:line="256"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ind w:left="340" w:hanging="332"/>
        <w:spacing w:after="0" w:line="290"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Simulation analyses calculate the change in net interest income under immediate parallel shifts in interest rates over the next twelve months, based upon a static statement of financial condition, which includes debt and related financial derivative instruments, and do not consider loan fees.</w:t>
      </w:r>
    </w:p>
    <w:p>
      <w:pPr>
        <w:spacing w:after="0" w:line="175" w:lineRule="exact"/>
        <w:rPr>
          <w:sz w:val="20"/>
          <w:szCs w:val="20"/>
          <w:color w:val="auto"/>
        </w:rPr>
      </w:pPr>
    </w:p>
    <w:p>
      <w:pPr>
        <w:jc w:val="both"/>
        <w:spacing w:after="0" w:line="280" w:lineRule="auto"/>
        <w:rPr>
          <w:sz w:val="20"/>
          <w:szCs w:val="20"/>
          <w:color w:val="auto"/>
        </w:rPr>
      </w:pPr>
      <w:r>
        <w:rPr>
          <w:rFonts w:ascii="Arial" w:cs="Arial" w:eastAsia="Arial" w:hAnsi="Arial"/>
          <w:sz w:val="21"/>
          <w:szCs w:val="21"/>
          <w:b w:val="1"/>
          <w:bCs w:val="1"/>
          <w:color w:val="auto"/>
        </w:rPr>
        <w:t xml:space="preserve">Accounting standards update. </w:t>
      </w:r>
      <w:r>
        <w:rPr>
          <w:rFonts w:ascii="Arial" w:cs="Arial" w:eastAsia="Arial" w:hAnsi="Arial"/>
          <w:sz w:val="21"/>
          <w:szCs w:val="21"/>
          <w:color w:val="auto"/>
        </w:rPr>
        <w:t>See note #2 to the Condensed Consolidated Financial Statements included elsewhere in this</w:t>
      </w:r>
      <w:r>
        <w:rPr>
          <w:rFonts w:ascii="Arial" w:cs="Arial" w:eastAsia="Arial" w:hAnsi="Arial"/>
          <w:sz w:val="21"/>
          <w:szCs w:val="21"/>
          <w:b w:val="1"/>
          <w:bCs w:val="1"/>
          <w:color w:val="auto"/>
        </w:rPr>
        <w:t xml:space="preserve"> </w:t>
      </w:r>
      <w:r>
        <w:rPr>
          <w:rFonts w:ascii="Arial" w:cs="Arial" w:eastAsia="Arial" w:hAnsi="Arial"/>
          <w:sz w:val="21"/>
          <w:szCs w:val="21"/>
          <w:color w:val="auto"/>
        </w:rPr>
        <w:t>report for details on recently issued accounting pronouncements and their impact on our financial statements.</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9"/>
          <w:szCs w:val="19"/>
          <w:b w:val="1"/>
          <w:bCs w:val="1"/>
          <w:color w:val="auto"/>
        </w:rPr>
        <w:t xml:space="preserve">Fair valuation of financial instruments. </w:t>
      </w:r>
      <w:r>
        <w:rPr>
          <w:rFonts w:ascii="Arial" w:cs="Arial" w:eastAsia="Arial" w:hAnsi="Arial"/>
          <w:sz w:val="19"/>
          <w:szCs w:val="19"/>
          <w:color w:val="auto"/>
        </w:rPr>
        <w:t>Financial Accounting Standards Board (“FASB”) Accounting Standards Codification</w:t>
      </w:r>
      <w:r>
        <w:rPr>
          <w:rFonts w:ascii="Arial" w:cs="Arial" w:eastAsia="Arial" w:hAnsi="Arial"/>
          <w:sz w:val="19"/>
          <w:szCs w:val="19"/>
          <w:b w:val="1"/>
          <w:bCs w:val="1"/>
          <w:color w:val="auto"/>
        </w:rPr>
        <w:t xml:space="preserve"> </w:t>
      </w:r>
      <w:r>
        <w:rPr>
          <w:rFonts w:ascii="Arial" w:cs="Arial" w:eastAsia="Arial" w:hAnsi="Arial"/>
          <w:sz w:val="19"/>
          <w:szCs w:val="19"/>
          <w:color w:val="auto"/>
        </w:rPr>
        <w:t>(“ASC”) topic 820 - “Fair Value Measurements and Disclosures” (“FASB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6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Certain equity securities (at December 31, 2018), securities available for sale, loans held for sale, carried at fair value, derivatives and capitalized mortgage loan servicing rights are financial instruments recorded at fair value on a recurring basis. Additionally, from time to time, we may be required to record at fair value other financial assets on a nonrecurring basis, such as loans held for investment and certain other assets. These nonrecurring fair value adjustments typically involve application of lower of cost or fair value accounting or write-downs of individual assets. See note #11 to the Condensed Consolidated Financial Statements included within this report for a complete discussion on our use of fair valuation of financial instruments and the related measurement techniques.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w:t>
      </w:r>
      <w:r>
        <w:rPr>
          <w:rFonts w:ascii="Arial" w:cs="Arial" w:eastAsia="Arial" w:hAnsi="Arial"/>
          <w:sz w:val="14"/>
          <w:szCs w:val="14"/>
          <w:b w:val="1"/>
          <w:bCs w:val="1"/>
          <w:color w:val="auto"/>
        </w:rPr>
        <w:t>ITIGATION</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ATTERS</w:t>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aggregate amount we have accrued for losses we consider probable as a result of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 Risks associated with the likelihood that we will not collect the full amount owed to us, net of reserves, are disclosed elsewhere in this report.</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RITICAL</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OLICIES</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Our accounting and reporting policies are in accordance with accounting principles generally accepted in the United States of America and conform to general practices within the banking industry. Accounting and reporting policies for the AFLL and capitalized mortgage loan servicing rights are deemed critical since they involve the use of estimates and require significant management judgments. Application of assumptions different than those that we have used could result in material changes in our consolidated financial position or results of operations. There have been no material changes to our critical accounting policies as disclosed in our Annual Report on Form 10-K for the year ended December 31, 2018.</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Item 3.</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Q</w:t>
      </w:r>
      <w:r>
        <w:rPr>
          <w:rFonts w:ascii="Arial" w:cs="Arial" w:eastAsia="Arial" w:hAnsi="Arial"/>
          <w:sz w:val="14"/>
          <w:szCs w:val="14"/>
          <w:b w:val="1"/>
          <w:bCs w:val="1"/>
          <w:color w:val="auto"/>
        </w:rPr>
        <w:t>UANTITATIVE AND</w:t>
      </w:r>
      <w:r>
        <w:rPr>
          <w:rFonts w:ascii="Arial" w:cs="Arial" w:eastAsia="Arial" w:hAnsi="Arial"/>
          <w:sz w:val="22"/>
          <w:szCs w:val="22"/>
          <w:b w:val="1"/>
          <w:bCs w:val="1"/>
          <w:color w:val="auto"/>
        </w:rPr>
        <w:t xml:space="preserve"> Q</w:t>
      </w:r>
      <w:r>
        <w:rPr>
          <w:rFonts w:ascii="Arial" w:cs="Arial" w:eastAsia="Arial" w:hAnsi="Arial"/>
          <w:sz w:val="14"/>
          <w:szCs w:val="14"/>
          <w:b w:val="1"/>
          <w:bCs w:val="1"/>
          <w:color w:val="auto"/>
        </w:rPr>
        <w:t>UALITATIVE</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ISCLOSURES ABOUT</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ARKET</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ISK</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See applicable disclosures set forth in “Management’s Discussion and Analysis of Financial Condition and Results of Operations” in Item 2 under the caption “Asset/liability management.”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Item 4.</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ONTROLS AND</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ROCEDURES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245" w:lineRule="exact"/>
        <w:rPr>
          <w:sz w:val="20"/>
          <w:szCs w:val="20"/>
          <w:color w:val="auto"/>
        </w:rPr>
      </w:pPr>
    </w:p>
    <w:p>
      <w:pPr>
        <w:jc w:val="both"/>
        <w:ind w:left="340"/>
        <w:spacing w:after="0" w:line="297" w:lineRule="auto"/>
        <w:rPr>
          <w:sz w:val="20"/>
          <w:szCs w:val="20"/>
          <w:color w:val="auto"/>
        </w:rPr>
      </w:pPr>
      <w:r>
        <w:rPr>
          <w:rFonts w:ascii="Arial" w:cs="Arial" w:eastAsia="Arial" w:hAnsi="Arial"/>
          <w:sz w:val="19"/>
          <w:szCs w:val="19"/>
          <w:color w:val="auto"/>
        </w:rPr>
        <w:t>With the participation of management, our chief executive officer and chief financial officer, after evaluating the effectiveness of our disclosure controls and procedures (as defined in Exchange Act Rules 13a – 15(e) and 15d – 15(e)) for the period ended September 30, 2019, have concluded that, as of such date, our disclosure controls and procedures were effective.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Controls.</w:t>
      </w:r>
    </w:p>
    <w:p>
      <w:pPr>
        <w:spacing w:after="0" w:line="245" w:lineRule="exact"/>
        <w:rPr>
          <w:sz w:val="20"/>
          <w:szCs w:val="20"/>
          <w:color w:val="auto"/>
        </w:rPr>
      </w:pPr>
    </w:p>
    <w:p>
      <w:pPr>
        <w:jc w:val="both"/>
        <w:ind w:left="340"/>
        <w:spacing w:after="0" w:line="274" w:lineRule="auto"/>
        <w:rPr>
          <w:sz w:val="20"/>
          <w:szCs w:val="20"/>
          <w:color w:val="auto"/>
        </w:rPr>
      </w:pPr>
      <w:r>
        <w:rPr>
          <w:rFonts w:ascii="Arial" w:cs="Arial" w:eastAsia="Arial" w:hAnsi="Arial"/>
          <w:sz w:val="21"/>
          <w:szCs w:val="21"/>
          <w:color w:val="auto"/>
        </w:rPr>
        <w:t>During the quarter ended September 30, 2019, there were no changes in our internal control over financial reporting that materially affected, or are reasonably likely to materially affect, our internal control over financial reporting.</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Part II</w:t>
      </w:r>
    </w:p>
    <w:p>
      <w:pPr>
        <w:spacing w:after="0" w:line="24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u w:val="single" w:color="auto"/>
          <w:color w:val="auto"/>
        </w:rPr>
        <w:t>Item 1A.</w:t>
      </w:r>
      <w:r>
        <w:rPr>
          <w:sz w:val="20"/>
          <w:szCs w:val="20"/>
          <w:color w:val="auto"/>
        </w:rPr>
        <w:tab/>
      </w:r>
      <w:r>
        <w:rPr>
          <w:rFonts w:ascii="Arial" w:cs="Arial" w:eastAsia="Arial" w:hAnsi="Arial"/>
          <w:sz w:val="16"/>
          <w:szCs w:val="16"/>
          <w:u w:val="single" w:color="auto"/>
          <w:color w:val="auto"/>
        </w:rPr>
        <w:t>Risk Factors</w:t>
      </w:r>
    </w:p>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There have been no material changes to the risk factors disclosed in Item 1A. Risk Factors of our Annual Report on Form 10-K for the year ended December 31, 2018.</w:t>
      </w:r>
    </w:p>
    <w:p>
      <w:pPr>
        <w:spacing w:after="0" w:line="2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6"/>
          <w:szCs w:val="16"/>
          <w:u w:val="single" w:color="auto"/>
          <w:color w:val="auto"/>
        </w:rPr>
        <w:t>Unregistered Sales of Equity Securities and Use of Proceeds</w:t>
      </w:r>
    </w:p>
    <w:p>
      <w:pPr>
        <w:spacing w:after="0" w:line="24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Company maintains a Deferred Compensation and Stock Purchase Plan for Non-Employee Directors (the “Plan”) pursuant to which non-employee directors can elect to receive shares of the Company’s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third quarter of 2019, the Company issued 722 shares of common stock to non-employee directors on a current basis and 2,065 shares of common stock to the trust for distribution to directors on a deferred basis. These shares were issued on July 1, 2019 representing aggregate fees of $0.06 million. The shares on a current basis were issued at a price of $21.79 per share and the shares on a deferred basis were issued at a price of $19.61 per share, representing 90% of the fair value of the shares on the credit date. The price per share was the consolidated closing bid price per share of the Company’s common stock as of the date of issuance, as determined in accordance with NASDAQ Marketplace Rules. The Company issued the shares pursuant to an exemption from registration under Section 4(2) of the Securities Act of 1933 due to the fact that the issuance of the shares was made on a private basis pursuant to the Plan.</w:t>
      </w:r>
    </w:p>
    <w:p>
      <w:pPr>
        <w:spacing w:after="0" w:line="18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following table shows certain information relating to repurchases of common stock for the three-months ended September 30,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Total Number of</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0"/>
              </w:rPr>
              <w:t>Remaining</w:t>
            </w: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Shares Purchased</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2"/>
              </w:rPr>
              <w:t>Number of</w:t>
            </w: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as Part of a</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0"/>
              </w:rPr>
              <w:t>Shares Authorized</w:t>
            </w: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Total Number of</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Average Price</w:t>
            </w: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Publicly</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88"/>
              </w:rPr>
              <w:t>for Purchase</w:t>
            </w:r>
          </w:p>
        </w:tc>
      </w:tr>
      <w:tr>
        <w:trPr>
          <w:trHeight w:val="237"/>
        </w:trPr>
        <w:tc>
          <w:tcPr>
            <w:tcW w:w="20" w:type="dxa"/>
            <w:vAlign w:val="bottom"/>
          </w:tcPr>
          <w:p>
            <w:pPr>
              <w:spacing w:after="0"/>
              <w:rPr>
                <w:sz w:val="20"/>
                <w:szCs w:val="20"/>
                <w:color w:val="auto"/>
              </w:rPr>
            </w:pPr>
          </w:p>
        </w:tc>
        <w:tc>
          <w:tcPr>
            <w:tcW w:w="5420" w:type="dxa"/>
            <w:vAlign w:val="bottom"/>
          </w:tcPr>
          <w:p>
            <w:pPr>
              <w:ind w:left="2420"/>
              <w:spacing w:after="0"/>
              <w:rPr>
                <w:sz w:val="20"/>
                <w:szCs w:val="20"/>
                <w:color w:val="auto"/>
              </w:rPr>
            </w:pPr>
            <w:r>
              <w:rPr>
                <w:rFonts w:ascii="Arial" w:cs="Arial" w:eastAsia="Arial" w:hAnsi="Arial"/>
                <w:sz w:val="18"/>
                <w:szCs w:val="18"/>
                <w:color w:val="auto"/>
              </w:rPr>
              <w:t>Period</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w w:val="85"/>
              </w:rPr>
              <w:t>Shares Purchased (1)</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w w:val="96"/>
              </w:rPr>
              <w:t>Paid Per Share</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Announced Plan</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89"/>
              </w:rPr>
              <w:t>Under the Plan</w:t>
            </w:r>
          </w:p>
        </w:tc>
      </w:tr>
      <w:tr>
        <w:trPr>
          <w:trHeight w:val="216"/>
        </w:trPr>
        <w:tc>
          <w:tcPr>
            <w:tcW w:w="20" w:type="dxa"/>
            <w:vAlign w:val="bottom"/>
          </w:tcPr>
          <w:p>
            <w:pPr>
              <w:spacing w:after="0"/>
              <w:rPr>
                <w:sz w:val="18"/>
                <w:szCs w:val="18"/>
                <w:color w:val="auto"/>
              </w:rPr>
            </w:pPr>
          </w:p>
        </w:tc>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2019</w:t>
            </w:r>
          </w:p>
        </w:tc>
        <w:tc>
          <w:tcPr>
            <w:tcW w:w="16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299,298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August 2019</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25,919</w:t>
            </w:r>
          </w:p>
        </w:tc>
        <w:tc>
          <w:tcPr>
            <w:tcW w:w="5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20.09</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25,000</w:t>
            </w:r>
          </w:p>
        </w:tc>
        <w:tc>
          <w:tcPr>
            <w:tcW w:w="1440" w:type="dxa"/>
            <w:vAlign w:val="bottom"/>
          </w:tcPr>
          <w:p>
            <w:pPr>
              <w:jc w:val="right"/>
              <w:spacing w:after="0"/>
              <w:rPr>
                <w:sz w:val="20"/>
                <w:szCs w:val="20"/>
                <w:color w:val="auto"/>
              </w:rPr>
            </w:pPr>
            <w:r>
              <w:rPr>
                <w:rFonts w:ascii="Arial" w:cs="Arial" w:eastAsia="Arial" w:hAnsi="Arial"/>
                <w:sz w:val="18"/>
                <w:szCs w:val="18"/>
                <w:color w:val="auto"/>
              </w:rPr>
              <w:t>274,298</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2019</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274,298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25,919</w:t>
            </w:r>
          </w:p>
        </w:tc>
        <w:tc>
          <w:tcPr>
            <w:tcW w:w="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20.09</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25,000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274,298</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264"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August includes 919 shares withheld from the shares that would otherwise have been issued to certain officers in order to satisfy tax withholding obligations resulting from the vesting of restricted stock as well as satisfy tax withholding obligations and stock option exercise price resulting from the exercise of stock options.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u w:val="single" w:color="auto"/>
          <w:color w:val="auto"/>
        </w:rPr>
        <w:t>Item 6.</w:t>
      </w:r>
      <w:r>
        <w:rPr>
          <w:sz w:val="20"/>
          <w:szCs w:val="20"/>
          <w:color w:val="auto"/>
        </w:rPr>
        <w:tab/>
      </w:r>
      <w:r>
        <w:rPr>
          <w:rFonts w:ascii="Arial" w:cs="Arial" w:eastAsia="Arial" w:hAnsi="Arial"/>
          <w:sz w:val="17"/>
          <w:szCs w:val="17"/>
          <w:u w:val="single" w:color="auto"/>
          <w:color w:val="auto"/>
        </w:rPr>
        <w:t>Exhibits</w:t>
      </w:r>
    </w:p>
    <w:p>
      <w:pPr>
        <w:spacing w:after="0" w:line="252" w:lineRule="exact"/>
        <w:rPr>
          <w:sz w:val="20"/>
          <w:szCs w:val="20"/>
          <w:color w:val="auto"/>
        </w:rPr>
      </w:pPr>
    </w:p>
    <w:p>
      <w:pPr>
        <w:ind w:left="820" w:hanging="488"/>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following exhibits (listed by number corresponding to the Exhibit Table as Item 601 in Regulation S-K) are filed with this report:</w:t>
      </w:r>
    </w:p>
    <w:p>
      <w:pPr>
        <w:spacing w:after="0" w:line="252" w:lineRule="exact"/>
        <w:rPr>
          <w:rFonts w:ascii="Arial" w:cs="Arial" w:eastAsia="Arial" w:hAnsi="Arial"/>
          <w:sz w:val="18"/>
          <w:szCs w:val="18"/>
          <w:color w:val="auto"/>
        </w:rPr>
      </w:pPr>
    </w:p>
    <w:p>
      <w:pPr>
        <w:ind w:left="1260" w:hanging="446"/>
        <w:spacing w:after="0" w:line="258" w:lineRule="auto"/>
        <w:rPr>
          <w:rFonts w:ascii="Arial" w:cs="Arial" w:eastAsia="Arial" w:hAnsi="Arial"/>
          <w:sz w:val="18"/>
          <w:szCs w:val="18"/>
          <w:color w:val="auto"/>
        </w:rPr>
      </w:pPr>
      <w:r>
        <w:rPr>
          <w:rFonts w:ascii="Arial" w:cs="Arial" w:eastAsia="Arial" w:hAnsi="Arial"/>
          <w:sz w:val="18"/>
          <w:szCs w:val="18"/>
          <w:u w:val="single" w:color="auto"/>
          <w:color w:val="0000EE"/>
        </w:rPr>
        <w:t>31.1</w:t>
      </w:r>
      <w:r>
        <w:rPr>
          <w:rFonts w:ascii="Arial" w:cs="Arial" w:eastAsia="Arial" w:hAnsi="Arial"/>
          <w:sz w:val="18"/>
          <w:szCs w:val="18"/>
          <w:color w:val="0000EE"/>
        </w:rPr>
        <w:t xml:space="preserve"> </w:t>
      </w:r>
      <w:r>
        <w:rPr>
          <w:rFonts w:ascii="Arial" w:cs="Arial" w:eastAsia="Arial" w:hAnsi="Arial"/>
          <w:sz w:val="18"/>
          <w:szCs w:val="18"/>
          <w:color w:val="000000"/>
        </w:rPr>
        <w:t>Certificate of the Chief Executive Officer of Independent Bank Corporation pursuant to Section 302 of the Sarbanes-Oxley Act of 2002 (18</w:t>
      </w:r>
      <w:r>
        <w:rPr>
          <w:rFonts w:ascii="Arial" w:cs="Arial" w:eastAsia="Arial" w:hAnsi="Arial"/>
          <w:sz w:val="18"/>
          <w:szCs w:val="18"/>
          <w:color w:val="0000EE"/>
        </w:rPr>
        <w:t xml:space="preserve"> </w:t>
      </w:r>
      <w:r>
        <w:rPr>
          <w:rFonts w:ascii="Arial" w:cs="Arial" w:eastAsia="Arial" w:hAnsi="Arial"/>
          <w:sz w:val="18"/>
          <w:szCs w:val="18"/>
          <w:color w:val="000000"/>
        </w:rPr>
        <w:t>U.S.C. 1350).</w:t>
      </w:r>
    </w:p>
    <w:p>
      <w:pPr>
        <w:spacing w:after="0" w:line="1" w:lineRule="exact"/>
        <w:rPr>
          <w:rFonts w:ascii="Arial" w:cs="Arial" w:eastAsia="Arial" w:hAnsi="Arial"/>
          <w:sz w:val="18"/>
          <w:szCs w:val="18"/>
          <w:color w:val="auto"/>
        </w:rPr>
      </w:pPr>
    </w:p>
    <w:p>
      <w:pPr>
        <w:ind w:left="1260" w:right="60" w:hanging="446"/>
        <w:spacing w:after="0" w:line="250" w:lineRule="auto"/>
        <w:rPr>
          <w:rFonts w:ascii="Arial" w:cs="Arial" w:eastAsia="Arial" w:hAnsi="Arial"/>
          <w:sz w:val="18"/>
          <w:szCs w:val="18"/>
          <w:color w:val="auto"/>
        </w:rPr>
      </w:pPr>
      <w:r>
        <w:rPr>
          <w:rFonts w:ascii="Arial" w:cs="Arial" w:eastAsia="Arial" w:hAnsi="Arial"/>
          <w:sz w:val="18"/>
          <w:szCs w:val="18"/>
          <w:u w:val="single" w:color="auto"/>
          <w:color w:val="0000EE"/>
        </w:rPr>
        <w:t>31.2</w:t>
      </w:r>
      <w:r>
        <w:rPr>
          <w:rFonts w:ascii="Arial" w:cs="Arial" w:eastAsia="Arial" w:hAnsi="Arial"/>
          <w:sz w:val="18"/>
          <w:szCs w:val="18"/>
          <w:color w:val="0000EE"/>
        </w:rPr>
        <w:t xml:space="preserve"> </w:t>
      </w:r>
      <w:r>
        <w:rPr>
          <w:rFonts w:ascii="Arial" w:cs="Arial" w:eastAsia="Arial" w:hAnsi="Arial"/>
          <w:sz w:val="18"/>
          <w:szCs w:val="18"/>
          <w:color w:val="000000"/>
        </w:rPr>
        <w:t>Certificate of the Chief Financial Officer of Independent Bank Corporation pursuant to Section 302 of the Sarbanes-Oxley Act of 2002 (18</w:t>
      </w:r>
      <w:r>
        <w:rPr>
          <w:rFonts w:ascii="Arial" w:cs="Arial" w:eastAsia="Arial" w:hAnsi="Arial"/>
          <w:sz w:val="18"/>
          <w:szCs w:val="18"/>
          <w:color w:val="0000EE"/>
        </w:rPr>
        <w:t xml:space="preserve"> </w:t>
      </w:r>
      <w:r>
        <w:rPr>
          <w:rFonts w:ascii="Arial" w:cs="Arial" w:eastAsia="Arial" w:hAnsi="Arial"/>
          <w:sz w:val="18"/>
          <w:szCs w:val="18"/>
          <w:color w:val="000000"/>
        </w:rPr>
        <w:t>U.S.C. 1350).</w:t>
      </w:r>
    </w:p>
    <w:p>
      <w:pPr>
        <w:ind w:left="1260" w:hanging="446"/>
        <w:spacing w:after="0" w:line="250" w:lineRule="auto"/>
        <w:rPr>
          <w:rFonts w:ascii="Arial" w:cs="Arial" w:eastAsia="Arial" w:hAnsi="Arial"/>
          <w:sz w:val="18"/>
          <w:szCs w:val="18"/>
          <w:color w:val="auto"/>
        </w:rPr>
      </w:pPr>
      <w:r>
        <w:rPr>
          <w:rFonts w:ascii="Arial" w:cs="Arial" w:eastAsia="Arial" w:hAnsi="Arial"/>
          <w:sz w:val="18"/>
          <w:szCs w:val="18"/>
          <w:u w:val="single" w:color="auto"/>
          <w:color w:val="0000EE"/>
        </w:rPr>
        <w:t>32.1</w:t>
      </w:r>
      <w:r>
        <w:rPr>
          <w:rFonts w:ascii="Arial" w:cs="Arial" w:eastAsia="Arial" w:hAnsi="Arial"/>
          <w:sz w:val="18"/>
          <w:szCs w:val="18"/>
          <w:color w:val="0000EE"/>
        </w:rPr>
        <w:t xml:space="preserve"> </w:t>
      </w:r>
      <w:r>
        <w:rPr>
          <w:rFonts w:ascii="Arial" w:cs="Arial" w:eastAsia="Arial" w:hAnsi="Arial"/>
          <w:sz w:val="18"/>
          <w:szCs w:val="18"/>
          <w:color w:val="000000"/>
        </w:rPr>
        <w:t>Certificate of the Chief Executive Officer of Independent Bank Corporation pursuant to Section 906 of the Sarbanes-Oxley Act of 2002 (18</w:t>
      </w:r>
      <w:r>
        <w:rPr>
          <w:rFonts w:ascii="Arial" w:cs="Arial" w:eastAsia="Arial" w:hAnsi="Arial"/>
          <w:sz w:val="18"/>
          <w:szCs w:val="18"/>
          <w:color w:val="0000EE"/>
        </w:rPr>
        <w:t xml:space="preserve"> </w:t>
      </w:r>
      <w:r>
        <w:rPr>
          <w:rFonts w:ascii="Arial" w:cs="Arial" w:eastAsia="Arial" w:hAnsi="Arial"/>
          <w:sz w:val="18"/>
          <w:szCs w:val="18"/>
          <w:color w:val="000000"/>
        </w:rPr>
        <w:t>U.S.C. 1350).</w:t>
      </w:r>
    </w:p>
    <w:p>
      <w:pPr>
        <w:ind w:left="1260" w:right="60" w:hanging="446"/>
        <w:spacing w:after="0" w:line="250" w:lineRule="auto"/>
        <w:rPr>
          <w:rFonts w:ascii="Arial" w:cs="Arial" w:eastAsia="Arial" w:hAnsi="Arial"/>
          <w:sz w:val="18"/>
          <w:szCs w:val="18"/>
          <w:color w:val="auto"/>
        </w:rPr>
      </w:pPr>
      <w:r>
        <w:rPr>
          <w:rFonts w:ascii="Arial" w:cs="Arial" w:eastAsia="Arial" w:hAnsi="Arial"/>
          <w:sz w:val="18"/>
          <w:szCs w:val="18"/>
          <w:u w:val="single" w:color="auto"/>
          <w:color w:val="0000EE"/>
        </w:rPr>
        <w:t>32.2</w:t>
      </w:r>
      <w:r>
        <w:rPr>
          <w:rFonts w:ascii="Arial" w:cs="Arial" w:eastAsia="Arial" w:hAnsi="Arial"/>
          <w:sz w:val="18"/>
          <w:szCs w:val="18"/>
          <w:color w:val="0000EE"/>
        </w:rPr>
        <w:t xml:space="preserve"> </w:t>
      </w:r>
      <w:r>
        <w:rPr>
          <w:rFonts w:ascii="Arial" w:cs="Arial" w:eastAsia="Arial" w:hAnsi="Arial"/>
          <w:sz w:val="18"/>
          <w:szCs w:val="18"/>
          <w:color w:val="000000"/>
        </w:rPr>
        <w:t>Certificate of the Chief Financial Officer of Independent Bank Corporation pursuant to Section 906 of the Sarbanes-Oxley Act of 2002 (18</w:t>
      </w:r>
      <w:r>
        <w:rPr>
          <w:rFonts w:ascii="Arial" w:cs="Arial" w:eastAsia="Arial" w:hAnsi="Arial"/>
          <w:sz w:val="18"/>
          <w:szCs w:val="18"/>
          <w:color w:val="0000EE"/>
        </w:rPr>
        <w:t xml:space="preserve"> </w:t>
      </w:r>
      <w:r>
        <w:rPr>
          <w:rFonts w:ascii="Arial" w:cs="Arial" w:eastAsia="Arial" w:hAnsi="Arial"/>
          <w:sz w:val="18"/>
          <w:szCs w:val="18"/>
          <w:color w:val="000000"/>
        </w:rPr>
        <w:t>U.S.C. 1350).</w:t>
      </w:r>
    </w:p>
    <w:p>
      <w:pPr>
        <w:ind w:left="820"/>
        <w:spacing w:after="0"/>
        <w:rPr>
          <w:rFonts w:ascii="Arial" w:cs="Arial" w:eastAsia="Arial" w:hAnsi="Arial"/>
          <w:sz w:val="18"/>
          <w:szCs w:val="18"/>
          <w:color w:val="auto"/>
        </w:rPr>
      </w:pPr>
      <w:r>
        <w:rPr>
          <w:rFonts w:ascii="Arial" w:cs="Arial" w:eastAsia="Arial" w:hAnsi="Arial"/>
          <w:sz w:val="18"/>
          <w:szCs w:val="18"/>
          <w:color w:val="auto"/>
        </w:rPr>
        <w:t>101.INS Instance Document</w:t>
      </w:r>
    </w:p>
    <w:p>
      <w:pPr>
        <w:spacing w:after="0" w:line="9"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101.SCH XBRL Taxonomy Extension Schema Document</w:t>
      </w:r>
    </w:p>
    <w:p>
      <w:pPr>
        <w:spacing w:after="0" w:line="9"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101.CAL XBRL Taxonomy Extension Calculation Linkbase Document</w:t>
      </w:r>
    </w:p>
    <w:p>
      <w:pPr>
        <w:spacing w:after="0" w:line="9"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101.DEF XBRL Taxonomy Extension Definition Linkbase Document</w:t>
      </w:r>
    </w:p>
    <w:p>
      <w:pPr>
        <w:spacing w:after="0" w:line="9"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101.LAB XBRL Taxonomy Extension Label Linkbase Document</w:t>
      </w:r>
    </w:p>
    <w:p>
      <w:pPr>
        <w:spacing w:after="0" w:line="9"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101.PRE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-1914525</wp:posOffset>
            </wp:positionV>
            <wp:extent cx="7246620" cy="274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-1365885</wp:posOffset>
            </wp:positionV>
            <wp:extent cx="7246620" cy="274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-816610</wp:posOffset>
            </wp:positionV>
            <wp:extent cx="72466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-542290</wp:posOffset>
            </wp:positionV>
            <wp:extent cx="724662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sectPr>
      </w:pPr>
    </w:p>
    <w:bookmarkStart w:id="95" w:name="page96"/>
    <w:bookmarkEnd w:id="9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SIGNATURES</w:t>
      </w:r>
    </w:p>
    <w:p>
      <w:pPr>
        <w:spacing w:after="0" w:line="233"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November 1, 2019</w:t>
            </w:r>
          </w:p>
        </w:tc>
        <w:tc>
          <w:tcPr>
            <w:tcW w:w="1480" w:type="dxa"/>
            <w:vAlign w:val="bottom"/>
          </w:tcPr>
          <w:p>
            <w:pPr>
              <w:ind w:left="114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 Robert N. Shuster</w:t>
            </w:r>
          </w:p>
        </w:tc>
      </w:tr>
      <w:tr>
        <w:trPr>
          <w:trHeight w:val="230"/>
        </w:trPr>
        <w:tc>
          <w:tcPr>
            <w:tcW w:w="5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360" w:type="dxa"/>
            <w:vAlign w:val="bottom"/>
          </w:tcPr>
          <w:p>
            <w:pPr>
              <w:ind w:left="480"/>
              <w:spacing w:after="0"/>
              <w:rPr>
                <w:sz w:val="20"/>
                <w:szCs w:val="20"/>
                <w:color w:val="auto"/>
              </w:rPr>
            </w:pPr>
            <w:r>
              <w:rPr>
                <w:rFonts w:ascii="Arial" w:cs="Arial" w:eastAsia="Arial" w:hAnsi="Arial"/>
                <w:sz w:val="18"/>
                <w:szCs w:val="18"/>
                <w:color w:val="auto"/>
              </w:rPr>
              <w:t>Robert N. Shuster, Principal Financial Officer</w:t>
            </w:r>
          </w:p>
        </w:tc>
      </w:tr>
      <w:tr>
        <w:trPr>
          <w:trHeight w:val="438"/>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November 1, 2019</w:t>
            </w:r>
          </w:p>
        </w:tc>
        <w:tc>
          <w:tcPr>
            <w:tcW w:w="1480" w:type="dxa"/>
            <w:vAlign w:val="bottom"/>
          </w:tcPr>
          <w:p>
            <w:pPr>
              <w:ind w:left="114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 James J. Twarozynski</w:t>
            </w:r>
          </w:p>
        </w:tc>
      </w:tr>
      <w:tr>
        <w:trPr>
          <w:trHeight w:val="230"/>
        </w:trPr>
        <w:tc>
          <w:tcPr>
            <w:tcW w:w="5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360" w:type="dxa"/>
            <w:vAlign w:val="bottom"/>
          </w:tcPr>
          <w:p>
            <w:pPr>
              <w:ind w:left="480"/>
              <w:spacing w:after="0"/>
              <w:rPr>
                <w:sz w:val="20"/>
                <w:szCs w:val="20"/>
                <w:color w:val="auto"/>
              </w:rPr>
            </w:pPr>
            <w:r>
              <w:rPr>
                <w:rFonts w:ascii="Arial" w:cs="Arial" w:eastAsia="Arial" w:hAnsi="Arial"/>
                <w:sz w:val="18"/>
                <w:szCs w:val="18"/>
                <w:color w:val="auto"/>
              </w:rPr>
              <w:t>James J. Twarozynski, Principal Accounting Officer</w:t>
            </w:r>
          </w:p>
        </w:tc>
      </w:tr>
      <w:tr>
        <w:trPr>
          <w:trHeight w:val="635"/>
        </w:trPr>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480" w:type="dxa"/>
            <w:vAlign w:val="bottom"/>
          </w:tcPr>
          <w:p>
            <w:pPr>
              <w:jc w:val="right"/>
              <w:ind w:right="196"/>
              <w:spacing w:after="0"/>
              <w:rPr>
                <w:sz w:val="20"/>
                <w:szCs w:val="20"/>
                <w:color w:val="auto"/>
              </w:rPr>
            </w:pPr>
            <w:r>
              <w:rPr>
                <w:rFonts w:ascii="Arial" w:cs="Arial" w:eastAsia="Arial" w:hAnsi="Arial"/>
                <w:sz w:val="14"/>
                <w:szCs w:val="14"/>
                <w:color w:val="auto"/>
              </w:rPr>
              <w:t>95</w:t>
            </w:r>
          </w:p>
        </w:tc>
        <w:tc>
          <w:tcPr>
            <w:tcW w:w="5360" w:type="dxa"/>
            <w:vAlign w:val="bottom"/>
          </w:tcPr>
          <w:p>
            <w:pPr>
              <w:spacing w:after="0"/>
              <w:rPr>
                <w:sz w:val="24"/>
                <w:szCs w:val="24"/>
                <w:color w:val="auto"/>
              </w:rPr>
            </w:pPr>
          </w:p>
        </w:tc>
      </w:tr>
      <w:tr>
        <w:trPr>
          <w:trHeight w:val="100"/>
        </w:trPr>
        <w:tc>
          <w:tcPr>
            <w:tcW w:w="580" w:type="dxa"/>
            <w:vAlign w:val="bottom"/>
            <w:tcBorders>
              <w:bottom w:val="single" w:sz="8" w:color="auto"/>
            </w:tcBorders>
          </w:tcPr>
          <w:p>
            <w:pPr>
              <w:spacing w:after="0"/>
              <w:rPr>
                <w:sz w:val="8"/>
                <w:szCs w:val="8"/>
                <w:color w:val="auto"/>
              </w:rPr>
            </w:pPr>
          </w:p>
        </w:tc>
        <w:tc>
          <w:tcPr>
            <w:tcW w:w="40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536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21"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 William B. Kessel, certify that:</w:t>
      </w:r>
    </w:p>
    <w:p>
      <w:pPr>
        <w:spacing w:after="0" w:line="240"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Independent Bank Corporation;</w:t>
      </w:r>
    </w:p>
    <w:p>
      <w:pPr>
        <w:spacing w:after="0" w:line="23"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 w:lineRule="exact"/>
        <w:rPr>
          <w:rFonts w:ascii="Arial" w:cs="Arial" w:eastAsia="Arial" w:hAnsi="Arial"/>
          <w:sz w:val="18"/>
          <w:szCs w:val="18"/>
          <w:color w:val="auto"/>
        </w:rPr>
      </w:pPr>
    </w:p>
    <w:p>
      <w:pPr>
        <w:ind w:left="660" w:hanging="652"/>
        <w:spacing w:after="0" w:line="281"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Arial" w:cs="Arial" w:eastAsia="Arial" w:hAnsi="Arial"/>
          <w:sz w:val="16"/>
          <w:szCs w:val="16"/>
          <w:color w:val="auto"/>
        </w:rPr>
      </w:pPr>
    </w:p>
    <w:p>
      <w:pPr>
        <w:jc w:val="both"/>
        <w:ind w:left="660" w:hanging="652"/>
        <w:spacing w:after="0" w:line="250"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644"/>
        <w:spacing w:after="0" w:line="281" w:lineRule="auto"/>
        <w:tabs>
          <w:tab w:leader="none" w:pos="13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644"/>
        <w:spacing w:after="0" w:line="265" w:lineRule="auto"/>
        <w:tabs>
          <w:tab w:leader="none" w:pos="130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80" w:hanging="644"/>
        <w:spacing w:after="0" w:line="261"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INDEPENDENT BANK CORPORATION</w:t>
            </w:r>
          </w:p>
        </w:tc>
      </w:tr>
      <w:tr>
        <w:trPr>
          <w:trHeight w:val="392"/>
        </w:trPr>
        <w:tc>
          <w:tcPr>
            <w:tcW w:w="5720" w:type="dxa"/>
            <w:vAlign w:val="bottom"/>
          </w:tcPr>
          <w:p>
            <w:pPr>
              <w:spacing w:after="0"/>
              <w:rPr>
                <w:sz w:val="20"/>
                <w:szCs w:val="20"/>
                <w:color w:val="auto"/>
              </w:rPr>
            </w:pPr>
            <w:r>
              <w:rPr>
                <w:rFonts w:ascii="Arial" w:cs="Arial" w:eastAsia="Arial" w:hAnsi="Arial"/>
                <w:sz w:val="18"/>
                <w:szCs w:val="18"/>
                <w:color w:val="auto"/>
              </w:rPr>
              <w:t>Date: November 1, 2019</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/s/ William B. Kessel</w:t>
            </w:r>
          </w:p>
        </w:tc>
      </w:tr>
      <w:tr>
        <w:trPr>
          <w:trHeight w:val="20"/>
        </w:trPr>
        <w:tc>
          <w:tcPr>
            <w:tcW w:w="57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222"/>
        </w:trPr>
        <w:tc>
          <w:tcPr>
            <w:tcW w:w="5720" w:type="dxa"/>
            <w:vAlign w:val="bottom"/>
          </w:tcPr>
          <w:p>
            <w:pPr>
              <w:spacing w:after="0"/>
              <w:rPr>
                <w:sz w:val="19"/>
                <w:szCs w:val="19"/>
                <w:color w:val="auto"/>
              </w:rPr>
            </w:pPr>
          </w:p>
        </w:tc>
        <w:tc>
          <w:tcPr>
            <w:tcW w:w="5700" w:type="dxa"/>
            <w:vAlign w:val="bottom"/>
            <w:gridSpan w:val="2"/>
          </w:tcPr>
          <w:p>
            <w:pPr>
              <w:ind w:left="320"/>
              <w:spacing w:after="0"/>
              <w:rPr>
                <w:sz w:val="20"/>
                <w:szCs w:val="20"/>
                <w:color w:val="auto"/>
              </w:rPr>
            </w:pPr>
            <w:r>
              <w:rPr>
                <w:rFonts w:ascii="Arial" w:cs="Arial" w:eastAsia="Arial" w:hAnsi="Arial"/>
                <w:sz w:val="18"/>
                <w:szCs w:val="18"/>
                <w:color w:val="auto"/>
              </w:rPr>
              <w:t>William B. Kessel</w:t>
            </w:r>
          </w:p>
        </w:tc>
      </w:tr>
      <w:tr>
        <w:trPr>
          <w:trHeight w:val="230"/>
        </w:trPr>
        <w:tc>
          <w:tcPr>
            <w:tcW w:w="5720" w:type="dxa"/>
            <w:vAlign w:val="bottom"/>
          </w:tcPr>
          <w:p>
            <w:pPr>
              <w:spacing w:after="0"/>
              <w:rPr>
                <w:sz w:val="20"/>
                <w:szCs w:val="20"/>
                <w:color w:val="auto"/>
              </w:rPr>
            </w:pPr>
          </w:p>
        </w:tc>
        <w:tc>
          <w:tcPr>
            <w:tcW w:w="5700" w:type="dxa"/>
            <w:vAlign w:val="bottom"/>
            <w:gridSpan w:val="2"/>
          </w:tcPr>
          <w:p>
            <w:pPr>
              <w:ind w:left="320"/>
              <w:spacing w:after="0"/>
              <w:rPr>
                <w:sz w:val="20"/>
                <w:szCs w:val="20"/>
                <w:color w:val="auto"/>
              </w:rPr>
            </w:pPr>
            <w:r>
              <w:rPr>
                <w:rFonts w:ascii="Arial" w:cs="Arial" w:eastAsia="Arial" w:hAnsi="Arial"/>
                <w:sz w:val="18"/>
                <w:szCs w:val="18"/>
                <w:color w:val="auto"/>
              </w:rPr>
              <w:t>President and Chief Executive Officer</w:t>
            </w:r>
          </w:p>
        </w:tc>
      </w:tr>
      <w:tr>
        <w:trPr>
          <w:trHeight w:val="601"/>
        </w:trPr>
        <w:tc>
          <w:tcPr>
            <w:tcW w:w="57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 Robert N. Shuster, certify that:</w:t>
      </w:r>
    </w:p>
    <w:p>
      <w:pPr>
        <w:spacing w:after="0" w:line="240"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Independent Bank Corporation;</w:t>
      </w:r>
    </w:p>
    <w:p>
      <w:pPr>
        <w:spacing w:after="0" w:line="23"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 w:lineRule="exact"/>
        <w:rPr>
          <w:rFonts w:ascii="Arial" w:cs="Arial" w:eastAsia="Arial" w:hAnsi="Arial"/>
          <w:sz w:val="18"/>
          <w:szCs w:val="18"/>
          <w:color w:val="auto"/>
        </w:rPr>
      </w:pPr>
    </w:p>
    <w:p>
      <w:pPr>
        <w:ind w:left="660" w:hanging="652"/>
        <w:spacing w:after="0" w:line="281"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Arial" w:cs="Arial" w:eastAsia="Arial" w:hAnsi="Arial"/>
          <w:sz w:val="16"/>
          <w:szCs w:val="16"/>
          <w:color w:val="auto"/>
        </w:rPr>
      </w:pPr>
    </w:p>
    <w:p>
      <w:pPr>
        <w:jc w:val="both"/>
        <w:ind w:left="660" w:hanging="652"/>
        <w:spacing w:after="0" w:line="250"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644"/>
        <w:spacing w:after="0" w:line="281" w:lineRule="auto"/>
        <w:tabs>
          <w:tab w:leader="none" w:pos="13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644"/>
        <w:spacing w:after="0" w:line="265" w:lineRule="auto"/>
        <w:tabs>
          <w:tab w:leader="none" w:pos="1300"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80" w:hanging="644"/>
        <w:spacing w:after="0" w:line="261"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INDEPENDENT BANK CORPORATION</w:t>
            </w:r>
          </w:p>
        </w:tc>
      </w:tr>
      <w:tr>
        <w:trPr>
          <w:trHeight w:val="392"/>
        </w:trPr>
        <w:tc>
          <w:tcPr>
            <w:tcW w:w="5720" w:type="dxa"/>
            <w:vAlign w:val="bottom"/>
          </w:tcPr>
          <w:p>
            <w:pPr>
              <w:spacing w:after="0"/>
              <w:rPr>
                <w:sz w:val="20"/>
                <w:szCs w:val="20"/>
                <w:color w:val="auto"/>
              </w:rPr>
            </w:pPr>
            <w:r>
              <w:rPr>
                <w:rFonts w:ascii="Arial" w:cs="Arial" w:eastAsia="Arial" w:hAnsi="Arial"/>
                <w:sz w:val="18"/>
                <w:szCs w:val="18"/>
                <w:color w:val="auto"/>
              </w:rPr>
              <w:t>Date: November 1, 2019</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/s/ Robert N. Shuster</w:t>
            </w:r>
          </w:p>
        </w:tc>
      </w:tr>
      <w:tr>
        <w:trPr>
          <w:trHeight w:val="20"/>
        </w:trPr>
        <w:tc>
          <w:tcPr>
            <w:tcW w:w="57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222"/>
        </w:trPr>
        <w:tc>
          <w:tcPr>
            <w:tcW w:w="5720" w:type="dxa"/>
            <w:vAlign w:val="bottom"/>
          </w:tcPr>
          <w:p>
            <w:pPr>
              <w:spacing w:after="0"/>
              <w:rPr>
                <w:sz w:val="19"/>
                <w:szCs w:val="19"/>
                <w:color w:val="auto"/>
              </w:rPr>
            </w:pPr>
          </w:p>
        </w:tc>
        <w:tc>
          <w:tcPr>
            <w:tcW w:w="5700" w:type="dxa"/>
            <w:vAlign w:val="bottom"/>
            <w:gridSpan w:val="2"/>
          </w:tcPr>
          <w:p>
            <w:pPr>
              <w:ind w:left="320"/>
              <w:spacing w:after="0"/>
              <w:rPr>
                <w:sz w:val="20"/>
                <w:szCs w:val="20"/>
                <w:color w:val="auto"/>
              </w:rPr>
            </w:pPr>
            <w:r>
              <w:rPr>
                <w:rFonts w:ascii="Arial" w:cs="Arial" w:eastAsia="Arial" w:hAnsi="Arial"/>
                <w:sz w:val="18"/>
                <w:szCs w:val="18"/>
                <w:color w:val="auto"/>
              </w:rPr>
              <w:t>Robert N. Shuster</w:t>
            </w:r>
          </w:p>
        </w:tc>
      </w:tr>
      <w:tr>
        <w:trPr>
          <w:trHeight w:val="230"/>
        </w:trPr>
        <w:tc>
          <w:tcPr>
            <w:tcW w:w="5720" w:type="dxa"/>
            <w:vAlign w:val="bottom"/>
          </w:tcPr>
          <w:p>
            <w:pPr>
              <w:spacing w:after="0"/>
              <w:rPr>
                <w:sz w:val="20"/>
                <w:szCs w:val="20"/>
                <w:color w:val="auto"/>
              </w:rPr>
            </w:pPr>
          </w:p>
        </w:tc>
        <w:tc>
          <w:tcPr>
            <w:tcW w:w="5700" w:type="dxa"/>
            <w:vAlign w:val="bottom"/>
            <w:gridSpan w:val="2"/>
          </w:tcPr>
          <w:p>
            <w:pPr>
              <w:ind w:left="320"/>
              <w:spacing w:after="0"/>
              <w:rPr>
                <w:sz w:val="20"/>
                <w:szCs w:val="20"/>
                <w:color w:val="auto"/>
              </w:rPr>
            </w:pPr>
            <w:r>
              <w:rPr>
                <w:rFonts w:ascii="Arial" w:cs="Arial" w:eastAsia="Arial" w:hAnsi="Arial"/>
                <w:sz w:val="18"/>
                <w:szCs w:val="18"/>
                <w:color w:val="auto"/>
              </w:rPr>
              <w:t>Chief Financial Officer</w:t>
            </w:r>
          </w:p>
        </w:tc>
      </w:tr>
      <w:tr>
        <w:trPr>
          <w:trHeight w:val="601"/>
        </w:trPr>
        <w:tc>
          <w:tcPr>
            <w:tcW w:w="57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CERTIFICATE OF THE</w:t>
      </w:r>
    </w:p>
    <w:p>
      <w:pPr>
        <w:jc w:val="center"/>
        <w:spacing w:after="0" w:line="238" w:lineRule="auto"/>
        <w:rPr>
          <w:sz w:val="20"/>
          <w:szCs w:val="20"/>
          <w:color w:val="auto"/>
        </w:rPr>
      </w:pPr>
      <w:r>
        <w:rPr>
          <w:rFonts w:ascii="Arial" w:cs="Arial" w:eastAsia="Arial" w:hAnsi="Arial"/>
          <w:sz w:val="22"/>
          <w:szCs w:val="22"/>
          <w:color w:val="auto"/>
        </w:rPr>
        <w:t>CHIEF EXECUTIVE OFFICER OF</w:t>
      </w:r>
    </w:p>
    <w:p>
      <w:pPr>
        <w:jc w:val="center"/>
        <w:spacing w:after="0"/>
        <w:rPr>
          <w:sz w:val="20"/>
          <w:szCs w:val="20"/>
          <w:color w:val="auto"/>
        </w:rPr>
      </w:pPr>
      <w:r>
        <w:rPr>
          <w:rFonts w:ascii="Arial" w:cs="Arial" w:eastAsia="Arial" w:hAnsi="Arial"/>
          <w:sz w:val="22"/>
          <w:szCs w:val="22"/>
          <w:color w:val="auto"/>
        </w:rPr>
        <w:t>INDEPENDENT BANK CORPORATION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Pursuant to Section 906 of the Sarbanes-Oxley Act of 2002 (18 U.S.C. 1350):</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I, William B. Kessel, President and Chief Executive Officer of Independent Bank Corporation, certify, to the best of my knowledge and belief, pursuant to Section 906 of the Sarbanes-Oxley Act of 2002 (18 U.S.C. 1350) that:</w:t>
      </w:r>
    </w:p>
    <w:p>
      <w:pPr>
        <w:spacing w:after="0" w:line="200" w:lineRule="exact"/>
        <w:rPr>
          <w:sz w:val="20"/>
          <w:szCs w:val="20"/>
          <w:color w:val="auto"/>
        </w:rPr>
      </w:pPr>
    </w:p>
    <w:p>
      <w:pPr>
        <w:ind w:firstLine="656"/>
        <w:spacing w:after="0" w:line="328" w:lineRule="auto"/>
        <w:tabs>
          <w:tab w:leader="none" w:pos="1681"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quarterly report on Form 10-Q for the quarterly period ended September 30, 2019, which this statement accompanies, fully complies with requirements of Section 13(a) or 15(d) of the Securities Exchange Act of 1934 and;</w:t>
      </w:r>
    </w:p>
    <w:p>
      <w:pPr>
        <w:spacing w:after="0" w:line="132" w:lineRule="exact"/>
        <w:rPr>
          <w:rFonts w:ascii="Arial" w:cs="Arial" w:eastAsia="Arial" w:hAnsi="Arial"/>
          <w:sz w:val="19"/>
          <w:szCs w:val="19"/>
          <w:color w:val="auto"/>
        </w:rPr>
      </w:pPr>
    </w:p>
    <w:p>
      <w:pPr>
        <w:ind w:firstLine="656"/>
        <w:spacing w:after="0" w:line="328" w:lineRule="auto"/>
        <w:tabs>
          <w:tab w:leader="none" w:pos="1612"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information contained in this quarterly report on Form 10-Q for the quarterly period ended September 30, 2019, fairly presents, in all material respects, the financial condition and results of operations of Independent Bank Corporation.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w w:val="96"/>
              </w:rPr>
              <w:t>INDEPENDENT BANK CORPORATION</w:t>
            </w:r>
          </w:p>
        </w:tc>
      </w:tr>
      <w:tr>
        <w:trPr>
          <w:trHeight w:val="392"/>
        </w:trPr>
        <w:tc>
          <w:tcPr>
            <w:tcW w:w="5720" w:type="dxa"/>
            <w:vAlign w:val="bottom"/>
          </w:tcPr>
          <w:p>
            <w:pPr>
              <w:spacing w:after="0"/>
              <w:rPr>
                <w:sz w:val="20"/>
                <w:szCs w:val="20"/>
                <w:color w:val="auto"/>
              </w:rPr>
            </w:pPr>
            <w:r>
              <w:rPr>
                <w:rFonts w:ascii="Arial" w:cs="Arial" w:eastAsia="Arial" w:hAnsi="Arial"/>
                <w:sz w:val="18"/>
                <w:szCs w:val="18"/>
                <w:color w:val="auto"/>
              </w:rPr>
              <w:t>Date: November 1, 2019</w:t>
            </w:r>
          </w:p>
        </w:tc>
        <w:tc>
          <w:tcPr>
            <w:tcW w:w="3120" w:type="dxa"/>
            <w:vAlign w:val="bottom"/>
            <w:gridSpan w:val="2"/>
          </w:tcPr>
          <w:p>
            <w:pPr>
              <w:ind w:left="100"/>
              <w:spacing w:after="0"/>
              <w:rPr>
                <w:sz w:val="20"/>
                <w:szCs w:val="20"/>
                <w:color w:val="auto"/>
              </w:rPr>
            </w:pPr>
            <w:r>
              <w:rPr>
                <w:rFonts w:ascii="Arial" w:cs="Arial" w:eastAsia="Arial" w:hAnsi="Arial"/>
                <w:sz w:val="18"/>
                <w:szCs w:val="18"/>
                <w:color w:val="auto"/>
              </w:rPr>
              <w:t>/s/ William B. Kessel</w:t>
            </w:r>
          </w:p>
        </w:tc>
      </w:tr>
      <w:tr>
        <w:trPr>
          <w:trHeight w:val="20"/>
        </w:trPr>
        <w:tc>
          <w:tcPr>
            <w:tcW w:w="57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22"/>
        </w:trPr>
        <w:tc>
          <w:tcPr>
            <w:tcW w:w="5720" w:type="dxa"/>
            <w:vAlign w:val="bottom"/>
          </w:tcPr>
          <w:p>
            <w:pPr>
              <w:spacing w:after="0"/>
              <w:rPr>
                <w:sz w:val="19"/>
                <w:szCs w:val="19"/>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rPr>
              <w:t>William B. Kessel</w:t>
            </w:r>
          </w:p>
        </w:tc>
      </w:tr>
      <w:tr>
        <w:trPr>
          <w:trHeight w:val="230"/>
        </w:trPr>
        <w:tc>
          <w:tcPr>
            <w:tcW w:w="5720" w:type="dxa"/>
            <w:vAlign w:val="bottom"/>
          </w:tcPr>
          <w:p>
            <w:pPr>
              <w:spacing w:after="0"/>
              <w:rPr>
                <w:sz w:val="20"/>
                <w:szCs w:val="20"/>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w w:val="92"/>
              </w:rPr>
              <w:t>President and Chief Executive Officer</w:t>
            </w:r>
          </w:p>
        </w:tc>
      </w:tr>
    </w:tbl>
    <w:p>
      <w:pPr>
        <w:spacing w:after="0" w:line="22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CERTIFICATE OF THE</w:t>
      </w:r>
    </w:p>
    <w:p>
      <w:pPr>
        <w:jc w:val="center"/>
        <w:spacing w:after="0" w:line="238" w:lineRule="auto"/>
        <w:rPr>
          <w:sz w:val="20"/>
          <w:szCs w:val="20"/>
          <w:color w:val="auto"/>
        </w:rPr>
      </w:pPr>
      <w:r>
        <w:rPr>
          <w:rFonts w:ascii="Arial" w:cs="Arial" w:eastAsia="Arial" w:hAnsi="Arial"/>
          <w:sz w:val="22"/>
          <w:szCs w:val="22"/>
          <w:color w:val="auto"/>
        </w:rPr>
        <w:t>CHIEF FINANCIAL OFFICER OF</w:t>
      </w:r>
    </w:p>
    <w:p>
      <w:pPr>
        <w:jc w:val="center"/>
        <w:spacing w:after="0"/>
        <w:rPr>
          <w:sz w:val="20"/>
          <w:szCs w:val="20"/>
          <w:color w:val="auto"/>
        </w:rPr>
      </w:pPr>
      <w:r>
        <w:rPr>
          <w:rFonts w:ascii="Arial" w:cs="Arial" w:eastAsia="Arial" w:hAnsi="Arial"/>
          <w:sz w:val="22"/>
          <w:szCs w:val="22"/>
          <w:color w:val="auto"/>
        </w:rPr>
        <w:t>INDEPENDENT BANK CORPORATION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Pursuant to Section 906 of the Sarbanes-Oxley Act of 2002 (18 U.S.C. 1350):</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I, Robert N. Shuster, Chief Financial Officer of Independent Bank Corporation, certify, to the best of my knowledge and belief, pursuant to Section 906 of the Sarbanes-Oxley Act of 2002 (18 U.S.C. 1350) that:</w:t>
      </w:r>
    </w:p>
    <w:p>
      <w:pPr>
        <w:spacing w:after="0" w:line="200" w:lineRule="exact"/>
        <w:rPr>
          <w:sz w:val="20"/>
          <w:szCs w:val="20"/>
          <w:color w:val="auto"/>
        </w:rPr>
      </w:pPr>
    </w:p>
    <w:p>
      <w:pPr>
        <w:ind w:firstLine="656"/>
        <w:spacing w:after="0" w:line="328" w:lineRule="auto"/>
        <w:tabs>
          <w:tab w:leader="none" w:pos="1681"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quarterly report on Form 10-Q for the quarterly period ended September 30, 2019, which this statement accompanies, fully complies with requirements of Section 13(a) or 15(d) of the Securities Exchange Act of 1934 and;</w:t>
      </w:r>
    </w:p>
    <w:p>
      <w:pPr>
        <w:spacing w:after="0" w:line="132" w:lineRule="exact"/>
        <w:rPr>
          <w:rFonts w:ascii="Arial" w:cs="Arial" w:eastAsia="Arial" w:hAnsi="Arial"/>
          <w:sz w:val="19"/>
          <w:szCs w:val="19"/>
          <w:color w:val="auto"/>
        </w:rPr>
      </w:pPr>
    </w:p>
    <w:p>
      <w:pPr>
        <w:ind w:firstLine="656"/>
        <w:spacing w:after="0" w:line="328" w:lineRule="auto"/>
        <w:tabs>
          <w:tab w:leader="none" w:pos="1608"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information contained in this quarterly report on Form 10-Q for the quarterly period ended September 30, 2019, fairly presents, in all material respects, the financial condition and results of operations of Independent Bank Corporation.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w w:val="96"/>
              </w:rPr>
              <w:t>INDEPENDENT BANK CORPORATION</w:t>
            </w:r>
          </w:p>
        </w:tc>
      </w:tr>
      <w:tr>
        <w:trPr>
          <w:trHeight w:val="392"/>
        </w:trPr>
        <w:tc>
          <w:tcPr>
            <w:tcW w:w="5720" w:type="dxa"/>
            <w:vAlign w:val="bottom"/>
          </w:tcPr>
          <w:p>
            <w:pPr>
              <w:spacing w:after="0"/>
              <w:rPr>
                <w:sz w:val="20"/>
                <w:szCs w:val="20"/>
                <w:color w:val="auto"/>
              </w:rPr>
            </w:pPr>
            <w:r>
              <w:rPr>
                <w:rFonts w:ascii="Arial" w:cs="Arial" w:eastAsia="Arial" w:hAnsi="Arial"/>
                <w:sz w:val="18"/>
                <w:szCs w:val="18"/>
                <w:color w:val="auto"/>
              </w:rPr>
              <w:t>Date: November 1, 2019</w:t>
            </w:r>
          </w:p>
        </w:tc>
        <w:tc>
          <w:tcPr>
            <w:tcW w:w="3120" w:type="dxa"/>
            <w:vAlign w:val="bottom"/>
            <w:gridSpan w:val="2"/>
          </w:tcPr>
          <w:p>
            <w:pPr>
              <w:ind w:left="100"/>
              <w:spacing w:after="0"/>
              <w:rPr>
                <w:sz w:val="20"/>
                <w:szCs w:val="20"/>
                <w:color w:val="auto"/>
              </w:rPr>
            </w:pPr>
            <w:r>
              <w:rPr>
                <w:rFonts w:ascii="Arial" w:cs="Arial" w:eastAsia="Arial" w:hAnsi="Arial"/>
                <w:sz w:val="18"/>
                <w:szCs w:val="18"/>
                <w:color w:val="auto"/>
              </w:rPr>
              <w:t>/s/ Robert N. Shuster</w:t>
            </w:r>
          </w:p>
        </w:tc>
      </w:tr>
      <w:tr>
        <w:trPr>
          <w:trHeight w:val="20"/>
        </w:trPr>
        <w:tc>
          <w:tcPr>
            <w:tcW w:w="57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22"/>
        </w:trPr>
        <w:tc>
          <w:tcPr>
            <w:tcW w:w="5720" w:type="dxa"/>
            <w:vAlign w:val="bottom"/>
          </w:tcPr>
          <w:p>
            <w:pPr>
              <w:spacing w:after="0"/>
              <w:rPr>
                <w:sz w:val="19"/>
                <w:szCs w:val="19"/>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rPr>
              <w:t>Robert N. Shuster</w:t>
            </w:r>
          </w:p>
        </w:tc>
      </w:tr>
      <w:tr>
        <w:trPr>
          <w:trHeight w:val="230"/>
        </w:trPr>
        <w:tc>
          <w:tcPr>
            <w:tcW w:w="5720" w:type="dxa"/>
            <w:vAlign w:val="bottom"/>
          </w:tcPr>
          <w:p>
            <w:pPr>
              <w:spacing w:after="0"/>
              <w:rPr>
                <w:sz w:val="20"/>
                <w:szCs w:val="20"/>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rPr>
              <w:t>Chief Financial Officer</w:t>
            </w:r>
          </w:p>
        </w:tc>
      </w:tr>
    </w:tbl>
    <w:p>
      <w:pPr>
        <w:spacing w:after="0" w:line="22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1."/>
      <w:numFmt w:val="decimal"/>
      <w:start w:val="1"/>
    </w:lvl>
  </w:abstractNum>
  <w:abstractNum w:abstractNumId="2">
    <w:nsid w:val="B03E0C6"/>
    <w:multiLevelType w:val="hybridMultilevel"/>
    <w:lvl w:ilvl="0">
      <w:lvlJc w:val="left"/>
      <w:lvlText w:val="%1."/>
      <w:numFmt w:val="decimal"/>
      <w:start w:val="2"/>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decimal"/>
      <w:start w:val="4"/>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5"/>
    </w:lvl>
  </w:abstractNum>
  <w:abstractNum w:abstractNumId="7">
    <w:nsid w:val="836C40E"/>
    <w:multiLevelType w:val="hybridMultilevel"/>
    <w:lvl w:ilvl="0">
      <w:lvlJc w:val="left"/>
      <w:lvlText w:val="%1."/>
      <w:numFmt w:val="decimal"/>
      <w:start w:val="6"/>
    </w:lvl>
  </w:abstractNum>
  <w:abstractNum w:abstractNumId="8">
    <w:nsid w:val="2901D82"/>
    <w:multiLevelType w:val="hybridMultilevel"/>
    <w:lvl w:ilvl="0">
      <w:lvlJc w:val="left"/>
      <w:lvlText w:val="%1."/>
      <w:numFmt w:val="decimal"/>
      <w:start w:val="7"/>
    </w:lvl>
  </w:abstractNum>
  <w:abstractNum w:abstractNumId="9">
    <w:nsid w:val="3A95F874"/>
    <w:multiLevelType w:val="hybridMultilevel"/>
    <w:lvl w:ilvl="0">
      <w:lvlJc w:val="left"/>
      <w:lvlText w:val="%1."/>
      <w:numFmt w:val="decimal"/>
      <w:start w:val="10"/>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1."/>
      <w:numFmt w:val="decimal"/>
      <w:start w:val="12"/>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1."/>
      <w:numFmt w:val="decimal"/>
      <w:start w:val="13"/>
    </w:lvl>
  </w:abstractNum>
  <w:abstractNum w:abstractNumId="17">
    <w:nsid w:val="3006C83E"/>
    <w:multiLevelType w:val="hybridMultilevel"/>
    <w:lvl w:ilvl="0">
      <w:lvlJc w:val="left"/>
      <w:lvlText w:val="$"/>
      <w:numFmt w:val="bullet"/>
      <w:start w:val="1"/>
    </w:lvl>
    <w:lvl w:ilvl="1">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lvl w:ilvl="1">
      <w:lvlJc w:val="left"/>
      <w:lvlText w:val="(%2)"/>
      <w:numFmt w:val="decimal"/>
      <w:start w:val="22"/>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lvl w:ilvl="1">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lvl w:ilvl="1">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lvl w:ilvl="1">
      <w:lvlJc w:val="left"/>
      <w:lvlText w:val="(%2)"/>
      <w:numFmt w:val="decimal"/>
      <w:start w:val="83"/>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lvl w:ilvl="1">
      <w:lvlJc w:val="left"/>
      <w:lvlText w:val="-"/>
      <w:numFmt w:val="bullet"/>
      <w:start w:val="1"/>
    </w:lvl>
  </w:abstractNum>
  <w:abstractNum w:abstractNumId="33">
    <w:nsid w:val="3855585C"/>
    <w:multiLevelType w:val="hybridMultilevel"/>
    <w:lvl w:ilvl="0">
      <w:lvlJc w:val="left"/>
      <w:lvlText w:val="$"/>
      <w:numFmt w:val="bullet"/>
      <w:start w:val="1"/>
    </w:lvl>
    <w:lvl w:ilvl="1">
      <w:lvlJc w:val="left"/>
      <w:lvlText w:val="(%2)"/>
      <w:numFmt w:val="decimal"/>
      <w:start w:val="28"/>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1."/>
      <w:numFmt w:val="decimal"/>
      <w:start w:val="15"/>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17"/>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decimal"/>
      <w:start w:val="1"/>
    </w:lvl>
  </w:abstractNum>
  <w:abstractNum w:abstractNumId="41">
    <w:nsid w:val="7A6D8D3C"/>
    <w:multiLevelType w:val="hybridMultilevel"/>
    <w:lvl w:ilvl="0">
      <w:lvlJc w:val="left"/>
      <w:lvlText w:val="(%1)"/>
      <w:numFmt w:val="decimal"/>
      <w:start w:val="1"/>
    </w:lvl>
  </w:abstractNum>
  <w:abstractNum w:abstractNumId="42">
    <w:nsid w:val="4B588F54"/>
    <w:multiLevelType w:val="hybridMultilevel"/>
    <w:lvl w:ilvl="0">
      <w:lvlJc w:val="left"/>
      <w:lvlText w:val="(%1)"/>
      <w:numFmt w:val="decimal"/>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lowerLetter"/>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2020-01-09T06:18:50Z</dcterms:created>
  <dcterms:modified xsi:type="dcterms:W3CDTF">2020-01-09T06:18:50Z</dcterms:modified>
</cp:coreProperties>
</file>