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5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30, 2016</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1141730</wp:posOffset>
            </wp:positionH>
            <wp:positionV relativeFrom="paragraph">
              <wp:posOffset>-10160</wp:posOffset>
            </wp:positionV>
            <wp:extent cx="409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575"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Michigan</w:t>
            </w:r>
          </w:p>
        </w:tc>
        <w:tc>
          <w:tcPr>
            <w:tcW w:w="5600" w:type="dxa"/>
            <w:vAlign w:val="bottom"/>
          </w:tcPr>
          <w:p>
            <w:pPr>
              <w:jc w:val="right"/>
              <w:ind w:right="2270"/>
              <w:spacing w:after="0"/>
              <w:rPr>
                <w:sz w:val="20"/>
                <w:szCs w:val="20"/>
                <w:color w:val="auto"/>
              </w:rPr>
            </w:pPr>
            <w:r>
              <w:rPr>
                <w:rFonts w:ascii="Arial" w:cs="Arial" w:eastAsia="Arial" w:hAnsi="Arial"/>
                <w:sz w:val="18"/>
                <w:szCs w:val="18"/>
                <w:color w:val="auto"/>
              </w:rPr>
              <w:t>38-2032782</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21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(616) 527-5820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1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non-accelerated filer or smaller reporting company.</w:t>
      </w:r>
    </w:p>
    <w:p>
      <w:pPr>
        <w:spacing w:after="0" w:line="30"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56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Common stock, no par value</w:t>
            </w:r>
          </w:p>
        </w:tc>
        <w:tc>
          <w:tcPr>
            <w:tcW w:w="5600" w:type="dxa"/>
            <w:vAlign w:val="bottom"/>
          </w:tcPr>
          <w:p>
            <w:pPr>
              <w:jc w:val="right"/>
              <w:ind w:right="2310"/>
              <w:spacing w:after="0"/>
              <w:rPr>
                <w:sz w:val="20"/>
                <w:szCs w:val="20"/>
                <w:color w:val="auto"/>
              </w:rPr>
            </w:pPr>
            <w:r>
              <w:rPr>
                <w:rFonts w:ascii="Arial" w:cs="Arial" w:eastAsia="Arial" w:hAnsi="Arial"/>
                <w:sz w:val="18"/>
                <w:szCs w:val="18"/>
                <w:color w:val="auto"/>
              </w:rPr>
              <w:t>21,245,536</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Outstanding at November 2, 2016</w:t>
            </w:r>
          </w:p>
        </w:tc>
      </w:tr>
      <w:tr>
        <w:trPr>
          <w:trHeight w:val="337"/>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63"/>
        </w:trPr>
        <w:tc>
          <w:tcPr>
            <w:tcW w:w="5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r>
        <w:trPr>
          <w:trHeight w:val="183"/>
        </w:trPr>
        <w:tc>
          <w:tcPr>
            <w:tcW w:w="5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41"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60" w:type="dxa"/>
            <w:vAlign w:val="bottom"/>
            <w:gridSpan w:val="10"/>
          </w:tcPr>
          <w:p>
            <w:pPr>
              <w:jc w:val="center"/>
              <w:ind w:right="2280"/>
              <w:spacing w:after="0"/>
              <w:rPr>
                <w:sz w:val="20"/>
                <w:szCs w:val="20"/>
                <w:color w:val="auto"/>
              </w:rPr>
            </w:pPr>
            <w:r>
              <w:rPr>
                <w:rFonts w:ascii="Arial" w:cs="Arial" w:eastAsia="Arial" w:hAnsi="Arial"/>
                <w:sz w:val="18"/>
                <w:szCs w:val="18"/>
                <w:color w:val="auto"/>
                <w:w w:val="97"/>
              </w:rPr>
              <w:t>INDEPENDENT BANK CORPORATION AND SUBSIDIARIES</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60" w:type="dxa"/>
            <w:vAlign w:val="bottom"/>
            <w:gridSpan w:val="10"/>
          </w:tcPr>
          <w:p>
            <w:pPr>
              <w:jc w:val="center"/>
              <w:ind w:right="2260"/>
              <w:spacing w:after="0"/>
              <w:rPr>
                <w:sz w:val="20"/>
                <w:szCs w:val="20"/>
                <w:color w:val="auto"/>
              </w:rPr>
            </w:pPr>
            <w:r>
              <w:rPr>
                <w:rFonts w:ascii="Arial" w:cs="Arial" w:eastAsia="Arial" w:hAnsi="Arial"/>
                <w:sz w:val="18"/>
                <w:szCs w:val="18"/>
                <w:color w:val="auto"/>
              </w:rPr>
              <w:t>INDEX</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PART I -</w:t>
            </w:r>
          </w:p>
        </w:tc>
        <w:tc>
          <w:tcPr>
            <w:tcW w:w="9560" w:type="dxa"/>
            <w:vAlign w:val="bottom"/>
            <w:gridSpan w:val="18"/>
            <w:vMerge w:val="restart"/>
          </w:tcPr>
          <w:p>
            <w:pPr>
              <w:ind w:left="320"/>
              <w:spacing w:after="0"/>
              <w:rPr>
                <w:sz w:val="20"/>
                <w:szCs w:val="20"/>
                <w:color w:val="auto"/>
              </w:rPr>
            </w:pPr>
            <w:r>
              <w:rPr>
                <w:rFonts w:ascii="Arial" w:cs="Arial" w:eastAsia="Arial" w:hAnsi="Arial"/>
                <w:sz w:val="18"/>
                <w:szCs w:val="18"/>
                <w:color w:val="auto"/>
              </w:rPr>
              <w:t>Financial Information</w:t>
            </w:r>
          </w:p>
        </w:tc>
        <w:tc>
          <w:tcPr>
            <w:tcW w:w="860" w:type="dxa"/>
            <w:vAlign w:val="bottom"/>
            <w:gridSpan w:val="3"/>
          </w:tcPr>
          <w:p>
            <w:pPr>
              <w:ind w:left="60"/>
              <w:spacing w:after="0"/>
              <w:rPr>
                <w:sz w:val="20"/>
                <w:szCs w:val="20"/>
                <w:color w:val="auto"/>
              </w:rPr>
            </w:pPr>
            <w:r>
              <w:rPr>
                <w:rFonts w:ascii="Arial" w:cs="Arial" w:eastAsia="Arial" w:hAnsi="Arial"/>
                <w:sz w:val="18"/>
                <w:szCs w:val="18"/>
                <w:color w:val="auto"/>
                <w:w w:val="91"/>
              </w:rPr>
              <w:t>Number(s)</w:t>
            </w:r>
          </w:p>
        </w:tc>
        <w:tc>
          <w:tcPr>
            <w:tcW w:w="0" w:type="dxa"/>
            <w:vAlign w:val="bottom"/>
          </w:tcPr>
          <w:p>
            <w:pPr>
              <w:spacing w:after="0"/>
              <w:rPr>
                <w:sz w:val="1"/>
                <w:szCs w:val="1"/>
                <w:color w:val="auto"/>
              </w:rPr>
            </w:pPr>
          </w:p>
        </w:tc>
      </w:tr>
      <w:tr>
        <w:trPr>
          <w:trHeight w:val="196"/>
        </w:trPr>
        <w:tc>
          <w:tcPr>
            <w:tcW w:w="1020" w:type="dxa"/>
            <w:vAlign w:val="bottom"/>
            <w:gridSpan w:val="2"/>
            <w:vMerge w:val="continue"/>
          </w:tcPr>
          <w:p>
            <w:pPr>
              <w:spacing w:after="0"/>
              <w:rPr>
                <w:sz w:val="17"/>
                <w:szCs w:val="17"/>
                <w:color w:val="auto"/>
              </w:rPr>
            </w:pPr>
          </w:p>
        </w:tc>
        <w:tc>
          <w:tcPr>
            <w:tcW w:w="9560" w:type="dxa"/>
            <w:vAlign w:val="bottom"/>
            <w:gridSpan w:val="18"/>
            <w:vMerge w:val="continue"/>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320" w:type="dxa"/>
            <w:vAlign w:val="bottom"/>
            <w:shd w:val="clear" w:color="auto" w:fill="CCEEFF"/>
          </w:tcPr>
          <w:p>
            <w:pPr>
              <w:spacing w:after="0"/>
              <w:rPr>
                <w:sz w:val="15"/>
                <w:szCs w:val="15"/>
                <w:color w:val="auto"/>
              </w:rPr>
            </w:pPr>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September 30, 2016 and December 31, 2015</w:t>
              </w:r>
            </w:hyperlink>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40" w:type="dxa"/>
            <w:vAlign w:val="bottom"/>
            <w:gridSpan w:val="17"/>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Operations Three- and Nine-month periods ended September 30, 2016 and 2015</w:t>
              </w:r>
            </w:hyperlink>
          </w:p>
        </w:tc>
        <w:tc>
          <w:tcPr>
            <w:tcW w:w="8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1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Three- and Nine-month periods ended September 30, 2016 and</w:t>
              </w:r>
            </w:hyperlink>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2015</w:t>
              </w:r>
            </w:hyperlink>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560" w:type="dxa"/>
            <w:vAlign w:val="bottom"/>
            <w:gridSpan w:val="18"/>
          </w:tcPr>
          <w:p>
            <w:pPr>
              <w:ind w:left="3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Nine-month periods ended September 30, 2016 and 2015</w:t>
              </w:r>
            </w:hyperlink>
          </w:p>
        </w:tc>
        <w:tc>
          <w:tcPr>
            <w:tcW w:w="8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5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Shareholders' Equity Nine-month periods ended September 30, 2016 and 2015</w:t>
              </w:r>
            </w:hyperlink>
          </w:p>
        </w:tc>
        <w:tc>
          <w:tcPr>
            <w:tcW w:w="700" w:type="dxa"/>
            <w:vAlign w:val="bottom"/>
            <w:tcBorders>
              <w:bottom w:val="single" w:sz="8" w:color="CCEEFF"/>
            </w:tcBorders>
            <w:gridSpan w:val="3"/>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560" w:type="dxa"/>
            <w:vAlign w:val="bottom"/>
            <w:gridSpan w:val="18"/>
          </w:tcPr>
          <w:p>
            <w:pPr>
              <w:ind w:left="32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Interim Condensed Consolidated Financial Statements</w:t>
              </w:r>
            </w:hyperlink>
          </w:p>
        </w:tc>
        <w:tc>
          <w:tcPr>
            <w:tcW w:w="8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320" w:type="dxa"/>
            <w:vAlign w:val="bottom"/>
            <w:shd w:val="clear" w:color="auto" w:fill="CCEEFF"/>
          </w:tcPr>
          <w:p>
            <w:pPr>
              <w:spacing w:after="0"/>
              <w:rPr>
                <w:sz w:val="17"/>
                <w:szCs w:val="17"/>
                <w:color w:val="auto"/>
              </w:rPr>
            </w:pPr>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60-86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3.</w:t>
            </w:r>
          </w:p>
        </w:tc>
        <w:tc>
          <w:tcPr>
            <w:tcW w:w="320" w:type="dxa"/>
            <w:vAlign w:val="bottom"/>
            <w:tcBorders>
              <w:top w:val="single" w:sz="8" w:color="CCEEFF"/>
            </w:tcBorders>
          </w:tcPr>
          <w:p>
            <w:pPr>
              <w:spacing w:after="0"/>
              <w:rPr>
                <w:sz w:val="15"/>
                <w:szCs w:val="15"/>
                <w:color w:val="auto"/>
              </w:rPr>
            </w:pPr>
          </w:p>
        </w:tc>
        <w:tc>
          <w:tcPr>
            <w:tcW w:w="64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Quantitative and Qualitative Disclosures about Market Risk</w:t>
              </w:r>
            </w:hyperlink>
          </w:p>
        </w:tc>
        <w:tc>
          <w:tcPr>
            <w:tcW w:w="2800" w:type="dxa"/>
            <w:vAlign w:val="bottom"/>
            <w:tcBorders>
              <w:top w:val="single" w:sz="8" w:color="CCEEFF"/>
            </w:tcBorders>
            <w:gridSpan w:val="6"/>
          </w:tcPr>
          <w:p>
            <w:pPr>
              <w:spacing w:after="0"/>
              <w:rPr>
                <w:sz w:val="15"/>
                <w:szCs w:val="15"/>
                <w:color w:val="auto"/>
              </w:rPr>
            </w:pPr>
          </w:p>
        </w:tc>
        <w:tc>
          <w:tcPr>
            <w:tcW w:w="8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560" w:type="dxa"/>
            <w:vAlign w:val="bottom"/>
            <w:gridSpan w:val="18"/>
            <w:shd w:val="clear" w:color="auto" w:fill="CCEEFF"/>
          </w:tcPr>
          <w:p>
            <w:pPr>
              <w:ind w:left="32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Controls and Procedures</w:t>
              </w:r>
            </w:hyperlink>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PART II -</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w w:val="92"/>
              </w:rPr>
              <w:t>Other Information</w:t>
            </w:r>
          </w:p>
        </w:tc>
        <w:tc>
          <w:tcPr>
            <w:tcW w:w="7920" w:type="dxa"/>
            <w:vAlign w:val="bottom"/>
            <w:tcBorders>
              <w:bottom w:val="single" w:sz="8" w:color="CCEEFF"/>
            </w:tcBorders>
            <w:gridSpan w:val="12"/>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560" w:type="dxa"/>
            <w:vAlign w:val="bottom"/>
            <w:gridSpan w:val="18"/>
          </w:tcPr>
          <w:p>
            <w:pPr>
              <w:ind w:left="32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Risk Factors</w:t>
              </w:r>
            </w:hyperlink>
          </w:p>
        </w:tc>
        <w:tc>
          <w:tcPr>
            <w:tcW w:w="8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3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Unregistered Sales of Equity Securities and Use of Proceeds</w:t>
              </w:r>
            </w:hyperlink>
          </w:p>
        </w:tc>
        <w:tc>
          <w:tcPr>
            <w:tcW w:w="4880" w:type="dxa"/>
            <w:vAlign w:val="bottom"/>
            <w:tcBorders>
              <w:bottom w:val="single" w:sz="8" w:color="CCEEFF"/>
            </w:tcBorders>
            <w:gridSpan w:val="8"/>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320" w:type="dxa"/>
            <w:vAlign w:val="bottom"/>
          </w:tcPr>
          <w:p>
            <w:pPr>
              <w:spacing w:after="0"/>
              <w:rPr>
                <w:sz w:val="15"/>
                <w:szCs w:val="15"/>
                <w:color w:val="auto"/>
              </w:rPr>
            </w:pPr>
          </w:p>
        </w:tc>
        <w:tc>
          <w:tcPr>
            <w:tcW w:w="9240" w:type="dxa"/>
            <w:vAlign w:val="bottom"/>
            <w:gridSpan w:val="17"/>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Exhibits</w:t>
              </w:r>
            </w:hyperlink>
          </w:p>
        </w:tc>
        <w:tc>
          <w:tcPr>
            <w:tcW w:w="8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sz w:val="24"/>
                <w:szCs w:val="24"/>
                <w:color w:val="auto"/>
              </w:rPr>
            </w:pPr>
          </w:p>
        </w:tc>
        <w:tc>
          <w:tcPr>
            <w:tcW w:w="3980" w:type="dxa"/>
            <w:vAlign w:val="bottom"/>
            <w:gridSpan w:val="7"/>
          </w:tcPr>
          <w:p>
            <w:pPr>
              <w:jc w:val="center"/>
              <w:ind w:left="3488"/>
              <w:spacing w:after="0"/>
              <w:rPr>
                <w:sz w:val="20"/>
                <w:szCs w:val="20"/>
                <w:color w:val="auto"/>
              </w:rPr>
            </w:pPr>
            <w:r>
              <w:rPr>
                <w:rFonts w:ascii="Arial" w:cs="Arial" w:eastAsia="Arial" w:hAnsi="Arial"/>
                <w:sz w:val="14"/>
                <w:szCs w:val="14"/>
                <w:color w:val="auto"/>
                <w:w w:val="76"/>
              </w:rPr>
              <w:t>1</w:t>
            </w: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206" w:lineRule="exact"/>
        <w:rPr>
          <w:sz w:val="20"/>
          <w:szCs w:val="20"/>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23" w:lineRule="exact"/>
        <w:rPr>
          <w:rFonts w:ascii="Arial" w:cs="Arial" w:eastAsia="Arial" w:hAnsi="Arial"/>
          <w:sz w:val="18"/>
          <w:szCs w:val="18"/>
          <w:color w:val="auto"/>
        </w:rPr>
      </w:pPr>
    </w:p>
    <w:p>
      <w:pPr>
        <w:ind w:left="760" w:right="180" w:hanging="333"/>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jc w:val="both"/>
        <w:ind w:left="760" w:hanging="333"/>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our estimate of probable incurred losses from vehicle service contract payment plan counterparty contingencies, including our assumptions regarding future cancellations of vehicle service contracts, the value to us of collateral that may be available to recover funds due from our counterparties, and our ability to enforce the contractual obligations of our counterparties to pay amounts owing to us;</w:t>
      </w:r>
    </w:p>
    <w:p>
      <w:pPr>
        <w:spacing w:after="0" w:line="1"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8" w:lineRule="exact"/>
        <w:rPr>
          <w:sz w:val="20"/>
          <w:szCs w:val="20"/>
          <w:color w:val="auto"/>
        </w:rPr>
      </w:pPr>
    </w:p>
    <w:p>
      <w:pPr>
        <w:jc w:val="both"/>
        <w:ind w:right="100"/>
        <w:spacing w:after="0" w:line="289"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2015,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20" w:type="dxa"/>
            <w:vAlign w:val="bottom"/>
            <w:gridSpan w:val="3"/>
            <w:vMerge w:val="restart"/>
          </w:tcPr>
          <w:p>
            <w:pPr>
              <w:jc w:val="right"/>
              <w:ind w:right="610"/>
              <w:spacing w:after="0"/>
              <w:rPr>
                <w:sz w:val="20"/>
                <w:szCs w:val="20"/>
                <w:color w:val="auto"/>
              </w:rPr>
            </w:pPr>
            <w:r>
              <w:rPr>
                <w:rFonts w:ascii="Arial" w:cs="Arial" w:eastAsia="Arial" w:hAnsi="Arial"/>
                <w:sz w:val="18"/>
                <w:szCs w:val="18"/>
                <w:color w:val="auto"/>
                <w:w w:val="98"/>
              </w:rPr>
              <w:t>INDEPENDENT BANK CORPORATION AND SUBSIDIARIES</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Part I - Item 1.</w:t>
            </w:r>
          </w:p>
        </w:tc>
        <w:tc>
          <w:tcPr>
            <w:tcW w:w="56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60" w:type="dxa"/>
            <w:vAlign w:val="bottom"/>
            <w:gridSpan w:val="2"/>
            <w:vMerge w:val="restart"/>
          </w:tcPr>
          <w:p>
            <w:pPr>
              <w:jc w:val="right"/>
              <w:ind w:right="850"/>
              <w:spacing w:after="0" w:line="190" w:lineRule="exact"/>
              <w:rPr>
                <w:sz w:val="20"/>
                <w:szCs w:val="20"/>
                <w:color w:val="auto"/>
              </w:rPr>
            </w:pPr>
            <w:r>
              <w:rPr>
                <w:rFonts w:ascii="Arial" w:cs="Arial" w:eastAsia="Arial" w:hAnsi="Arial"/>
                <w:sz w:val="18"/>
                <w:szCs w:val="18"/>
                <w:color w:val="auto"/>
                <w:w w:val="90"/>
              </w:rPr>
              <w:t>Condensed Consolidated Statements of Financial Condition</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5"/>
          </w:tcPr>
          <w:p>
            <w:pPr>
              <w:jc w:val="center"/>
              <w:ind w:right="110"/>
              <w:spacing w:after="0" w:line="201" w:lineRule="exact"/>
              <w:rPr>
                <w:sz w:val="20"/>
                <w:szCs w:val="20"/>
                <w:color w:val="auto"/>
              </w:rPr>
            </w:pPr>
            <w:r>
              <w:rPr>
                <w:rFonts w:ascii="Arial" w:cs="Arial" w:eastAsia="Arial" w:hAnsi="Arial"/>
                <w:sz w:val="18"/>
                <w:szCs w:val="18"/>
                <w:color w:val="auto"/>
                <w:w w:val="88"/>
              </w:rPr>
              <w:t>(In thousands, except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4"/>
          </w:tcPr>
          <w:p>
            <w:pPr>
              <w:jc w:val="center"/>
              <w:ind w:left="510"/>
              <w:spacing w:after="0"/>
              <w:rPr>
                <w:sz w:val="20"/>
                <w:szCs w:val="20"/>
                <w:color w:val="auto"/>
              </w:rPr>
            </w:pPr>
            <w:r>
              <w:rPr>
                <w:rFonts w:ascii="Arial" w:cs="Arial" w:eastAsia="Arial" w:hAnsi="Arial"/>
                <w:sz w:val="18"/>
                <w:szCs w:val="18"/>
                <w:color w:val="auto"/>
                <w:w w:val="90"/>
              </w:rPr>
              <w:t>amounts)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38,610</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Interest bearing deposits</w:t>
            </w: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Interest bearing deposits - time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603,112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Loans held for sale, carried at fair value</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784,976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Installment</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268,357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234,017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360" w:type="dxa"/>
            <w:vAlign w:val="bottom"/>
            <w:tcBorders>
              <w:bottom w:val="single" w:sz="8" w:color="CCEEFF"/>
            </w:tcBorders>
            <w:shd w:val="clear" w:color="auto" w:fill="CCEEFF"/>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gridSpan w:val="2"/>
          </w:tcPr>
          <w:p>
            <w:pPr>
              <w:jc w:val="right"/>
              <w:ind w:right="30"/>
              <w:spacing w:after="0"/>
              <w:rPr>
                <w:sz w:val="20"/>
                <w:szCs w:val="20"/>
                <w:color w:val="auto"/>
              </w:rPr>
            </w:pPr>
            <w:r>
              <w:rPr>
                <w:rFonts w:ascii="Arial" w:cs="Arial" w:eastAsia="Arial" w:hAnsi="Arial"/>
                <w:sz w:val="18"/>
                <w:szCs w:val="18"/>
                <w:color w:val="auto"/>
              </w:rPr>
              <w:t>Total Loans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1,607,354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1,515,050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3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7"/>
              </w:rPr>
              <w:t>Net Loans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1,585,311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1,492,480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Other real estate and repossessed assets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Capitalized mortgage loan servicing rights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spacing w:after="0"/>
              <w:rPr>
                <w:sz w:val="20"/>
                <w:szCs w:val="20"/>
                <w:color w:val="auto"/>
              </w:rPr>
            </w:pPr>
            <w:r>
              <w:rPr>
                <w:rFonts w:ascii="Arial" w:cs="Arial" w:eastAsia="Arial" w:hAnsi="Arial"/>
                <w:sz w:val="18"/>
                <w:szCs w:val="18"/>
                <w:color w:val="auto"/>
              </w:rPr>
              <w:t>Vehicle service contract counterparty receivables,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23,733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2,538,319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2,409,066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725,166</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w w:val="98"/>
              </w:rPr>
              <w:t>Savings and interest-bearing checking</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1,009,354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988,174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Reciprocal</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Time</w:t>
            </w: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425,804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387,789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Deposits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2,206,960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2,085,963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spacing w:after="0"/>
              <w:rPr>
                <w:sz w:val="20"/>
                <w:szCs w:val="20"/>
                <w:color w:val="auto"/>
              </w:rPr>
            </w:pPr>
            <w:r>
              <w:rPr>
                <w:rFonts w:ascii="Arial" w:cs="Arial" w:eastAsia="Arial" w:hAnsi="Arial"/>
                <w:sz w:val="18"/>
                <w:szCs w:val="18"/>
                <w:color w:val="auto"/>
              </w:rPr>
              <w:t>Vehicle service contract counterparty payables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60" w:type="dxa"/>
            <w:vAlign w:val="bottom"/>
            <w:gridSpan w:val="2"/>
          </w:tcPr>
          <w:p>
            <w:pPr>
              <w:jc w:val="right"/>
              <w:ind w:right="3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2,287,417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2,157,974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0"/>
              </w:rPr>
              <w:t>Common stock, no par value, 500,000,000 shares authorized; issued and outstanding: 21,227,974 shares at September</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gridSpan w:val="4"/>
          </w:tcPr>
          <w:p>
            <w:pPr>
              <w:jc w:val="right"/>
              <w:ind w:right="4470"/>
              <w:spacing w:after="0"/>
              <w:rPr>
                <w:sz w:val="20"/>
                <w:szCs w:val="20"/>
                <w:color w:val="auto"/>
              </w:rPr>
            </w:pPr>
            <w:r>
              <w:rPr>
                <w:rFonts w:ascii="Arial" w:cs="Arial" w:eastAsia="Arial" w:hAnsi="Arial"/>
                <w:sz w:val="18"/>
                <w:szCs w:val="18"/>
                <w:color w:val="auto"/>
                <w:w w:val="88"/>
              </w:rPr>
              <w:t>30, 2016 and 22,251,373 shares at December 31, 2015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323,303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(69,386)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w w:val="95"/>
              </w:rPr>
              <w:t>Accumulated other comprehensive loss</w:t>
            </w:r>
          </w:p>
        </w:tc>
        <w:tc>
          <w:tcPr>
            <w:tcW w:w="3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250,902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gridSpan w:val="2"/>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2,538,319</w:t>
            </w:r>
          </w:p>
        </w:tc>
        <w:tc>
          <w:tcPr>
            <w:tcW w:w="140" w:type="dxa"/>
            <w:vAlign w:val="bottom"/>
          </w:tcPr>
          <w:p>
            <w:pPr>
              <w:spacing w:after="0"/>
              <w:rPr>
                <w:sz w:val="18"/>
                <w:szCs w:val="18"/>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2,409,066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89"/>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4"/>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92"/>
              </w:rPr>
              <w:t>(unaudited)</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0"/>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3860" w:type="dxa"/>
            <w:vAlign w:val="bottom"/>
            <w:gridSpan w:val="9"/>
          </w:tcPr>
          <w:p>
            <w:pPr>
              <w:jc w:val="right"/>
              <w:ind w:right="20"/>
              <w:spacing w:after="0"/>
              <w:rPr>
                <w:sz w:val="20"/>
                <w:szCs w:val="20"/>
                <w:color w:val="auto"/>
              </w:rPr>
            </w:pPr>
            <w:r>
              <w:rPr>
                <w:rFonts w:ascii="Arial" w:cs="Arial" w:eastAsia="Arial" w:hAnsi="Arial"/>
                <w:sz w:val="18"/>
                <w:szCs w:val="18"/>
                <w:color w:val="auto"/>
              </w:rPr>
              <w:t>(In thousands, except per share amounts)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and fees on loans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18,597</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55,361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Interest on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Taxable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Tax-exempt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Interest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20,293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64,366</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987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3,520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Interest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4,975</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59,391</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(1,439)</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Net Interest Income After Provision for Loan Losses</w:t>
            </w: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60,830</w:t>
            </w:r>
          </w:p>
        </w:tc>
        <w:tc>
          <w:tcPr>
            <w:tcW w:w="2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Interchange income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2,169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5,797</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gains (losses) on assets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Mortgage loans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1,812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7,727</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Mortgage loan servicing, net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Title insurance fees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Net gain on branch sale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1,193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Non-Interest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29,097</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Compensation and employee benefits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12,029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36,912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Data processing</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Occupancy, net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1,940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5,982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2,280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 and collection</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Advertising</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1,410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Legal and professional</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FDIC deposit insurance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Interchange expense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Credit card and bank service fees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(gains) losses on other real estate and repossessed assets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Provision for loss reimbursement on sold loans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Costs related to unfunded lending commitments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Vehicle service contract counterparty contingencies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Non-Interest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21,879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65,469</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Income Before Income Tax</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24,458</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2,278</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7,547</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0.78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Declared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Paid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Comprehensive Income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9"/>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92"/>
              </w:rPr>
              <w:t>(unaudited)</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color w:val="auto"/>
                <w:w w:val="90"/>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4"/>
          </w:tcPr>
          <w:p>
            <w:pPr>
              <w:jc w:val="center"/>
              <w:ind w:left="410"/>
              <w:spacing w:after="0"/>
              <w:rPr>
                <w:sz w:val="20"/>
                <w:szCs w:val="20"/>
                <w:color w:val="auto"/>
              </w:rPr>
            </w:pPr>
            <w:r>
              <w:rPr>
                <w:rFonts w:ascii="Arial" w:cs="Arial" w:eastAsia="Arial" w:hAnsi="Arial"/>
                <w:sz w:val="18"/>
                <w:szCs w:val="18"/>
                <w:color w:val="auto"/>
                <w:w w:val="90"/>
              </w:rPr>
              <w:t>(In thousands)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50"/>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16,911</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comprehensive income, before tax</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Unrealized gains arising during period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1,366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rPr>
              <w:t>Change in unrealized gains for which a portion of other than temporary</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impairment has been recognized in earnings</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Reclassification adjustments for gains included in earnings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Unrealized gains recognized in other comprehensive</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income on securities available for sale</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1,376</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482</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Unrealized gains recognized in other comprehensive</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income on available for sale securities, net of tax</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jc w:val="right"/>
              <w:ind w:right="3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2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gridSpan w:val="3"/>
          </w:tcPr>
          <w:p>
            <w:pPr>
              <w:jc w:val="right"/>
              <w:ind w:right="700"/>
              <w:spacing w:after="0"/>
              <w:rPr>
                <w:sz w:val="20"/>
                <w:szCs w:val="20"/>
                <w:color w:val="auto"/>
              </w:rPr>
            </w:pPr>
            <w:r>
              <w:rPr>
                <w:rFonts w:ascii="Arial" w:cs="Arial" w:eastAsia="Arial" w:hAnsi="Arial"/>
                <w:sz w:val="18"/>
                <w:szCs w:val="18"/>
                <w:color w:val="auto"/>
              </w:rPr>
              <w:t>INDEPENDENT BANK CORPORATION AND SUBSIDIARIES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500" w:type="dxa"/>
            <w:vAlign w:val="bottom"/>
            <w:gridSpan w:val="3"/>
          </w:tcPr>
          <w:p>
            <w:pPr>
              <w:jc w:val="right"/>
              <w:ind w:right="1240"/>
              <w:spacing w:after="0" w:line="190" w:lineRule="exact"/>
              <w:rPr>
                <w:sz w:val="20"/>
                <w:szCs w:val="20"/>
                <w:color w:val="auto"/>
              </w:rPr>
            </w:pPr>
            <w:r>
              <w:rPr>
                <w:rFonts w:ascii="Arial" w:cs="Arial" w:eastAsia="Arial" w:hAnsi="Arial"/>
                <w:sz w:val="18"/>
                <w:szCs w:val="18"/>
                <w:color w:val="auto"/>
              </w:rPr>
              <w:t>Condensed Consolidated Statements of Cash Flows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600" w:type="dxa"/>
            <w:vAlign w:val="bottom"/>
            <w:gridSpan w:val="7"/>
          </w:tcPr>
          <w:p>
            <w:pPr>
              <w:spacing w:after="0"/>
              <w:rPr>
                <w:sz w:val="20"/>
                <w:szCs w:val="20"/>
                <w:color w:val="auto"/>
              </w:rPr>
            </w:pPr>
            <w:r>
              <w:rPr>
                <w:rFonts w:ascii="Arial" w:cs="Arial" w:eastAsia="Arial" w:hAnsi="Arial"/>
                <w:sz w:val="18"/>
                <w:szCs w:val="18"/>
                <w:color w:val="auto"/>
                <w:w w:val="92"/>
              </w:rPr>
              <w:t>Nine months ended September 30,</w:t>
            </w: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18"/>
                <w:szCs w:val="18"/>
                <w:color w:val="auto"/>
                <w:w w:val="95"/>
              </w:rPr>
              <w:t>(unaudited - In thousands)</w:t>
            </w:r>
          </w:p>
        </w:tc>
      </w:tr>
      <w:tr>
        <w:trPr>
          <w:trHeight w:val="223"/>
        </w:trPr>
        <w:tc>
          <w:tcPr>
            <w:tcW w:w="20" w:type="dxa"/>
            <w:vAlign w:val="bottom"/>
          </w:tcPr>
          <w:p>
            <w:pPr>
              <w:spacing w:after="0"/>
              <w:rPr>
                <w:sz w:val="19"/>
                <w:szCs w:val="19"/>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16,911</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14,447</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sales of loans held for sale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227,381</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Disbursements for loans held for sale</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(225,025)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(223,446)</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Deferred federal income tax expense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7,210</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Deferred loan fees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w:t>
            </w:r>
          </w:p>
        </w:tc>
      </w:tr>
      <w:tr>
        <w:trPr>
          <w:trHeight w:val="202"/>
        </w:trPr>
        <w:tc>
          <w:tcPr>
            <w:tcW w:w="20" w:type="dxa"/>
            <w:vAlign w:val="bottom"/>
          </w:tcPr>
          <w:p>
            <w:pPr>
              <w:spacing w:after="0"/>
              <w:rPr>
                <w:sz w:val="17"/>
                <w:szCs w:val="17"/>
                <w:color w:val="auto"/>
              </w:rPr>
            </w:pPr>
          </w:p>
        </w:tc>
        <w:tc>
          <w:tcPr>
            <w:tcW w:w="8800" w:type="dxa"/>
            <w:vAlign w:val="bottom"/>
            <w:gridSpan w:val="4"/>
          </w:tcPr>
          <w:p>
            <w:pPr>
              <w:ind w:left="160"/>
              <w:spacing w:after="0" w:line="201" w:lineRule="exact"/>
              <w:rPr>
                <w:sz w:val="20"/>
                <w:szCs w:val="20"/>
                <w:color w:val="auto"/>
              </w:rPr>
            </w:pPr>
            <w:r>
              <w:rPr>
                <w:rFonts w:ascii="Arial" w:cs="Arial" w:eastAsia="Arial" w:hAnsi="Arial"/>
                <w:sz w:val="18"/>
                <w:szCs w:val="18"/>
                <w:color w:val="auto"/>
                <w:w w:val="96"/>
              </w:rPr>
              <w:t>Depreciation, amortization of intangible assets and premiums and accretion of discounts on securities, loans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gridSpan w:val="3"/>
          </w:tcPr>
          <w:p>
            <w:pPr>
              <w:jc w:val="right"/>
              <w:ind w:right="6180"/>
              <w:spacing w:after="0"/>
              <w:rPr>
                <w:sz w:val="20"/>
                <w:szCs w:val="20"/>
                <w:color w:val="auto"/>
              </w:rPr>
            </w:pPr>
            <w:r>
              <w:rPr>
                <w:rFonts w:ascii="Arial" w:cs="Arial" w:eastAsia="Arial" w:hAnsi="Arial"/>
                <w:sz w:val="18"/>
                <w:szCs w:val="18"/>
                <w:color w:val="auto"/>
                <w:w w:val="89"/>
              </w:rPr>
              <w:t>interest bearning deposits - time</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3,345</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gains on mortgage loans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(5,735)</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gains on securities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(gains) losses on other real estate and repossessed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Vehicle service contract counterparty contingencies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Gain on branch sale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gain on sale of fixed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Increase in accrued income and other assets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(5,540)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Increase (decrease) in accrued expenses and other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Total Adjustments</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(3,805)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5,113</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Cash From Operating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Flow Used in Investing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sale of securities available for sale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11,786</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maturity of securities available for sale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25,458</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Principal payments received on securities available for sale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94,333</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Purchases of securities available for sale</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(213,839)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(195,623)</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Purchases of interest bearing deposits - time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(4,100)</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maturity of interest bearing deposits - time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4,576</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Purchase of Federal Reserve Bank stock</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Redemption of Federal Reserve Bank stock</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Redemption of Federal Home Loan Bank stock</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4,514</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(73,673)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(56,407)</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Purchase of portfolio loans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cash paid in branch sale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(7,229)</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collection of vehicle service contract counterparty receivables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5,619</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life insurance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(2,925)</w:t>
            </w: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(82,315)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(119,134)</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increase in total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120,997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145,313</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increase (decrease) in 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Payments of Federal Home Loan Bank Advances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decrease in vehicle service contract counterparty payables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(4,118)</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(16,854)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(9,025)</w:t>
            </w:r>
          </w:p>
        </w:tc>
      </w:tr>
      <w:tr>
        <w:trPr>
          <w:trHeight w:val="223"/>
        </w:trPr>
        <w:tc>
          <w:tcPr>
            <w:tcW w:w="20" w:type="dxa"/>
            <w:vAlign w:val="bottom"/>
          </w:tcPr>
          <w:p>
            <w:pPr>
              <w:spacing w:after="0"/>
              <w:rPr>
                <w:sz w:val="19"/>
                <w:szCs w:val="19"/>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w:t>
            </w: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3540" w:type="dxa"/>
            <w:vAlign w:val="bottom"/>
            <w:tcBorders>
              <w:top w:val="single" w:sz="8" w:color="CCEEFF"/>
            </w:tcBorders>
          </w:tcPr>
          <w:p>
            <w:pPr>
              <w:spacing w:after="0"/>
              <w:rPr>
                <w:sz w:val="19"/>
                <w:szCs w:val="19"/>
                <w:color w:val="auto"/>
              </w:rPr>
            </w:pPr>
          </w:p>
        </w:tc>
        <w:tc>
          <w:tcPr>
            <w:tcW w:w="49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Net Cash From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97,742</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130,755</w:t>
            </w:r>
          </w:p>
        </w:tc>
        <w:tc>
          <w:tcPr>
            <w:tcW w:w="100" w:type="dxa"/>
            <w:vAlign w:val="bottom"/>
            <w:tcBorders>
              <w:top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85,783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74,016</w:t>
            </w: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114,316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paid during the period for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w:t>
            </w: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Transfer of payment plan receivables to vehicle service contract counterparty receivables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642"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642"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4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140" w:type="dxa"/>
            <w:vAlign w:val="bottom"/>
            <w:gridSpan w:val="3"/>
          </w:tcPr>
          <w:p>
            <w:pPr>
              <w:jc w:val="center"/>
              <w:ind w:left="2550"/>
              <w:spacing w:after="0"/>
              <w:rPr>
                <w:sz w:val="20"/>
                <w:szCs w:val="20"/>
                <w:color w:val="auto"/>
              </w:rPr>
            </w:pPr>
            <w:r>
              <w:rPr>
                <w:rFonts w:ascii="Arial" w:cs="Arial" w:eastAsia="Arial" w:hAnsi="Arial"/>
                <w:sz w:val="18"/>
                <w:szCs w:val="18"/>
                <w:color w:val="auto"/>
                <w:w w:val="97"/>
              </w:rPr>
              <w:t>INDEPENDENT BANK CORPORATION AND SUBSIDIARIES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920" w:type="dxa"/>
            <w:vAlign w:val="bottom"/>
            <w:gridSpan w:val="2"/>
          </w:tcPr>
          <w:p>
            <w:pPr>
              <w:jc w:val="center"/>
              <w:ind w:right="560"/>
              <w:spacing w:after="0" w:line="190" w:lineRule="exact"/>
              <w:rPr>
                <w:sz w:val="20"/>
                <w:szCs w:val="20"/>
                <w:color w:val="auto"/>
              </w:rPr>
            </w:pPr>
            <w:r>
              <w:rPr>
                <w:rFonts w:ascii="Arial" w:cs="Arial" w:eastAsia="Arial" w:hAnsi="Arial"/>
                <w:sz w:val="18"/>
                <w:szCs w:val="18"/>
                <w:color w:val="auto"/>
                <w:w w:val="89"/>
              </w:rPr>
              <w:t>Condensed Consolidated Statements of Shareholders' Equity</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9"/>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Cumulative effect of change in accounting principle</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Cash dividends declared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Issuance of common stock</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Net change in accumulated other comprehensive loss, net of related tax effect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250,902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2015 included in our Annual Report on Form 10-K.</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the accompanying unaudited condensed consolidated financial statements contain all the adjustments necessary to present fairly our consolidated financial condition as of September 30, 2016 and December 31, 2015, and the results of operations for the three and nine-month periods ended September 30, 2016 and 2015. The results of operations for the three and nine-month periods ended September 30, 2016, are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the determination of vehicle service contract counterparty contingencies, the valuation of originated mortgage loan servicing rights and the valuation of deferred tax assets. Refer to our 2015 Annual Report on Form 10-K for a disclosure of our accounting policies.</w:t>
      </w:r>
    </w:p>
    <w:p>
      <w:pPr>
        <w:spacing w:after="0" w:line="21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June 2014, the Financial Accounting Standards Board (“FASB”) issued Accounting Standards Update (“ASU”) 2014-12, “Compensation – Stock Compensation (Topic 718) – Accounting for Share-Based Payments When the Terms of an Award Provide That a Performance Target Could Be Achieved After the Requisite Service Period”. This ASU amends existing guidance related to the accounting for share-based payments when the terms of an award provide that a performance target could be achieved after the requisite service period. These amendments require that a performance target that affects vesting and that could be achieved after the requisite service period be treated as a performance condition.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This amended guidance became effective for us on January 1, 2016, and did not have a material impact on our consolidated operating results or financial condition.</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(Topic 606)</w:t>
      </w:r>
      <w:r>
        <w:rPr>
          <w:rFonts w:ascii="Arial" w:cs="Arial" w:eastAsia="Arial" w:hAnsi="Arial"/>
          <w:sz w:val="18"/>
          <w:szCs w:val="18"/>
          <w:i w:val="1"/>
          <w:iCs w:val="1"/>
          <w:color w:val="auto"/>
        </w:rPr>
        <w:t>”.</w:t>
      </w:r>
      <w:r>
        <w:rPr>
          <w:rFonts w:ascii="Arial" w:cs="Arial" w:eastAsia="Arial" w:hAnsi="Arial"/>
          <w:sz w:val="18"/>
          <w:szCs w:val="18"/>
          <w:color w:val="auto"/>
        </w:rPr>
        <w:t xml:space="preserve"> This ASU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ASU specifies the accounting for some costs to obtain or fulfill a contract with a customer. This amended guidance is effective for us on January 1, 2018, and is not expected to have a material impact on our consolidated operating results or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2016, the FASB issued ASU 2016-01, “Financial Instruments – Overall (Subtopic 825-10) – Recognition and Measurement of Financial Assets and Financial Liabilities”. This ASU amends existing guidance related to the accounting for certain financial assets and liabilities. These amendments, among other things,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This amended guidance is effective for us on January 1, 2018, and is not expected to have a material impact on our consolidated operating results or financial condition.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“Leases (Topic 842)”. This ASU amends existing guidance related to the accounting for leases. These amendments, among other things, requires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is effective for us on January 1, 2019, and is not expected to have a material impact on our consolidated operating results or financial condition.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(718) Improvements to Employee Share-Based Payment Accounting”. This ASU amends existing guidance in an effort to simplify certain aspects of accounting for share-based payments. The areas for simplification in this ASU include income tax consequences, classification of awards as either equity or liabilities and classification on the statement of cash flows. This amended guidance is effective for us on January 1, 2017, with early adoption permitted. We adopted this amended guidance during the second quarter of 2016 using a modified retrospective approach. The impact of this adoption was to adjust our January 1, 2016 Condensed Consolidated Statement of Financial Position to reflect cumulative effect adjustments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90"/>
              <w:spacing w:after="0"/>
              <w:rPr>
                <w:sz w:val="20"/>
                <w:szCs w:val="20"/>
                <w:color w:val="auto"/>
              </w:rPr>
            </w:pPr>
            <w:r>
              <w:rPr>
                <w:rFonts w:ascii="Arial" w:cs="Arial" w:eastAsia="Arial" w:hAnsi="Arial"/>
                <w:sz w:val="18"/>
                <w:szCs w:val="18"/>
                <w:color w:val="auto"/>
                <w:w w:val="87"/>
              </w:rPr>
              <w:t>January 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Cumulative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January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90"/>
              <w:spacing w:after="0"/>
              <w:rPr>
                <w:sz w:val="20"/>
                <w:szCs w:val="20"/>
                <w:color w:val="auto"/>
              </w:rPr>
            </w:pPr>
            <w:r>
              <w:rPr>
                <w:rFonts w:ascii="Arial" w:cs="Arial" w:eastAsia="Arial" w:hAnsi="Arial"/>
                <w:sz w:val="18"/>
                <w:szCs w:val="18"/>
                <w:color w:val="auto"/>
                <w:w w:val="98"/>
              </w:rPr>
              <w:t>Originally</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Retrospective</w:t>
            </w: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5"/>
              </w:rPr>
              <w:t>Presented</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Adjustments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color w:val="auto"/>
                <w:w w:val="89"/>
              </w:rPr>
              <w:t>(Dollars 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2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39,635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assets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2,409,066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2,410,313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339,462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Accumulated deficit</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(82,334)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(81,149)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252,339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2,409,066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2,410,313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80" w:type="dxa"/>
            <w:vAlign w:val="bottom"/>
            <w:vMerge w:val="restart"/>
          </w:tcPr>
          <w:p>
            <w:pPr>
              <w:jc w:val="right"/>
              <w:ind w:right="1614"/>
              <w:spacing w:after="0"/>
              <w:rPr>
                <w:sz w:val="20"/>
                <w:szCs w:val="20"/>
                <w:color w:val="auto"/>
              </w:rPr>
            </w:pPr>
            <w:r>
              <w:rPr>
                <w:rFonts w:ascii="Arial" w:cs="Arial" w:eastAsia="Arial" w:hAnsi="Arial"/>
                <w:sz w:val="14"/>
                <w:szCs w:val="14"/>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adjustments above reflect the recording of $1.23 million of unrealized excess benefits on share based compensation and $0.06 million (impact to equity of $0.02 million after consideration of deferred taxes) for the impact of making an accounting policy election to account for forfeitures as they occur. After January 1, 2016, excess tax benefits or deficiencies resulting from share-based payments will be recognized as tax benefit or expense when they occur. Tax benefits of zero and $0.3 million were recorded during the three and nine month periods ended September 30, 2016, respectively as a result of share awards vesting during the periods. In addition, we have elected to apply the amendments related to the presentation of excess tax benefits in the statement of cash flows on a prospective basis.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 will replace today’s “incurred loss” approach with an “expected loss” model for instruments measured at amortized cost. For available-for-sale debt securities, allowances will be recorded rather than reducing the carrying amount as is done under the current other-than-temporary impairment model. This ASU also simplifies the accounting model for purchased credit-impaired debt securities and loans. This amended guidance is effective for us on January 1, 2020. We have not yet determined what the impact will be on our consolidated operating results or financial condition.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4"/>
          </w:tcPr>
          <w:p>
            <w:pPr>
              <w:spacing w:after="0"/>
              <w:rPr>
                <w:sz w:val="20"/>
                <w:szCs w:val="20"/>
                <w:color w:val="auto"/>
              </w:rPr>
            </w:pPr>
            <w:r>
              <w:rPr>
                <w:rFonts w:ascii="Arial" w:cs="Arial" w:eastAsia="Arial" w:hAnsi="Arial"/>
                <w:sz w:val="18"/>
                <w:szCs w:val="18"/>
                <w:color w:val="auto"/>
              </w:rPr>
              <w:t>3.  Securities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20" w:type="dxa"/>
            <w:vAlign w:val="bottom"/>
            <w:gridSpan w:val="4"/>
          </w:tcPr>
          <w:p>
            <w:pPr>
              <w:spacing w:after="0"/>
              <w:rPr>
                <w:sz w:val="20"/>
                <w:szCs w:val="20"/>
                <w:color w:val="auto"/>
              </w:rPr>
            </w:pPr>
            <w:r>
              <w:rPr>
                <w:rFonts w:ascii="Arial" w:cs="Arial" w:eastAsia="Arial" w:hAnsi="Arial"/>
                <w:sz w:val="18"/>
                <w:szCs w:val="18"/>
                <w:color w:val="auto"/>
              </w:rPr>
              <w:t>Securities available for sale consist of the following:</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4"/>
            <w:vMerge w:val="restart"/>
          </w:tcPr>
          <w:p>
            <w:pPr>
              <w:spacing w:after="0"/>
              <w:rPr>
                <w:sz w:val="20"/>
                <w:szCs w:val="20"/>
                <w:color w:val="auto"/>
              </w:rPr>
            </w:pPr>
            <w:r>
              <w:rPr>
                <w:rFonts w:ascii="Arial" w:cs="Arial" w:eastAsia="Arial" w:hAnsi="Arial"/>
                <w:sz w:val="18"/>
                <w:szCs w:val="18"/>
                <w:color w:val="auto"/>
              </w:rPr>
              <w:t>September 30, 2016</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4"/>
            <w:vMerge w:val="continue"/>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29,482</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agency residential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1,857</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Private label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33,482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156,539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2,115</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Trust preferred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598,831</w:t>
            </w:r>
          </w:p>
        </w:tc>
        <w:tc>
          <w:tcPr>
            <w:tcW w:w="12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6,313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603,112</w:t>
            </w:r>
          </w:p>
        </w:tc>
        <w:tc>
          <w:tcPr>
            <w:tcW w:w="0" w:type="dxa"/>
            <w:vAlign w:val="bottom"/>
          </w:tcPr>
          <w:p>
            <w:pPr>
              <w:spacing w:after="0"/>
              <w:rPr>
                <w:sz w:val="1"/>
                <w:szCs w:val="1"/>
                <w:color w:val="auto"/>
              </w:rPr>
            </w:pPr>
          </w:p>
        </w:tc>
      </w:tr>
      <w:tr>
        <w:trPr>
          <w:trHeight w:val="21"/>
        </w:trPr>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December 31, 2015</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47,283</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agency residential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195,055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1,584</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196,056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Private label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Trust preferred</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ind w:left="180"/>
              <w:spacing w:after="0"/>
              <w:rPr>
                <w:sz w:val="20"/>
                <w:szCs w:val="20"/>
                <w:color w:val="auto"/>
              </w:rPr>
            </w:pPr>
            <w:r>
              <w:rPr>
                <w:rFonts w:ascii="Arial" w:cs="Arial" w:eastAsia="Arial" w:hAnsi="Arial"/>
                <w:sz w:val="18"/>
                <w:szCs w:val="18"/>
                <w:color w:val="auto"/>
              </w:rPr>
              <w:t>Less Than Twelve Months</w:t>
            </w:r>
          </w:p>
        </w:tc>
        <w:tc>
          <w:tcPr>
            <w:tcW w:w="140" w:type="dxa"/>
            <w:vAlign w:val="bottom"/>
          </w:tcPr>
          <w:p>
            <w:pPr>
              <w:spacing w:after="0"/>
              <w:rPr>
                <w:sz w:val="20"/>
                <w:szCs w:val="20"/>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color w:val="auto"/>
              </w:rPr>
              <w:t>Twelve Months or More</w:t>
            </w:r>
          </w:p>
        </w:tc>
        <w:tc>
          <w:tcPr>
            <w:tcW w:w="1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ind w:left="5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22,982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19,099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42,081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Private label mortgage- 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12,202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17,853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33,056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12,164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backed</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16,747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Private label mortgage- backed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subdivisions</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52,493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30,550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30,550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272,152</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55,638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327,790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U.S. agency, U.S. agency residential mortgage-backed securities and U.S. agency commercial mortgage backed securities — at September 30, 2016, we had 21 U.S. agency, 59 U.S. agency residential mortgage-backed and seven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Private label mortgage backed securities — at September 30, 2016, we had 24 of this type of security whose fair value is less than amortized cost. The unrealized losses are primarily attributed to four securities purchased prior to 2016. Two of these four securities have an impairment in excess of 10% and three of these holdings have been impaired for more than 12 months. The unrealized losses are largely attributable to credit spread widening on these four securities since their acquisition.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four securities are receiving principal and interest payments. Most of these transactions are pass-through structures, receiving pro rata principal and interest payments from a dedicated collateral pool. The nonreceipt of interest cash flows is not expected and thus not presently considered in our discounted cash flow methodology discussed below.</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four private label mortgage-backed securities are reviewed for other than temporary impairment (“OTTI”) utilizing a cash flow projection. The cash flow analysis forecasts cash flow from the underlying loans in each transaction and then applies these cash flows to the bonds in the securitization. Our cash flow analysis forecasts complete recovery of our cost basis for all four of these securities whose fair value is less than amortized cost.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asset backed — at September 30, 2016, we had 70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Obligations of states and political subdivisions — at September 30, 2016, we had 100 municipal securities whose fair value is less than amortized cost. The unrealized losses are primarily due to increases in interest rates since acquisition. One of these securities has an impairment in excess of 10%.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Corporate — at September 30, 2016, we had seven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Trust preferred securities — at September 30, 2016, we had three trust preferred securities whose fair value is less than amortized cost. All of our trust preferred securities are single issue securities issued by a trust subsidiary of a bank holding company. The pricing of trust preferred securities has suffered from credit spread widening.</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of the three securities is rated by two major rating agencies as investment grade, while one (a Bank of America issuance) is rated below investment grade by two major rating agencies and the other one is non-rated. The non-rated issue is a relatively small bank and was never rated. The issuer of this non-rated trust preferred security, which had a total amortized cost of $1.0 million and total fair value of $0.7 million as of September 30, 2016, continues to have satisfactory credit metrics and make interest payments.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breaks out our trust preferred securities in further detail as of September 30, 2016 and December 31,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70"/>
              <w:spacing w:after="0"/>
              <w:rPr>
                <w:sz w:val="20"/>
                <w:szCs w:val="20"/>
                <w:color w:val="auto"/>
              </w:rPr>
            </w:pPr>
            <w:r>
              <w:rPr>
                <w:rFonts w:ascii="Arial" w:cs="Arial" w:eastAsia="Arial" w:hAnsi="Arial"/>
                <w:sz w:val="18"/>
                <w:szCs w:val="18"/>
                <w:color w:val="auto"/>
              </w:rPr>
              <w:t>September 30, 2016</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color w:val="auto"/>
              </w:rPr>
              <w:t>December 31, 2015</w:t>
            </w:r>
          </w:p>
        </w:tc>
      </w:t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r>
      <w:tr>
        <w:trPr>
          <w:trHeight w:val="237"/>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100" w:type="dxa"/>
            <w:vAlign w:val="bottom"/>
          </w:tcPr>
          <w:p>
            <w:pPr>
              <w:spacing w:after="0"/>
              <w:rPr>
                <w:sz w:val="20"/>
                <w:szCs w:val="20"/>
                <w:color w:val="auto"/>
              </w:rPr>
            </w:pPr>
          </w:p>
        </w:tc>
      </w:tr>
      <w:tr>
        <w:trPr>
          <w:trHeight w:val="230"/>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color w:val="auto"/>
              </w:rPr>
              <w:t>Trust preferred securities</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Rated issues</w:t>
            </w: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Unrated issues</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declines are deemed to be other than temporary.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no credit related OTTI charges in our Condensed Consolidated Statements of Operations related to securities available for sale during the three or nine month periods ended September 30, 2016 and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2016, three private label mortgage-backed securities had credit related OTTI and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90"/>
              <w:spacing w:after="0"/>
              <w:rPr>
                <w:sz w:val="20"/>
                <w:szCs w:val="20"/>
                <w:color w:val="auto"/>
              </w:rPr>
            </w:pPr>
            <w:r>
              <w:rPr>
                <w:rFonts w:ascii="Arial" w:cs="Arial" w:eastAsia="Arial" w:hAnsi="Arial"/>
                <w:sz w:val="18"/>
                <w:szCs w:val="18"/>
                <w:color w:val="auto"/>
                <w:w w:val="87"/>
              </w:rPr>
              <w:t>Super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Senior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Senior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8"/>
                <w:szCs w:val="18"/>
                <w:color w:val="auto"/>
                <w:w w:val="92"/>
              </w:rPr>
              <w:t>Senior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Support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Security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Security</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Security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color w:val="auto"/>
              </w:rPr>
              <w:t>As of September 30, 2016</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Amortized cost</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1,064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Non-credit unrealized loss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Unrealized gain</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Cumulative credit related OTTI</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Credit related OTTI recognized in our Condensed</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Consolidated Statements of Operations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 the three months ended September 30,</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2016</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2015</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For the nine months ended September 30,</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2016</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480"/>
              <w:spacing w:after="0"/>
              <w:rPr>
                <w:sz w:val="20"/>
                <w:szCs w:val="20"/>
                <w:color w:val="auto"/>
              </w:rPr>
            </w:pPr>
            <w:r>
              <w:rPr>
                <w:rFonts w:ascii="Arial" w:cs="Arial" w:eastAsia="Arial" w:hAnsi="Arial"/>
                <w:sz w:val="18"/>
                <w:szCs w:val="18"/>
                <w:color w:val="auto"/>
              </w:rPr>
              <w:t>2015</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60" w:type="dxa"/>
            <w:vAlign w:val="bottom"/>
          </w:tcPr>
          <w:p>
            <w:pPr>
              <w:jc w:val="right"/>
              <w:ind w:right="216"/>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these securities is receiving principal and interest payments similar to principal reductions in the underlying collateral. All three of these securities have unrealized gains at September 30, 2016. The original amortized cost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 roll forward of credit losses recognized in earnings on securities available for sale for the three and nine month periods ending September 30,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ind w:left="28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2460" w:type="dxa"/>
            <w:vAlign w:val="bottom"/>
            <w:gridSpan w:val="6"/>
          </w:tcPr>
          <w:p>
            <w:pPr>
              <w:ind w:left="400"/>
              <w:spacing w:after="0"/>
              <w:rPr>
                <w:sz w:val="20"/>
                <w:szCs w:val="20"/>
                <w:color w:val="auto"/>
              </w:rPr>
            </w:pPr>
            <w:r>
              <w:rPr>
                <w:rFonts w:ascii="Arial" w:cs="Arial" w:eastAsia="Arial" w:hAnsi="Arial"/>
                <w:sz w:val="18"/>
                <w:szCs w:val="18"/>
                <w:color w:val="auto"/>
              </w:rPr>
              <w:t>Nine months ended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ind w:left="580"/>
              <w:spacing w:after="0"/>
              <w:rPr>
                <w:sz w:val="20"/>
                <w:szCs w:val="20"/>
                <w:color w:val="auto"/>
              </w:rPr>
            </w:pPr>
            <w:r>
              <w:rPr>
                <w:rFonts w:ascii="Arial" w:cs="Arial" w:eastAsia="Arial" w:hAnsi="Arial"/>
                <w:sz w:val="18"/>
                <w:szCs w:val="18"/>
                <w:color w:val="auto"/>
              </w:rPr>
              <w:t>September 30,</w:t>
            </w: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71"/>
              </w:rPr>
              <w:t>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60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rPr>
              <w:t>Additions to credit losses on securities for which no previous OTTI was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recognized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Increases to credit losses on securities for which OTTI was previously</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recognized</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1,844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r>
      <w:tr>
        <w:trPr>
          <w:trHeight w:val="21"/>
        </w:trPr>
        <w:tc>
          <w:tcPr>
            <w:tcW w:w="60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820" w:type="dxa"/>
            <w:vAlign w:val="bottom"/>
            <w:gridSpan w:val="10"/>
          </w:tcPr>
          <w:p>
            <w:pPr>
              <w:spacing w:after="0"/>
              <w:rPr>
                <w:sz w:val="20"/>
                <w:szCs w:val="20"/>
                <w:color w:val="auto"/>
              </w:rPr>
            </w:pPr>
            <w:r>
              <w:rPr>
                <w:rFonts w:ascii="Arial" w:cs="Arial" w:eastAsia="Arial" w:hAnsi="Arial"/>
                <w:sz w:val="18"/>
                <w:szCs w:val="18"/>
                <w:color w:val="auto"/>
                <w:w w:val="92"/>
              </w:rPr>
              <w:t>The amortized cost and fair value of securities available for sale at September 30, 2016, by contractual maturity, follow:</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155"/>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23,706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23,753</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86,673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87,599</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63,799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64,784</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67,186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67,360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169,958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13,694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13,892</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Private label residential mortgage-backed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8"/>
                <w:szCs w:val="18"/>
                <w:color w:val="auto"/>
              </w:rPr>
              <w:t>33,482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33,578</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142,058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598,831</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603,112</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nine month periods ending September 30,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Proceeds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Gains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Losses</w:t>
            </w:r>
          </w:p>
        </w:tc>
      </w:tr>
      <w:tr>
        <w:trPr>
          <w:trHeight w:val="216"/>
        </w:trPr>
        <w:tc>
          <w:tcPr>
            <w:tcW w:w="7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jc w:val="right"/>
              <w:ind w:right="6990"/>
              <w:spacing w:after="0"/>
              <w:rPr>
                <w:sz w:val="20"/>
                <w:szCs w:val="20"/>
                <w:color w:val="auto"/>
              </w:rPr>
            </w:pPr>
            <w:r>
              <w:rPr>
                <w:rFonts w:ascii="Arial" w:cs="Arial" w:eastAsia="Arial" w:hAnsi="Arial"/>
                <w:sz w:val="18"/>
                <w:szCs w:val="18"/>
                <w:color w:val="auto"/>
                <w:w w:val="84"/>
              </w:rPr>
              <w:t>2016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30"/>
        </w:trPr>
        <w:tc>
          <w:tcPr>
            <w:tcW w:w="7440" w:type="dxa"/>
            <w:vAlign w:val="bottom"/>
          </w:tcPr>
          <w:p>
            <w:pPr>
              <w:jc w:val="right"/>
              <w:ind w:right="6990"/>
              <w:spacing w:after="0"/>
              <w:rPr>
                <w:sz w:val="20"/>
                <w:szCs w:val="20"/>
                <w:color w:val="auto"/>
              </w:rPr>
            </w:pPr>
            <w:r>
              <w:rPr>
                <w:rFonts w:ascii="Arial" w:cs="Arial" w:eastAsia="Arial" w:hAnsi="Arial"/>
                <w:sz w:val="18"/>
                <w:szCs w:val="18"/>
                <w:color w:val="auto"/>
                <w:w w:val="84"/>
              </w:rPr>
              <w:t>2015</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11,786</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2016 and 2015, our trading securities consisted of various preferred stocks. During the first nine months of 2016 and 2015, we recognized gains on trading securities of $0.004 million and $0.022 million, respectively, that are included in net gains on securities in the Condensed Consolidated Statements of Operations. Both of these amounts relate to gains recognized on trading securities still held at each respective period end.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assessment of the allowance for loan losses is based on an evaluation of the loan portfolio, recent loss experience, current economic conditions and other pertinent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loan losses by portfolio segment for the three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Payment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Plan</w:t>
            </w: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Subjective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Commercial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7"/>
              </w:rPr>
              <w:t>Mortgage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Receivables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Allocation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jc w:val="right"/>
              <w:ind w:right="2890"/>
              <w:spacing w:after="0"/>
              <w:rPr>
                <w:sz w:val="20"/>
                <w:szCs w:val="20"/>
                <w:color w:val="auto"/>
              </w:rPr>
            </w:pPr>
            <w:r>
              <w:rPr>
                <w:rFonts w:ascii="Arial" w:cs="Arial" w:eastAsia="Arial" w:hAnsi="Arial"/>
                <w:sz w:val="18"/>
                <w:szCs w:val="18"/>
                <w:color w:val="auto"/>
                <w:w w:val="84"/>
              </w:rPr>
              <w:t>2016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jc w:val="right"/>
              <w:ind w:right="98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allowance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5,995</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1,110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5,543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22,043</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allowance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7,128</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1,320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4,771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loan losses by portfolio segment for the nine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Payment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Plan</w:t>
            </w: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Subjective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Commercial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Mortgage</w:t>
            </w: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Installment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Receivables</w:t>
            </w:r>
          </w:p>
        </w:tc>
        <w:tc>
          <w:tcPr>
            <w:tcW w:w="14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Allocation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jc w:val="right"/>
              <w:ind w:right="2890"/>
              <w:spacing w:after="0"/>
              <w:rPr>
                <w:sz w:val="20"/>
                <w:szCs w:val="20"/>
                <w:color w:val="auto"/>
              </w:rPr>
            </w:pPr>
            <w:r>
              <w:rPr>
                <w:rFonts w:ascii="Arial" w:cs="Arial" w:eastAsia="Arial" w:hAnsi="Arial"/>
                <w:sz w:val="18"/>
                <w:szCs w:val="18"/>
                <w:color w:val="auto"/>
                <w:w w:val="84"/>
              </w:rPr>
              <w:t>2016</w:t>
            </w: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allowance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5,995</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9,343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1,110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5,543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22,043</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allowance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7,128</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1,320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4,771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 and recorded investment in loans by portfolio segment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Payment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Plan</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7"/>
              </w:rPr>
              <w:t>Mortgage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Installment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Receivables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Allocation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September 30, 2016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ind w:left="5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2,626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ending allowance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16,087</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60,891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31,188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1,530,037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loans recorded investment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786,729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525,125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269,074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31,188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1,612,116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Accrued interest included in recorded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784,976</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522,833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268,357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31,188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1,607,354</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December 31, 2015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ending allowance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5,670</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5,272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16,868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733,399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433,931</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228,827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34,599</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recorded investment</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500,306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Accrued interest included in recorded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2,270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498,036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1,515,050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on non-accrual status and past due more than 90 days (“Non-performing Loans”)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90+ and</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Total Non-</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rPr>
              <w:t>Still</w:t>
            </w:r>
          </w:p>
        </w:tc>
        <w:tc>
          <w:tcPr>
            <w:tcW w:w="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Non-</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Performing</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Accruing</w:t>
            </w:r>
          </w:p>
        </w:tc>
        <w:tc>
          <w:tcPr>
            <w:tcW w:w="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Accrual</w:t>
            </w: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September 30, 2016</w:t>
            </w:r>
          </w:p>
        </w:tc>
        <w:tc>
          <w:tcPr>
            <w:tcW w:w="4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8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not secured by real estate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Full refund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Partial refund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not secured by real estate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Full refund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Partial refund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110"/>
              <w:spacing w:after="0"/>
              <w:rPr>
                <w:sz w:val="20"/>
                <w:szCs w:val="20"/>
                <w:color w:val="auto"/>
              </w:rPr>
            </w:pPr>
            <w:r>
              <w:rPr>
                <w:rFonts w:ascii="Arial" w:cs="Arial" w:eastAsia="Arial" w:hAnsi="Arial"/>
                <w:sz w:val="14"/>
                <w:szCs w:val="14"/>
                <w:color w:val="auto"/>
                <w:w w:val="89"/>
              </w:rPr>
              <w:t>18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6"/>
              </w:rPr>
              <w:t>An aging analysis of loans by class follows: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color w:val="auto"/>
              </w:rPr>
              <w:t>Loans Past Due</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Loans not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30-59 days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60-89 days</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90+ days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Past Due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September 30, 2016</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273,461</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53,836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458,080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285,892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3,599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103,597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52,882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Full refund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Partial refund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1,612,116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ind w:left="160"/>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4,667</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305,155</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306,214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Land, land development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construction - real estate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44,231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398,618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399,570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7,327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269,880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277,207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22,327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Purchased loans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1,071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193,680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Payment plan receivables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Full refund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Partial refund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5,881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8,201</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15,637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1,504,250</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1,519,887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Impaired loans are as follows:</w:t>
            </w:r>
          </w:p>
        </w:tc>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40" w:type="dxa"/>
            <w:vAlign w:val="bottom"/>
            <w:gridSpan w:val="3"/>
          </w:tcPr>
          <w:p>
            <w:pPr>
              <w:jc w:val="right"/>
              <w:ind w:right="75"/>
              <w:spacing w:after="0"/>
              <w:rPr>
                <w:sz w:val="20"/>
                <w:szCs w:val="20"/>
                <w:color w:val="auto"/>
              </w:rPr>
            </w:pPr>
            <w:r>
              <w:rPr>
                <w:rFonts w:ascii="Arial" w:cs="Arial" w:eastAsia="Arial" w:hAnsi="Arial"/>
                <w:sz w:val="18"/>
                <w:szCs w:val="18"/>
                <w:color w:val="auto"/>
                <w:w w:val="89"/>
              </w:rPr>
              <w:t>September 30,</w:t>
            </w:r>
          </w:p>
        </w:tc>
        <w:tc>
          <w:tcPr>
            <w:tcW w:w="12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Impaired loans with no allocated allowance</w:t>
            </w:r>
          </w:p>
        </w:tc>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w:t>
            </w:r>
          </w:p>
        </w:tc>
        <w:tc>
          <w:tcPr>
            <w:tcW w:w="41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541</w:t>
            </w: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Non - TDR</w:t>
            </w:r>
          </w:p>
        </w:tc>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5"/>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an allocated allowance</w:t>
            </w:r>
          </w:p>
        </w:tc>
        <w:tc>
          <w:tcPr>
            <w:tcW w:w="3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76,701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5"/>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 - TDR - allowance based on present value cash flow</w:t>
            </w:r>
          </w:p>
        </w:tc>
        <w:tc>
          <w:tcPr>
            <w:tcW w:w="3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41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5"/>
              <w:spacing w:after="0"/>
              <w:rPr>
                <w:sz w:val="20"/>
                <w:szCs w:val="20"/>
                <w:color w:val="auto"/>
              </w:rPr>
            </w:pPr>
            <w:r>
              <w:rPr>
                <w:rFonts w:ascii="Arial" w:cs="Arial" w:eastAsia="Arial" w:hAnsi="Arial"/>
                <w:sz w:val="18"/>
                <w:szCs w:val="18"/>
                <w:color w:val="auto"/>
              </w:rPr>
              <w:t>81,749</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88,793</w:t>
            </w:r>
          </w:p>
        </w:tc>
        <w:tc>
          <w:tcPr>
            <w:tcW w:w="0" w:type="dxa"/>
            <w:vAlign w:val="bottom"/>
          </w:tcPr>
          <w:p>
            <w:pPr>
              <w:spacing w:after="0"/>
              <w:rPr>
                <w:sz w:val="1"/>
                <w:szCs w:val="1"/>
                <w:color w:val="auto"/>
              </w:rPr>
            </w:pPr>
          </w:p>
        </w:tc>
      </w:tr>
      <w:tr>
        <w:trPr>
          <w:trHeight w:val="21"/>
        </w:trPr>
        <w:tc>
          <w:tcPr>
            <w:tcW w:w="496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Amount of allowance for loan losses allocated</w:t>
            </w:r>
          </w:p>
        </w:tc>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collateral</w:t>
            </w:r>
          </w:p>
        </w:tc>
        <w:tc>
          <w:tcPr>
            <w:tcW w:w="41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Non - TDR - allowance based on present value cash flow</w:t>
            </w:r>
          </w:p>
        </w:tc>
        <w:tc>
          <w:tcPr>
            <w:tcW w:w="3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amount of allowance for loan losses allocated</w:t>
            </w:r>
          </w:p>
        </w:tc>
        <w:tc>
          <w:tcPr>
            <w:tcW w:w="3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860" w:type="dxa"/>
            <w:vAlign w:val="bottom"/>
          </w:tcPr>
          <w:p>
            <w:pPr>
              <w:jc w:val="right"/>
              <w:ind w:right="2954"/>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9"/>
              </w:rPr>
              <w:t>Impaired loans by class are as follows (1):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8"/>
              </w:rPr>
              <w:t>September 30, 2016</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2015</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4"/>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w w:val="99"/>
              </w:rPr>
              <w:t>Recorded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7"/>
              </w:rPr>
              <w:t>Recorded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Principal</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5"/>
              </w:rPr>
              <w:t>Investment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Allowance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3"/>
              </w:rPr>
              <w:t>Investment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Allowance</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7"/>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3,744</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1,778</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44,922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49,808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17,327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18,319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2,223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2,492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81,404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84,072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86,404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90,182</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3,171</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45,227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17,327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18,319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2,290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2,568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82,079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85,940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10,375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89,131</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93,926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There were no impaired payment plan receivables or purchased mortgage loans at September 30, 2016 or December 31, 2015</w:t>
      </w:r>
    </w:p>
    <w:p>
      <w:pPr>
        <w:sectPr>
          <w:pgSz w:w="11900" w:h="16838" w:orient="portrait"/>
          <w:cols w:equalWidth="0" w:num="1">
            <w:col w:w="11420"/>
          </w:cols>
          <w:pgMar w:left="240" w:top="121" w:right="239" w:bottom="835"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835"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Average recorded investment in and interest income earned on impaired loans by class for the three month periods ending September 30, follows (1):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2016</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2015</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9"/>
              </w:rPr>
              <w:t>Recorded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3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2"/>
        </w:trPr>
        <w:tc>
          <w:tcPr>
            <w:tcW w:w="60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line="201" w:lineRule="exact"/>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83,676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97,669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84,372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908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105,680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38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were no impaired payment plan receivables or purchased mortgage loans during the three month periods ended September 30, 2016 and 2015, respectively.</w:t>
      </w:r>
    </w:p>
    <w:p>
      <w:pPr>
        <w:sectPr>
          <w:pgSz w:w="11900" w:h="16838" w:orient="portrait"/>
          <w:cols w:equalWidth="0" w:num="1">
            <w:col w:w="11420"/>
          </w:cols>
          <w:pgMar w:left="240" w:top="121"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Average recorded investment in and interest income earned on impaired loans by class for the nine month periods ending September 30, follows (1):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2016</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2015</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9"/>
              </w:rPr>
              <w:t>Recorded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3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2"/>
        </w:trPr>
        <w:tc>
          <w:tcPr>
            <w:tcW w:w="60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line="201" w:lineRule="exact"/>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1,447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84,839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99,669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3,085</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1,456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86,508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2,753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108,523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3,513</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4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were no impaired payment plan receivables or purchased mortgage loans during the nine month periods ended September 30, 2016 and 2015, respectively.</w:t>
      </w:r>
    </w:p>
    <w:p>
      <w:pPr>
        <w:sectPr>
          <w:pgSz w:w="11900" w:h="16838" w:orient="portrait"/>
          <w:cols w:equalWidth="0" w:num="1">
            <w:col w:w="11420"/>
          </w:cols>
          <w:pgMar w:left="240" w:top="121"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average investment in impaired loans was approximately $84.4 million and $105.7 million for the three-month periods ended September 30, 2016 and 2015, respectively and $86.5 million and $108.5 million for the nine-month periods ended September 30, 2016 and 2015, respectively. Cash receipts on impaired loans on non-accrual status are generally applied to the principal balance. Interest income recognized on impaired loans during the three months ending September 30, 2016 and 2015, was approximately $0.9 million and $1.1 million, respectively and was approximately $2.8 million and $3.5 million during the nine months ending September 30, 2016 and 2015,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Troubled debt restructurings follow:</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6"/>
        </w:trPr>
        <w:tc>
          <w:tcPr>
            <w:tcW w:w="3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September 30, 2016</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Commercial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Retail</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(In thousands)</w:t>
            </w:r>
          </w:p>
        </w:tc>
        <w:tc>
          <w:tcPr>
            <w:tcW w:w="460" w:type="dxa"/>
            <w:vAlign w:val="bottom"/>
            <w:gridSpan w:val="2"/>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62,299</w:t>
            </w:r>
          </w:p>
        </w:tc>
        <w:tc>
          <w:tcPr>
            <w:tcW w:w="6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74,941</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Non-performing TDRs(1)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3,421</w:t>
            </w:r>
          </w:p>
        </w:tc>
        <w:tc>
          <w:tcPr>
            <w:tcW w:w="380" w:type="dxa"/>
            <w:vAlign w:val="bottom"/>
          </w:tcPr>
          <w:p>
            <w:pPr>
              <w:jc w:val="right"/>
              <w:ind w:right="97"/>
              <w:spacing w:after="0"/>
              <w:rPr>
                <w:sz w:val="20"/>
                <w:szCs w:val="20"/>
                <w:color w:val="auto"/>
              </w:rPr>
            </w:pPr>
            <w:r>
              <w:rPr>
                <w:rFonts w:ascii="Arial" w:cs="Arial" w:eastAsia="Arial" w:hAnsi="Arial"/>
                <w:sz w:val="15"/>
                <w:szCs w:val="15"/>
                <w:color w:val="auto"/>
                <w:w w:val="97"/>
              </w:rPr>
              <w:t>(2)</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5,773</w:t>
            </w:r>
          </w:p>
        </w:tc>
        <w:tc>
          <w:tcPr>
            <w:tcW w:w="120" w:type="dxa"/>
            <w:vAlign w:val="bottom"/>
          </w:tcPr>
          <w:p>
            <w:pPr>
              <w:spacing w:after="0"/>
              <w:rPr>
                <w:sz w:val="19"/>
                <w:szCs w:val="19"/>
                <w:color w:val="auto"/>
              </w:rPr>
            </w:pPr>
          </w:p>
        </w:tc>
      </w:tr>
      <w:tr>
        <w:trPr>
          <w:trHeight w:val="257"/>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460"/>
        </w:trPr>
        <w:tc>
          <w:tcPr>
            <w:tcW w:w="3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December 31, 2015</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Commercial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Retail</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r>
      <w:tr>
        <w:trPr>
          <w:trHeight w:val="216"/>
        </w:trPr>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(In thousands)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68,194</w:t>
            </w:r>
          </w:p>
        </w:tc>
        <w:tc>
          <w:tcPr>
            <w:tcW w:w="6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81,512</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Non-performing TDRs(1)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3,777</w:t>
            </w:r>
          </w:p>
        </w:tc>
        <w:tc>
          <w:tcPr>
            <w:tcW w:w="380" w:type="dxa"/>
            <w:vAlign w:val="bottom"/>
          </w:tcPr>
          <w:p>
            <w:pPr>
              <w:jc w:val="right"/>
              <w:ind w:right="97"/>
              <w:spacing w:after="0"/>
              <w:rPr>
                <w:sz w:val="20"/>
                <w:szCs w:val="20"/>
                <w:color w:val="auto"/>
              </w:rPr>
            </w:pPr>
            <w:r>
              <w:rPr>
                <w:rFonts w:ascii="Arial" w:cs="Arial" w:eastAsia="Arial" w:hAnsi="Arial"/>
                <w:sz w:val="15"/>
                <w:szCs w:val="15"/>
                <w:color w:val="auto"/>
                <w:w w:val="97"/>
              </w:rPr>
              <w:t>(2)</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6,818</w:t>
            </w:r>
          </w:p>
        </w:tc>
        <w:tc>
          <w:tcPr>
            <w:tcW w:w="120" w:type="dxa"/>
            <w:vAlign w:val="bottom"/>
          </w:tcPr>
          <w:p>
            <w:pPr>
              <w:spacing w:after="0"/>
              <w:rPr>
                <w:sz w:val="19"/>
                <w:szCs w:val="19"/>
                <w:color w:val="auto"/>
              </w:rPr>
            </w:pPr>
          </w:p>
        </w:tc>
      </w:tr>
      <w:tr>
        <w:trPr>
          <w:trHeight w:val="257"/>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88,330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allocated $10.1 million and $10.9 million of specific reserves to customers whose loan terms have been modified in troubled debt restructurings as of September 30, 2016 and December 31, 2015,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2016 and 2015, the terms of certain loans were modified as troubled debt restructurings.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troubled debt restructurings during the three-month periods ended September 30 follow(1):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0" w:type="dxa"/>
            <w:vAlign w:val="bottom"/>
            <w:gridSpan w:val="3"/>
          </w:tcPr>
          <w:p>
            <w:pPr>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2"/>
            <w:vMerge w:val="restart"/>
          </w:tcPr>
          <w:p>
            <w:pPr>
              <w:jc w:val="right"/>
              <w:ind w:right="6790"/>
              <w:spacing w:after="0"/>
              <w:rPr>
                <w:sz w:val="20"/>
                <w:szCs w:val="20"/>
                <w:color w:val="auto"/>
              </w:rPr>
            </w:pPr>
            <w:r>
              <w:rPr>
                <w:rFonts w:ascii="Arial" w:cs="Arial" w:eastAsia="Arial" w:hAnsi="Arial"/>
                <w:sz w:val="18"/>
                <w:szCs w:val="18"/>
                <w:color w:val="auto"/>
                <w:w w:val="84"/>
              </w:rPr>
              <w:t>2016</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
        </w:trPr>
        <w:tc>
          <w:tcPr>
            <w:tcW w:w="72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2015</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not secured by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were no payment plan receivables or purchased mortgage loans classified as troubled debt restructurings during the three month periods ended September 30, 2016 and 2015,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troubled debt restructurings during the nine-month periods ended September 30 follow(1):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0" w:type="dxa"/>
            <w:vAlign w:val="bottom"/>
            <w:gridSpan w:val="3"/>
          </w:tcPr>
          <w:p>
            <w:pPr>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Contracts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2"/>
            <w:vMerge w:val="restart"/>
          </w:tcPr>
          <w:p>
            <w:pPr>
              <w:jc w:val="right"/>
              <w:ind w:right="6790"/>
              <w:spacing w:after="0"/>
              <w:rPr>
                <w:sz w:val="20"/>
                <w:szCs w:val="20"/>
                <w:color w:val="auto"/>
              </w:rPr>
            </w:pPr>
            <w:r>
              <w:rPr>
                <w:rFonts w:ascii="Arial" w:cs="Arial" w:eastAsia="Arial" w:hAnsi="Arial"/>
                <w:sz w:val="18"/>
                <w:szCs w:val="18"/>
                <w:color w:val="auto"/>
                <w:w w:val="84"/>
              </w:rPr>
              <w:t>2016</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40" w:type="dxa"/>
            <w:vAlign w:val="bottom"/>
            <w:gridSpan w:val="2"/>
            <w:vMerge w:val="continue"/>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3,239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1"/>
        </w:trPr>
        <w:tc>
          <w:tcPr>
            <w:tcW w:w="724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2015</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1,373</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not secured by real estate</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were no payment plan receivables or purchased mortgage loans classified as troubled debt restructurings during the nine month periods ended September 30, 2016 and 2015, respectively.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troubled debt restructurings described above for 2016 increased the allowance for loan losses by $0.34 million and resulted in charge offs of $0.02 million during the three months ended September 30, 2016, and increased the allowance by $0.69 million and resulted in charge offs of $0.02 million during the nine months ended September 30, 2016.</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troubled debt restructurings described above for 2015 decreased the allowance for loan losses by $0.05 million and resulted in zero charge offs during the three months ended September 30, 2015, and increased the allowance by $0.05 million and resulted in zero charge offs during the nine months ended September 30, 2015.</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Loans that have been classified as troubled debt restructurings during the past twelve months and that have subsequently defaulted during the three-month periods ended September 30 follow: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gridSpan w:val="2"/>
            <w:vMerge w:val="restart"/>
          </w:tcPr>
          <w:p>
            <w:pPr>
              <w:jc w:val="right"/>
              <w:ind w:right="4370"/>
              <w:spacing w:after="0"/>
              <w:rPr>
                <w:sz w:val="20"/>
                <w:szCs w:val="20"/>
                <w:color w:val="auto"/>
              </w:rPr>
            </w:pPr>
            <w:r>
              <w:rPr>
                <w:rFonts w:ascii="Arial" w:cs="Arial" w:eastAsia="Arial" w:hAnsi="Arial"/>
                <w:sz w:val="18"/>
                <w:szCs w:val="18"/>
                <w:color w:val="auto"/>
                <w:w w:val="84"/>
              </w:rPr>
              <w:t>2016</w:t>
            </w:r>
          </w:p>
        </w:tc>
        <w:tc>
          <w:tcPr>
            <w:tcW w:w="4000" w:type="dxa"/>
            <w:vAlign w:val="bottom"/>
          </w:tcPr>
          <w:p>
            <w:pPr>
              <w:spacing w:after="0"/>
              <w:rPr>
                <w:sz w:val="20"/>
                <w:szCs w:val="20"/>
                <w:color w:val="auto"/>
              </w:rPr>
            </w:pPr>
          </w:p>
        </w:tc>
        <w:tc>
          <w:tcPr>
            <w:tcW w:w="2600" w:type="dxa"/>
            <w:vAlign w:val="bottom"/>
            <w:gridSpan w:val="6"/>
          </w:tcPr>
          <w:p>
            <w:pPr>
              <w:ind w:left="44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187"/>
        </w:trPr>
        <w:tc>
          <w:tcPr>
            <w:tcW w:w="4820" w:type="dxa"/>
            <w:vAlign w:val="bottom"/>
            <w:gridSpan w:val="2"/>
            <w:vMerge w:val="continue"/>
          </w:tcPr>
          <w:p>
            <w:pPr>
              <w:spacing w:after="0"/>
              <w:rPr>
                <w:sz w:val="16"/>
                <w:szCs w:val="16"/>
                <w:color w:val="auto"/>
              </w:rPr>
            </w:pPr>
          </w:p>
        </w:tc>
        <w:tc>
          <w:tcPr>
            <w:tcW w:w="4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40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82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2015</w:t>
            </w: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4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4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52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not secured by real estate</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Other</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00" w:type="dxa"/>
            <w:vAlign w:val="bottom"/>
          </w:tcPr>
          <w:p>
            <w:pPr>
              <w:jc w:val="right"/>
              <w:ind w:right="2951"/>
              <w:spacing w:after="0"/>
              <w:rPr>
                <w:sz w:val="20"/>
                <w:szCs w:val="20"/>
                <w:color w:val="auto"/>
              </w:rPr>
            </w:pPr>
            <w:r>
              <w:rPr>
                <w:rFonts w:ascii="Arial" w:cs="Arial" w:eastAsia="Arial" w:hAnsi="Arial"/>
                <w:sz w:val="14"/>
                <w:szCs w:val="14"/>
                <w:color w:val="auto"/>
              </w:rPr>
              <w:t>27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Loans that have been classified as troubled debt restructurings during the past twelve months and that have subsequently defaulted during the nine-month periods ended September 30 follow: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20" w:type="dxa"/>
            <w:vAlign w:val="bottom"/>
            <w:gridSpan w:val="2"/>
            <w:vMerge w:val="restart"/>
          </w:tcPr>
          <w:p>
            <w:pPr>
              <w:jc w:val="right"/>
              <w:ind w:right="8370"/>
              <w:spacing w:after="0"/>
              <w:rPr>
                <w:sz w:val="20"/>
                <w:szCs w:val="20"/>
                <w:color w:val="auto"/>
              </w:rPr>
            </w:pPr>
            <w:r>
              <w:rPr>
                <w:rFonts w:ascii="Arial" w:cs="Arial" w:eastAsia="Arial" w:hAnsi="Arial"/>
                <w:sz w:val="18"/>
                <w:szCs w:val="18"/>
                <w:color w:val="auto"/>
                <w:w w:val="84"/>
              </w:rPr>
              <w:t>2016</w:t>
            </w:r>
          </w:p>
        </w:tc>
        <w:tc>
          <w:tcPr>
            <w:tcW w:w="2600" w:type="dxa"/>
            <w:vAlign w:val="bottom"/>
            <w:gridSpan w:val="6"/>
          </w:tcPr>
          <w:p>
            <w:pPr>
              <w:ind w:left="44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187"/>
        </w:trPr>
        <w:tc>
          <w:tcPr>
            <w:tcW w:w="88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Loans not secured by 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2015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not secured by real estate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loan is considered to be in payment default generally once it is 90 days contractually past due under the modified terms.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troubled debt restructurings that subsequently defaulted during the three and nine months ended September 30, 2016.</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troubled debt restructurings that subsequently defaulted described above for 2015 decreased the allowance for loan losses by $0.01 million and resulted in zero charge offs during the three months ended September 30, 2015 and had no impact on the allowance for loan losses and resulted in zero charge offs during the nine months ended September 30, 2015.</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Credit Quality Indicators </w:t>
      </w:r>
      <w:r>
        <w:rPr>
          <w:rFonts w:ascii="Arial" w:cs="Arial" w:eastAsia="Arial" w:hAnsi="Arial"/>
          <w:sz w:val="17"/>
          <w:szCs w:val="17"/>
          <w:color w:val="auto"/>
        </w:rPr>
        <w:t>– As part of our on on-going monitoring of the credit quality of our loan portfolios, we track certain credit quality indicators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weighted-average risk grade of commercial loans, (b) the level of classified commercial loans, (c) credit scores of mortgage and installment loan borrowers, (d) financial performance of certain counterparties for payment plan receivables and (e) delinquency history and non-performing loans.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acceptable credit fundamentals.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This rating includes loans to borrowers that exhibit potential credit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 or downward trends. If not checked or cured these trends could weaken our asset or credit position. While potentially weak, no loss of principal or interest is envisioned with these ratings.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 These loans are generally referred to as our “substandard - non-accrual” and “doubtful” commercial credits. This rating includes loans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with weaknesses that make collection of debt in full, on the basis of current facts, conditions and values at best questionable and at worst improbable. All of these loans are placed in non-accrual.</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loan segment: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6"/>
              </w:rPr>
              <w:t>Substandard</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5"/>
              </w:rPr>
              <w:t>Non-watch</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Watch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Accrual</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Accrual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79"/>
              </w:rPr>
              <w:t>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1"/>
              </w:rPr>
              <w:t>10-11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September 30, 2016</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(In thousands)</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268,940</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439,036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761,535</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14,926</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6,882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3,386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786,729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296,898</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6,866</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40,844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371,357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19,502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6,683</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399,570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709,099</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1,729</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our mortgage and installment segment classes, we generally monitor credit quality based on the credit scores of the borrowers. These credit scores are generally updated semi-annually.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334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700" w:type="dxa"/>
            <w:vAlign w:val="bottom"/>
            <w:gridSpan w:val="20"/>
          </w:tcPr>
          <w:p>
            <w:pPr>
              <w:jc w:val="right"/>
              <w:ind w:right="660"/>
              <w:spacing w:after="0"/>
              <w:rPr>
                <w:sz w:val="20"/>
                <w:szCs w:val="20"/>
                <w:color w:val="auto"/>
              </w:rPr>
            </w:pPr>
            <w:r>
              <w:rPr>
                <w:rFonts w:ascii="Arial" w:cs="Arial" w:eastAsia="Arial" w:hAnsi="Arial"/>
                <w:sz w:val="18"/>
                <w:szCs w:val="18"/>
                <w:color w:val="auto"/>
              </w:rPr>
              <w:t>NOTES TO INTERIM CONDENSED CONSOLIDATED FINANCIAL STATEMENTS (continued)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4"/>
          </w:tcPr>
          <w:p>
            <w:pPr>
              <w:jc w:val="right"/>
              <w:ind w:right="5"/>
              <w:spacing w:after="0"/>
              <w:rPr>
                <w:sz w:val="20"/>
                <w:szCs w:val="20"/>
                <w:color w:val="auto"/>
              </w:rPr>
            </w:pPr>
            <w:r>
              <w:rPr>
                <w:rFonts w:ascii="Arial" w:cs="Arial" w:eastAsia="Arial" w:hAnsi="Arial"/>
                <w:sz w:val="18"/>
                <w:szCs w:val="18"/>
                <w:color w:val="auto"/>
              </w:rPr>
              <w:t>(unaudited)</w:t>
            </w: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8780" w:type="dxa"/>
            <w:vAlign w:val="bottom"/>
            <w:gridSpan w:val="18"/>
          </w:tcPr>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segments: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ind w:left="580"/>
              <w:spacing w:after="0"/>
              <w:rPr>
                <w:sz w:val="20"/>
                <w:szCs w:val="20"/>
                <w:color w:val="auto"/>
              </w:rPr>
            </w:pPr>
            <w:r>
              <w:rPr>
                <w:rFonts w:ascii="Arial" w:cs="Arial" w:eastAsia="Arial" w:hAnsi="Arial"/>
                <w:sz w:val="18"/>
                <w:szCs w:val="18"/>
                <w:color w:val="auto"/>
              </w:rPr>
              <w:t>Mortgage (1)</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15"/>
              <w:spacing w:after="0" w:line="201" w:lineRule="exact"/>
              <w:rPr>
                <w:sz w:val="20"/>
                <w:szCs w:val="20"/>
                <w:color w:val="auto"/>
              </w:rPr>
            </w:pPr>
            <w:r>
              <w:rPr>
                <w:rFonts w:ascii="Arial" w:cs="Arial" w:eastAsia="Arial" w:hAnsi="Arial"/>
                <w:sz w:val="18"/>
                <w:szCs w:val="18"/>
                <w:color w:val="auto"/>
                <w:w w:val="91"/>
              </w:rPr>
              <w:t>Home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1"/>
              </w:rPr>
              <w:t>Home</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Resort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15"/>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Equity</w:t>
            </w:r>
          </w:p>
        </w:tc>
        <w:tc>
          <w:tcPr>
            <w:tcW w:w="14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Purchased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1-4 Family</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1st Lien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2nd Lien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4"/>
            <w:vMerge w:val="restart"/>
          </w:tcPr>
          <w:p>
            <w:pPr>
              <w:spacing w:after="0"/>
              <w:rPr>
                <w:sz w:val="20"/>
                <w:szCs w:val="20"/>
                <w:color w:val="auto"/>
              </w:rPr>
            </w:pPr>
            <w:r>
              <w:rPr>
                <w:rFonts w:ascii="Arial" w:cs="Arial" w:eastAsia="Arial" w:hAnsi="Arial"/>
                <w:sz w:val="18"/>
                <w:szCs w:val="18"/>
                <w:color w:val="auto"/>
              </w:rPr>
              <w:t>September 30, 2016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5,590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4,816</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750-799</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88,959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38,472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9,551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19,103</w:t>
            </w: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26,721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60,455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650-699</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53,748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8,259</w:t>
            </w: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27,848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3,342</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550-599</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15,413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1,542</w:t>
            </w: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1,246</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293,962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107,196</w:t>
            </w:r>
          </w:p>
        </w:tc>
        <w:tc>
          <w:tcPr>
            <w:tcW w:w="10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27,922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53,534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42,511</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525,125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800 and above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28,760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13,943</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4,374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2,310</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78,802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7,137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17,405</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23,283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700-749</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56,519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31,980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6,940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51,813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7,691</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600-649</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27,966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3,684</w:t>
            </w: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1,918</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500-549</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10,610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1,295</w:t>
            </w: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Unknown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277,207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500,306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1,396</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114</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Installment(1)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1"/>
              </w:rPr>
              <w:t>Home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1"/>
              </w:rPr>
              <w:t>Home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91"/>
              </w:rPr>
              <w:t>Loans not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color w:val="auto"/>
                <w:w w:val="95"/>
              </w:rPr>
              <w:t>Equity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Secured by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1"/>
              </w:rPr>
              <w:t>1st Lien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2nd Lien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September 30, 2016</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110,667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43,616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18,322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1,690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13,828</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15,518</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237,165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2,563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269,074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1,792</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1,782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44,254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700-749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34,789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16,456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600-649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4,979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500-549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1,170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Unknown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3,921</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194,751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Mepco Finance Corporation (“Mepco”) is a wholly-owned subsidiary of our Bank that operates a vehicle service contract payment plan business throughout the United States. See Note #14 for more information about Mepco’s business. As of September 30, 2016, approximately 33.2% of Mepco’s outstanding payment plan receivables relate to programs in which a third party insurer or risk retention group is obligated to pay Mepco the full refund owing upon cancellation of the related service contract (including with respect to both the portion funded to the service contract seller and the portion funded to the administrator). These receivables are shown as “Full Refund” in the table below. Another approximately 47.7% of Mepco’s outstanding payment plan receivables as of September 30, 2016, relate to programs in which a third party insurer or risk retention group is obligated to pay Mepco the refund owing upon cancellation only with respect to the unearned portion previously funded by Mepco to the administrator (but not to the service contract seller). These receivables are shown as “Partial Refund” in the table below. The balance of Mepco’s outstanding payment plan receivables relate to programs in which there is no insurer or risk retention group that has any contractual liability to Mepco for any portion of the refund amount. These receivables are shown as “Other” in the table below. For each class of our payment plan receivables we monitor financial information on the counterparties as we evaluate the credit quality of this portfolio.</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credit ratings of insurer or risk retention group counterparties by class of payment plan receivable: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Payment Plan Receivables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Full</w:t>
            </w:r>
          </w:p>
        </w:tc>
        <w:tc>
          <w:tcPr>
            <w:tcW w:w="200" w:type="dxa"/>
            <w:vAlign w:val="bottom"/>
          </w:tcPr>
          <w:p>
            <w:pPr>
              <w:spacing w:after="0"/>
              <w:rPr>
                <w:sz w:val="17"/>
                <w:szCs w:val="17"/>
                <w:color w:val="auto"/>
              </w:rPr>
            </w:pPr>
          </w:p>
        </w:tc>
        <w:tc>
          <w:tcPr>
            <w:tcW w:w="118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Partial</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Refund</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Refund</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gridSpan w:val="2"/>
            <w:vMerge w:val="restart"/>
          </w:tcPr>
          <w:p>
            <w:pPr>
              <w:jc w:val="center"/>
              <w:ind w:right="3390"/>
              <w:spacing w:after="0"/>
              <w:rPr>
                <w:sz w:val="20"/>
                <w:szCs w:val="20"/>
                <w:color w:val="auto"/>
              </w:rPr>
            </w:pPr>
            <w:r>
              <w:rPr>
                <w:rFonts w:ascii="Arial" w:cs="Arial" w:eastAsia="Arial" w:hAnsi="Arial"/>
                <w:sz w:val="18"/>
                <w:szCs w:val="18"/>
                <w:color w:val="auto"/>
                <w:w w:val="89"/>
              </w:rPr>
              <w:t>September 30, 2016</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jc w:val="center"/>
              <w:ind w:right="3390"/>
              <w:spacing w:after="0"/>
              <w:rPr>
                <w:sz w:val="20"/>
                <w:szCs w:val="20"/>
                <w:color w:val="auto"/>
              </w:rPr>
            </w:pPr>
            <w:r>
              <w:rPr>
                <w:rFonts w:ascii="Arial" w:cs="Arial" w:eastAsia="Arial" w:hAnsi="Arial"/>
                <w:sz w:val="18"/>
                <w:szCs w:val="18"/>
                <w:color w:val="auto"/>
                <w:w w:val="94"/>
              </w:rPr>
              <w:t>AM Best rating</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13,696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 rated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10,363</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14,864</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5,961</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31,188</w:t>
            </w:r>
          </w:p>
        </w:tc>
        <w:tc>
          <w:tcPr>
            <w:tcW w:w="0" w:type="dxa"/>
            <w:vAlign w:val="bottom"/>
          </w:tcPr>
          <w:p>
            <w:pPr>
              <w:spacing w:after="0"/>
              <w:rPr>
                <w:sz w:val="1"/>
                <w:szCs w:val="1"/>
                <w:color w:val="auto"/>
              </w:rPr>
            </w:pPr>
          </w:p>
        </w:tc>
      </w:tr>
      <w:tr>
        <w:trPr>
          <w:trHeight w:val="21"/>
        </w:trPr>
        <w:tc>
          <w:tcPr>
            <w:tcW w:w="49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jc w:val="center"/>
              <w:ind w:right="3430"/>
              <w:spacing w:after="0"/>
              <w:rPr>
                <w:sz w:val="20"/>
                <w:szCs w:val="20"/>
                <w:color w:val="auto"/>
              </w:rPr>
            </w:pPr>
            <w:r>
              <w:rPr>
                <w:rFonts w:ascii="Arial" w:cs="Arial" w:eastAsia="Arial" w:hAnsi="Arial"/>
                <w:sz w:val="18"/>
                <w:szCs w:val="18"/>
                <w:color w:val="auto"/>
                <w:w w:val="88"/>
              </w:rPr>
              <w:t>December 31, 2015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jc w:val="center"/>
              <w:ind w:right="3390"/>
              <w:spacing w:after="0"/>
              <w:rPr>
                <w:sz w:val="20"/>
                <w:szCs w:val="20"/>
                <w:color w:val="auto"/>
              </w:rPr>
            </w:pPr>
            <w:r>
              <w:rPr>
                <w:rFonts w:ascii="Arial" w:cs="Arial" w:eastAsia="Arial" w:hAnsi="Arial"/>
                <w:sz w:val="18"/>
                <w:szCs w:val="18"/>
                <w:color w:val="auto"/>
                <w:w w:val="94"/>
              </w:rPr>
              <w:t>AM Best rating</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5,203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1,177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 rated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21,850</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6,479</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6,270</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34,599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Mepco has contractual recourse against various counterparties for refunds owing upon cancellation of vehicle service contracts, see Note #14 below regarding certain risks and difficulties associated with collecting these refunds.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Foreclosed residential real estate properties included in other real estate and repossessed assets on our Condensed Consolidated Statements of Financial Condition totaled $1.8 million and $2.8 million at September 30, 2016 and December 31, 2015, respectively. Retail mortgage loans secured by residential real estate properties for which formal foreclosure proceedings are in process according to local requirements totaled $0.4 million and $1.1 million at September 30, 2016 and December 31, 2015, respectively.</w:t>
      </w:r>
    </w:p>
    <w:p>
      <w:pPr>
        <w:spacing w:after="0" w:line="21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Segments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reportable segments are based upon legal entities. We currently have two reportable segments: Independent Bank (“IB” or “Bank”) and Mepco. These business segments are also differentiated based on the products and services provided. We evaluate performance based principally on net income (loss) of the respective reportable segments.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normal course of business, our IB segment provides funding to our Mepco segment through an intercompany line of credit priced at the prime rate of interest as published in the Wall Street Journal. Our IB segment also provides certain administrative services to our Mepco segment which are reimbursed at an agreed upon rate. These intercompany transactions are eliminated upon consolidation. The only other material intersegment balances and transactions are investments in subsidiaries at the parent entities and cash balances on deposit at our IB segment.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selected financial information for our reportable segments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IB</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Mepco</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Other(1)</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Elimination(2)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8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8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2,476,795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50,032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286,672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(275,180)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December 31, 2015</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2,340,566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57,208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286,936</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(275,644)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2,409,066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 the three months ended September 30,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20,731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1,014</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interest income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2015</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18,973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Net interest income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Income (loss) before income tax</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September 30,</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2016</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61,190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3,176</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Net interest income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57,500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(836)</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Income (loss) before income tax</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25,971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(1,103)</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2015</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55,895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4,081</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interest income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15,623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(693)</w:t>
            </w:r>
          </w:p>
        </w:tc>
        <w:tc>
          <w:tcPr>
            <w:tcW w:w="3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0890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amounts relating to our parent company.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parent company's investment in subsidiaries and cash balances maintained at subsidiary.</w:t>
      </w:r>
    </w:p>
    <w:p>
      <w:pPr>
        <w:spacing w:after="0" w:line="23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21, 2016, our Board of Directors authorized a share repurchase plan (the “Repurchase Plan”) to buy back up to 5% of our outstanding common stock through December 31, 2016. On April 26, 2016 our Board of Directors authorized a $5.0 million expansion of the Repurchase Plan. We expect to accomplish the repurchases through open market transactions, though we could affect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During the nine months ended September 30, 2016, we repurchased 1,153,136 shares of common stock for an aggregate purchase price of $16.9 million leaving $4.4 million to be repurchased under the Repurchase Plan.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15, 2011, we entered into a Tax Benefits Preservation Plan (the "Preservation Plan") with our stock transfer agent, American Stock Transfer &amp; Trust Company. Our Board of Directors adopted the Preservation Plan in an effort to protect the value to our shareholders of our ability to use deferred tax assets such as net operating loss carry forwards to reduce potential future federal income tax obligations. Under federal tax rules, this value could be lost in the event we experienced an "ownership change," as defined in Section 382 of the Internal Revenue Code. The Preservation Plan attempts to protect this value by reducing the likelihood that we will experience such an ownership change by discouraging any person who is not already a 5% shareholder from becoming a 5% shareholder (with certain limited exceptions).</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15, 2011, our Board of Directors declared a dividend of one preferred share purchase right (a "Right") for each outstanding share of our common stock under the terms of the Preservation Plan. The dividend is payable to the holders of common stock outstanding as of the close of business on November 15, 2011, or outstanding at any time thereafter but before the earlier of a "Distribution Date" and the date the Preservation Plan terminates. Each Right entitles the registered holder to purchase from us 1/1000 of a share of our Series C Junior Participating Preferred Stock, no par value per share ("Series C Preferred Stock"). Each 1/1000 of a share of Series C Preferred Stock has economic and voting terms similar to those of one whole share of common stock. The Rights are not exercisable and generally do not become exercisable until a person or group has acquired, subject to certain exceptions and conditions, beneficial ownership of 4.99% or more of the outstanding shares of common stock. At that time, each Right will generally entitle its holder to purchase securities of the Company at a discount of 50% to the current market price of the common stock. However, the Rights owned by the person acquiring beneficial ownership of 4.99% or more of the outstanding shares of common stock would automatically be void. The significant dilution that would result is expected to deter any person from acquiring beneficial ownership of 4.99% or more and thereby triggering the Rights.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none of the Rights have been exercised or have become exercisable because no unpermitted 4.99% or more change in the beneficial ownership of the outstanding common stock has occurred. The Rights will generally expire on the earlier to occur of the close of business on November 15, 2016, and certain other events described in the Preservation Plan, including such date as our Board of Directors determines that the Preservation Plan is no longer necessary for its intended purposes. On October 25, 2016, the Board of Directors took affirmative action to not renew the Preservation Plan, which will expire on November 15, 2016.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A reconciliation of basic and diluted net income per common share follows: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75"/>
              </w:rPr>
              <w:t>(In</w:t>
            </w:r>
          </w:p>
        </w:tc>
        <w:tc>
          <w:tcPr>
            <w:tcW w:w="2700" w:type="dxa"/>
            <w:vAlign w:val="bottom"/>
            <w:gridSpan w:val="6"/>
          </w:tcPr>
          <w:p>
            <w:pPr>
              <w:spacing w:after="0"/>
              <w:rPr>
                <w:sz w:val="20"/>
                <w:szCs w:val="20"/>
                <w:color w:val="auto"/>
              </w:rPr>
            </w:pPr>
            <w:r>
              <w:rPr>
                <w:rFonts w:ascii="Arial" w:cs="Arial" w:eastAsia="Arial" w:hAnsi="Arial"/>
                <w:sz w:val="18"/>
                <w:szCs w:val="18"/>
                <w:color w:val="auto"/>
                <w:w w:val="87"/>
              </w:rPr>
              <w:t>thousands, except per share amounts)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16,911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22,673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21,421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Effect of stock options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Performance share units</w:t>
            </w:r>
          </w:p>
        </w:tc>
        <w:tc>
          <w:tcPr>
            <w:tcW w:w="24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top w:val="single" w:sz="8" w:color="CCEEFF"/>
            </w:tcBorders>
          </w:tcPr>
          <w:p>
            <w:pPr>
              <w:ind w:left="320"/>
              <w:spacing w:after="0" w:line="201" w:lineRule="exact"/>
              <w:rPr>
                <w:sz w:val="20"/>
                <w:szCs w:val="20"/>
                <w:color w:val="auto"/>
              </w:rPr>
            </w:pPr>
            <w:r>
              <w:rPr>
                <w:rFonts w:ascii="Arial" w:cs="Arial" w:eastAsia="Arial" w:hAnsi="Arial"/>
                <w:sz w:val="18"/>
                <w:szCs w:val="18"/>
                <w:color w:val="auto"/>
                <w:w w:val="94"/>
              </w:rPr>
              <w:t>Weighted average shares outstanding for calculation of diluted earnings per</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440"/>
              <w:spacing w:after="0"/>
              <w:rPr>
                <w:sz w:val="20"/>
                <w:szCs w:val="20"/>
                <w:color w:val="auto"/>
              </w:rPr>
            </w:pPr>
            <w:r>
              <w:rPr>
                <w:rFonts w:ascii="Arial" w:cs="Arial" w:eastAsia="Arial" w:hAnsi="Arial"/>
                <w:sz w:val="18"/>
                <w:szCs w:val="18"/>
                <w:color w:val="auto"/>
              </w:rPr>
              <w:t>share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21,549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23,133</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21,774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23,366</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0.30</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0.78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(1)Basic net income per common share includes weighted average common shares outstanding during the period and participating share awards.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Weighted average stock options outstanding that were not considered in computing diluted net income per share because they were anti-dilutive totaled 0.03 million for both three-month periods ended September 30, 2016 and 2015, respectively and totaled 0.03 million for both nine-month periods ended September 30, 2016 and 2015, respectively.</w:t>
      </w:r>
    </w:p>
    <w:p>
      <w:pPr>
        <w:spacing w:after="0" w:line="208"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8"/>
              </w:rPr>
              <w:t>September 30,</w:t>
            </w: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6"/>
              </w:rPr>
              <w:t>Maturity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(years)</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vMerge w:val="restart"/>
          </w:tcPr>
          <w:p>
            <w:pPr>
              <w:spacing w:after="0"/>
              <w:rPr>
                <w:sz w:val="20"/>
                <w:szCs w:val="20"/>
                <w:color w:val="auto"/>
              </w:rPr>
            </w:pPr>
            <w:r>
              <w:rPr>
                <w:rFonts w:ascii="Arial" w:cs="Arial" w:eastAsia="Arial" w:hAnsi="Arial"/>
                <w:sz w:val="18"/>
                <w:szCs w:val="18"/>
                <w:color w:val="auto"/>
              </w:rPr>
              <w:t>No hedge designation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5"/>
          </w:tcPr>
          <w:p>
            <w:pPr>
              <w:jc w:val="center"/>
              <w:spacing w:after="0"/>
              <w:rPr>
                <w:sz w:val="20"/>
                <w:szCs w:val="20"/>
                <w:color w:val="auto"/>
              </w:rPr>
            </w:pPr>
            <w:r>
              <w:rPr>
                <w:rFonts w:ascii="Arial" w:cs="Arial" w:eastAsia="Arial" w:hAnsi="Arial"/>
                <w:sz w:val="18"/>
                <w:szCs w:val="18"/>
                <w:color w:val="auto"/>
                <w:w w:val="90"/>
              </w:rPr>
              <w:t>(Dollars 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31,760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67,672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48,623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48,623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3,119</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202,916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7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9"/>
              </w:rPr>
              <w:t>December 31, 2015</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6"/>
              </w:rPr>
              <w:t>Maturity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(years)</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vMerge w:val="restart"/>
          </w:tcPr>
          <w:p>
            <w:pPr>
              <w:spacing w:after="0"/>
              <w:rPr>
                <w:sz w:val="20"/>
                <w:szCs w:val="20"/>
                <w:color w:val="auto"/>
              </w:rPr>
            </w:pPr>
            <w:r>
              <w:rPr>
                <w:rFonts w:ascii="Arial" w:cs="Arial" w:eastAsia="Arial" w:hAnsi="Arial"/>
                <w:sz w:val="18"/>
                <w:szCs w:val="18"/>
                <w:color w:val="auto"/>
              </w:rPr>
              <w:t>No hedge designation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5"/>
          </w:tcPr>
          <w:p>
            <w:pPr>
              <w:jc w:val="center"/>
              <w:spacing w:after="0"/>
              <w:rPr>
                <w:sz w:val="20"/>
                <w:szCs w:val="20"/>
                <w:color w:val="auto"/>
              </w:rPr>
            </w:pPr>
            <w:r>
              <w:rPr>
                <w:rFonts w:ascii="Arial" w:cs="Arial" w:eastAsia="Arial" w:hAnsi="Arial"/>
                <w:sz w:val="18"/>
                <w:szCs w:val="18"/>
                <w:color w:val="auto"/>
                <w:w w:val="90"/>
              </w:rPr>
              <w:t>(Dollars 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20,581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46,320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27,587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27,587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We obtain market prices on Mandatory Commitments and Rate-Lock Commitments. Net gains on mortgage loans, as well as net income may be more volatile as a result of these derivative instruments, which are not designated as hedges.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2015, we began offering to our deposit customers an equity linked time deposit product (“Altitude CD”). The Altitude CD is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in the table above relate to this program.</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w w:val="92"/>
              </w:rPr>
              <w:t>Fair Values of Derivative Instruments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645"/>
              <w:spacing w:after="0"/>
              <w:rPr>
                <w:sz w:val="20"/>
                <w:szCs w:val="20"/>
                <w:color w:val="auto"/>
              </w:rPr>
            </w:pPr>
            <w:r>
              <w:rPr>
                <w:rFonts w:ascii="Arial" w:cs="Arial" w:eastAsia="Arial" w:hAnsi="Arial"/>
                <w:sz w:val="18"/>
                <w:szCs w:val="18"/>
                <w:color w:val="auto"/>
              </w:rPr>
              <w:t>Asset Derivatives</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right"/>
              <w:ind w:right="485"/>
              <w:spacing w:after="0"/>
              <w:rPr>
                <w:sz w:val="20"/>
                <w:szCs w:val="20"/>
                <w:color w:val="auto"/>
              </w:rPr>
            </w:pPr>
            <w:r>
              <w:rPr>
                <w:rFonts w:ascii="Arial" w:cs="Arial" w:eastAsia="Arial" w:hAnsi="Arial"/>
                <w:sz w:val="18"/>
                <w:szCs w:val="18"/>
                <w:color w:val="auto"/>
              </w:rPr>
              <w:t>Liability Derivatives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2220" w:type="dxa"/>
            <w:vAlign w:val="bottom"/>
            <w:gridSpan w:val="5"/>
          </w:tcPr>
          <w:p>
            <w:pPr>
              <w:jc w:val="right"/>
              <w:ind w:right="660"/>
              <w:spacing w:after="0" w:line="201" w:lineRule="exact"/>
              <w:rPr>
                <w:sz w:val="20"/>
                <w:szCs w:val="20"/>
                <w:color w:val="auto"/>
              </w:rPr>
            </w:pPr>
            <w:r>
              <w:rPr>
                <w:rFonts w:ascii="Arial" w:cs="Arial" w:eastAsia="Arial" w:hAnsi="Arial"/>
                <w:sz w:val="18"/>
                <w:szCs w:val="18"/>
                <w:color w:val="auto"/>
              </w:rPr>
              <w:t>September 30,</w:t>
            </w:r>
          </w:p>
        </w:tc>
        <w:tc>
          <w:tcPr>
            <w:tcW w:w="2080" w:type="dxa"/>
            <w:vAlign w:val="bottom"/>
            <w:gridSpan w:val="4"/>
          </w:tcPr>
          <w:p>
            <w:pPr>
              <w:jc w:val="right"/>
              <w:ind w:right="450"/>
              <w:spacing w:after="0" w:line="201" w:lineRule="exact"/>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7"/>
                <w:szCs w:val="17"/>
                <w:color w:val="auto"/>
              </w:rPr>
            </w:pPr>
          </w:p>
        </w:tc>
        <w:tc>
          <w:tcPr>
            <w:tcW w:w="2120" w:type="dxa"/>
            <w:vAlign w:val="bottom"/>
            <w:gridSpan w:val="5"/>
          </w:tcPr>
          <w:p>
            <w:pPr>
              <w:ind w:left="480"/>
              <w:spacing w:after="0" w:line="201" w:lineRule="exact"/>
              <w:rPr>
                <w:sz w:val="20"/>
                <w:szCs w:val="20"/>
                <w:color w:val="auto"/>
              </w:rPr>
            </w:pPr>
            <w:r>
              <w:rPr>
                <w:rFonts w:ascii="Arial" w:cs="Arial" w:eastAsia="Arial" w:hAnsi="Arial"/>
                <w:sz w:val="18"/>
                <w:szCs w:val="18"/>
                <w:color w:val="auto"/>
              </w:rPr>
              <w:t>September 30,</w:t>
            </w:r>
          </w:p>
        </w:tc>
        <w:tc>
          <w:tcPr>
            <w:tcW w:w="2040" w:type="dxa"/>
            <w:vAlign w:val="bottom"/>
            <w:gridSpan w:val="4"/>
          </w:tcPr>
          <w:p>
            <w:pPr>
              <w:ind w:left="520"/>
              <w:spacing w:after="0" w:line="201"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w w:val="99"/>
              </w:rPr>
              <w:t>2016</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w w:val="99"/>
              </w:rPr>
              <w:t>2015</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1300" w:type="dxa"/>
            <w:vAlign w:val="bottom"/>
            <w:gridSpan w:val="3"/>
          </w:tcPr>
          <w:p>
            <w:pPr>
              <w:jc w:val="center"/>
              <w:ind w:right="270"/>
              <w:spacing w:after="0" w:line="201" w:lineRule="exact"/>
              <w:rPr>
                <w:sz w:val="20"/>
                <w:szCs w:val="20"/>
                <w:color w:val="auto"/>
              </w:rPr>
            </w:pPr>
            <w:r>
              <w:rPr>
                <w:rFonts w:ascii="Arial" w:cs="Arial" w:eastAsia="Arial" w:hAnsi="Arial"/>
                <w:sz w:val="18"/>
                <w:szCs w:val="18"/>
                <w:color w:val="auto"/>
                <w:w w:val="89"/>
              </w:rPr>
              <w:t>Balance</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305"/>
              <w:spacing w:after="0" w:line="201" w:lineRule="exact"/>
              <w:rPr>
                <w:sz w:val="20"/>
                <w:szCs w:val="20"/>
                <w:color w:val="auto"/>
              </w:rPr>
            </w:pPr>
            <w:r>
              <w:rPr>
                <w:rFonts w:ascii="Arial" w:cs="Arial" w:eastAsia="Arial" w:hAnsi="Arial"/>
                <w:sz w:val="18"/>
                <w:szCs w:val="18"/>
                <w:color w:val="auto"/>
                <w:w w:val="89"/>
              </w:rPr>
              <w:t>Balance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Balance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Balance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300" w:type="dxa"/>
            <w:vAlign w:val="bottom"/>
            <w:gridSpan w:val="3"/>
          </w:tcPr>
          <w:p>
            <w:pPr>
              <w:jc w:val="center"/>
              <w:ind w:right="290"/>
              <w:spacing w:after="0"/>
              <w:rPr>
                <w:sz w:val="20"/>
                <w:szCs w:val="20"/>
                <w:color w:val="auto"/>
              </w:rPr>
            </w:pPr>
            <w:r>
              <w:rPr>
                <w:rFonts w:ascii="Arial" w:cs="Arial" w:eastAsia="Arial" w:hAnsi="Arial"/>
                <w:sz w:val="18"/>
                <w:szCs w:val="18"/>
                <w:color w:val="auto"/>
                <w:w w:val="84"/>
              </w:rPr>
              <w:t>Sheet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Fair</w:t>
            </w:r>
          </w:p>
        </w:tc>
        <w:tc>
          <w:tcPr>
            <w:tcW w:w="1280" w:type="dxa"/>
            <w:vAlign w:val="bottom"/>
            <w:gridSpan w:val="3"/>
          </w:tcPr>
          <w:p>
            <w:pPr>
              <w:jc w:val="center"/>
              <w:ind w:right="285"/>
              <w:spacing w:after="0"/>
              <w:rPr>
                <w:sz w:val="20"/>
                <w:szCs w:val="20"/>
                <w:color w:val="auto"/>
              </w:rPr>
            </w:pPr>
            <w:r>
              <w:rPr>
                <w:rFonts w:ascii="Arial" w:cs="Arial" w:eastAsia="Arial" w:hAnsi="Arial"/>
                <w:sz w:val="18"/>
                <w:szCs w:val="18"/>
                <w:color w:val="auto"/>
                <w:w w:val="84"/>
              </w:rPr>
              <w:t>Sheet</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Fair</w:t>
            </w:r>
          </w:p>
        </w:tc>
        <w:tc>
          <w:tcPr>
            <w:tcW w:w="1240" w:type="dxa"/>
            <w:vAlign w:val="bottom"/>
            <w:gridSpan w:val="3"/>
          </w:tcPr>
          <w:p>
            <w:pPr>
              <w:ind w:left="240"/>
              <w:spacing w:after="0"/>
              <w:rPr>
                <w:sz w:val="20"/>
                <w:szCs w:val="20"/>
                <w:color w:val="auto"/>
              </w:rPr>
            </w:pPr>
            <w:r>
              <w:rPr>
                <w:rFonts w:ascii="Arial" w:cs="Arial" w:eastAsia="Arial" w:hAnsi="Arial"/>
                <w:sz w:val="18"/>
                <w:szCs w:val="18"/>
                <w:color w:val="auto"/>
              </w:rPr>
              <w:t>Sheet</w:t>
            </w: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Fair</w:t>
            </w:r>
          </w:p>
        </w:tc>
        <w:tc>
          <w:tcPr>
            <w:tcW w:w="1260" w:type="dxa"/>
            <w:vAlign w:val="bottom"/>
            <w:gridSpan w:val="3"/>
          </w:tcPr>
          <w:p>
            <w:pPr>
              <w:ind w:left="260"/>
              <w:spacing w:after="0"/>
              <w:rPr>
                <w:sz w:val="20"/>
                <w:szCs w:val="20"/>
                <w:color w:val="auto"/>
              </w:rPr>
            </w:pPr>
            <w:r>
              <w:rPr>
                <w:rFonts w:ascii="Arial" w:cs="Arial" w:eastAsia="Arial" w:hAnsi="Arial"/>
                <w:sz w:val="18"/>
                <w:szCs w:val="18"/>
                <w:color w:val="auto"/>
              </w:rPr>
              <w:t>Sheet</w:t>
            </w: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Value</w:t>
            </w:r>
          </w:p>
        </w:tc>
        <w:tc>
          <w:tcPr>
            <w:tcW w:w="1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Value</w:t>
            </w: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Location</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Value</w:t>
            </w:r>
          </w:p>
        </w:tc>
        <w:tc>
          <w:tcPr>
            <w:tcW w:w="100" w:type="dxa"/>
            <w:vAlign w:val="bottom"/>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Location</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vMerge w:val="restart"/>
          </w:tcPr>
          <w:p>
            <w:pPr>
              <w:spacing w:after="0"/>
              <w:rPr>
                <w:sz w:val="20"/>
                <w:szCs w:val="20"/>
                <w:color w:val="auto"/>
              </w:rPr>
            </w:pPr>
            <w:r>
              <w:rPr>
                <w:rFonts w:ascii="Arial" w:cs="Arial" w:eastAsia="Arial" w:hAnsi="Arial"/>
                <w:sz w:val="18"/>
                <w:szCs w:val="18"/>
                <w:color w:val="auto"/>
                <w:w w:val="89"/>
              </w:rPr>
              <w:t>Derivatives not designated as hedging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jc w:val="right"/>
              <w:ind w:right="770"/>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74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instruments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Rate-lock mortgage loan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commitments</w:t>
            </w:r>
          </w:p>
        </w:tc>
        <w:tc>
          <w:tcPr>
            <w:tcW w:w="13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1"/>
              </w:rPr>
              <w:t>Other assets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w w:val="90"/>
              </w:rPr>
              <w:t>Other assets  $</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  $</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  $</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40" w:type="dxa"/>
            <w:vAlign w:val="bottom"/>
          </w:tcPr>
          <w:p>
            <w:pPr>
              <w:ind w:left="180"/>
              <w:spacing w:after="0" w:line="201" w:lineRule="exact"/>
              <w:rPr>
                <w:sz w:val="20"/>
                <w:szCs w:val="20"/>
                <w:color w:val="auto"/>
              </w:rPr>
            </w:pPr>
            <w:r>
              <w:rPr>
                <w:rFonts w:ascii="Arial" w:cs="Arial" w:eastAsia="Arial" w:hAnsi="Arial"/>
                <w:sz w:val="18"/>
                <w:szCs w:val="18"/>
                <w:color w:val="auto"/>
              </w:rPr>
              <w:t>Mandatory commitments to sell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300"/>
              <w:spacing w:after="0"/>
              <w:rPr>
                <w:sz w:val="20"/>
                <w:szCs w:val="20"/>
                <w:color w:val="auto"/>
              </w:rPr>
            </w:pPr>
            <w:r>
              <w:rPr>
                <w:rFonts w:ascii="Arial" w:cs="Arial" w:eastAsia="Arial" w:hAnsi="Arial"/>
                <w:sz w:val="18"/>
                <w:szCs w:val="18"/>
                <w:color w:val="auto"/>
              </w:rPr>
              <w:t>mortgage loans</w:t>
            </w:r>
          </w:p>
        </w:tc>
        <w:tc>
          <w:tcPr>
            <w:tcW w:w="1300" w:type="dxa"/>
            <w:vAlign w:val="bottom"/>
            <w:gridSpan w:val="3"/>
          </w:tcPr>
          <w:p>
            <w:pPr>
              <w:jc w:val="center"/>
              <w:ind w:right="330"/>
              <w:spacing w:after="0"/>
              <w:rPr>
                <w:sz w:val="20"/>
                <w:szCs w:val="20"/>
                <w:color w:val="auto"/>
              </w:rPr>
            </w:pPr>
            <w:r>
              <w:rPr>
                <w:rFonts w:ascii="Arial" w:cs="Arial" w:eastAsia="Arial" w:hAnsi="Arial"/>
                <w:sz w:val="18"/>
                <w:szCs w:val="18"/>
                <w:color w:val="auto"/>
                <w:w w:val="86"/>
              </w:rPr>
              <w:t>Other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3"/>
          </w:tcPr>
          <w:p>
            <w:pPr>
              <w:jc w:val="center"/>
              <w:ind w:right="345"/>
              <w:spacing w:after="0"/>
              <w:rPr>
                <w:sz w:val="20"/>
                <w:szCs w:val="20"/>
                <w:color w:val="auto"/>
              </w:rPr>
            </w:pPr>
            <w:r>
              <w:rPr>
                <w:rFonts w:ascii="Arial" w:cs="Arial" w:eastAsia="Arial" w:hAnsi="Arial"/>
                <w:sz w:val="18"/>
                <w:szCs w:val="18"/>
                <w:color w:val="auto"/>
                <w:w w:val="84"/>
              </w:rPr>
              <w:t>Other assets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126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Pay-fixed interest rate swap</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agreements</w:t>
            </w:r>
          </w:p>
        </w:tc>
        <w:tc>
          <w:tcPr>
            <w:tcW w:w="1300" w:type="dxa"/>
            <w:vAlign w:val="bottom"/>
            <w:gridSpan w:val="3"/>
            <w:shd w:val="clear" w:color="auto" w:fill="CCEEFF"/>
          </w:tcPr>
          <w:p>
            <w:pPr>
              <w:jc w:val="center"/>
              <w:ind w:right="330"/>
              <w:spacing w:after="0"/>
              <w:rPr>
                <w:sz w:val="20"/>
                <w:szCs w:val="20"/>
                <w:color w:val="auto"/>
              </w:rPr>
            </w:pPr>
            <w:r>
              <w:rPr>
                <w:rFonts w:ascii="Arial" w:cs="Arial" w:eastAsia="Arial" w:hAnsi="Arial"/>
                <w:sz w:val="18"/>
                <w:szCs w:val="18"/>
                <w:color w:val="auto"/>
                <w:w w:val="86"/>
              </w:rPr>
              <w:t>Other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right="345"/>
              <w:spacing w:after="0"/>
              <w:rPr>
                <w:sz w:val="20"/>
                <w:szCs w:val="20"/>
                <w:color w:val="auto"/>
              </w:rPr>
            </w:pPr>
            <w:r>
              <w:rPr>
                <w:rFonts w:ascii="Arial" w:cs="Arial" w:eastAsia="Arial" w:hAnsi="Arial"/>
                <w:sz w:val="18"/>
                <w:szCs w:val="18"/>
                <w:color w:val="auto"/>
                <w:w w:val="84"/>
              </w:rPr>
              <w:t>Other assets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c>
          <w:tcPr>
            <w:tcW w:w="1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2"/>
        </w:trPr>
        <w:tc>
          <w:tcPr>
            <w:tcW w:w="2740" w:type="dxa"/>
            <w:vAlign w:val="bottom"/>
          </w:tcPr>
          <w:p>
            <w:pPr>
              <w:ind w:left="180"/>
              <w:spacing w:after="0" w:line="201" w:lineRule="exact"/>
              <w:rPr>
                <w:sz w:val="20"/>
                <w:szCs w:val="20"/>
                <w:color w:val="auto"/>
              </w:rPr>
            </w:pPr>
            <w:r>
              <w:rPr>
                <w:rFonts w:ascii="Arial" w:cs="Arial" w:eastAsia="Arial" w:hAnsi="Arial"/>
                <w:sz w:val="18"/>
                <w:szCs w:val="18"/>
                <w:color w:val="auto"/>
              </w:rPr>
              <w:t>Pay-variable interest rate swap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300"/>
              <w:spacing w:after="0"/>
              <w:rPr>
                <w:sz w:val="20"/>
                <w:szCs w:val="20"/>
                <w:color w:val="auto"/>
              </w:rPr>
            </w:pPr>
            <w:r>
              <w:rPr>
                <w:rFonts w:ascii="Arial" w:cs="Arial" w:eastAsia="Arial" w:hAnsi="Arial"/>
                <w:sz w:val="18"/>
                <w:szCs w:val="18"/>
                <w:color w:val="auto"/>
              </w:rPr>
              <w:t>agreements</w:t>
            </w:r>
          </w:p>
        </w:tc>
        <w:tc>
          <w:tcPr>
            <w:tcW w:w="1300" w:type="dxa"/>
            <w:vAlign w:val="bottom"/>
            <w:gridSpan w:val="3"/>
          </w:tcPr>
          <w:p>
            <w:pPr>
              <w:jc w:val="center"/>
              <w:ind w:right="330"/>
              <w:spacing w:after="0"/>
              <w:rPr>
                <w:sz w:val="20"/>
                <w:szCs w:val="20"/>
                <w:color w:val="auto"/>
              </w:rPr>
            </w:pPr>
            <w:r>
              <w:rPr>
                <w:rFonts w:ascii="Arial" w:cs="Arial" w:eastAsia="Arial" w:hAnsi="Arial"/>
                <w:sz w:val="18"/>
                <w:szCs w:val="18"/>
                <w:color w:val="auto"/>
                <w:w w:val="86"/>
              </w:rPr>
              <w:t>Other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p>
        </w:tc>
        <w:tc>
          <w:tcPr>
            <w:tcW w:w="1280" w:type="dxa"/>
            <w:vAlign w:val="bottom"/>
            <w:gridSpan w:val="3"/>
          </w:tcPr>
          <w:p>
            <w:pPr>
              <w:jc w:val="center"/>
              <w:ind w:right="345"/>
              <w:spacing w:after="0"/>
              <w:rPr>
                <w:sz w:val="20"/>
                <w:szCs w:val="20"/>
                <w:color w:val="auto"/>
              </w:rPr>
            </w:pPr>
            <w:r>
              <w:rPr>
                <w:rFonts w:ascii="Arial" w:cs="Arial" w:eastAsia="Arial" w:hAnsi="Arial"/>
                <w:sz w:val="18"/>
                <w:szCs w:val="18"/>
                <w:color w:val="auto"/>
                <w:w w:val="84"/>
              </w:rPr>
              <w:t>Other assets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300" w:type="dxa"/>
            <w:vAlign w:val="bottom"/>
            <w:gridSpan w:val="3"/>
            <w:shd w:val="clear" w:color="auto" w:fill="CCEEFF"/>
          </w:tcPr>
          <w:p>
            <w:pPr>
              <w:jc w:val="center"/>
              <w:ind w:right="330"/>
              <w:spacing w:after="0"/>
              <w:rPr>
                <w:sz w:val="20"/>
                <w:szCs w:val="20"/>
                <w:color w:val="auto"/>
              </w:rPr>
            </w:pPr>
            <w:r>
              <w:rPr>
                <w:rFonts w:ascii="Arial" w:cs="Arial" w:eastAsia="Arial" w:hAnsi="Arial"/>
                <w:sz w:val="18"/>
                <w:szCs w:val="18"/>
                <w:color w:val="auto"/>
                <w:w w:val="86"/>
              </w:rPr>
              <w:t>Other assets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1280" w:type="dxa"/>
            <w:vAlign w:val="bottom"/>
            <w:gridSpan w:val="3"/>
            <w:shd w:val="clear" w:color="auto" w:fill="CCEEFF"/>
          </w:tcPr>
          <w:p>
            <w:pPr>
              <w:jc w:val="center"/>
              <w:ind w:right="345"/>
              <w:spacing w:after="0"/>
              <w:rPr>
                <w:sz w:val="20"/>
                <w:szCs w:val="20"/>
                <w:color w:val="auto"/>
              </w:rPr>
            </w:pPr>
            <w:r>
              <w:rPr>
                <w:rFonts w:ascii="Arial" w:cs="Arial" w:eastAsia="Arial" w:hAnsi="Arial"/>
                <w:sz w:val="18"/>
                <w:szCs w:val="18"/>
                <w:color w:val="auto"/>
                <w:w w:val="84"/>
              </w:rPr>
              <w:t>Other assets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spacing w:after="0" w:line="201" w:lineRule="exact"/>
              <w:rPr>
                <w:sz w:val="20"/>
                <w:szCs w:val="20"/>
                <w:color w:val="auto"/>
              </w:rPr>
            </w:pPr>
            <w:r>
              <w:rPr>
                <w:rFonts w:ascii="Arial" w:cs="Arial" w:eastAsia="Arial" w:hAnsi="Arial"/>
                <w:sz w:val="18"/>
                <w:szCs w:val="18"/>
                <w:color w:val="auto"/>
              </w:rPr>
              <w:t>Other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300" w:type="dxa"/>
            <w:vAlign w:val="bottom"/>
            <w:gridSpan w:val="3"/>
          </w:tcPr>
          <w:p>
            <w:pPr>
              <w:jc w:val="center"/>
              <w:ind w:right="330"/>
              <w:spacing w:after="0"/>
              <w:rPr>
                <w:sz w:val="20"/>
                <w:szCs w:val="20"/>
                <w:color w:val="auto"/>
              </w:rPr>
            </w:pPr>
            <w:r>
              <w:rPr>
                <w:rFonts w:ascii="Arial" w:cs="Arial" w:eastAsia="Arial" w:hAnsi="Arial"/>
                <w:sz w:val="18"/>
                <w:szCs w:val="18"/>
                <w:color w:val="auto"/>
                <w:w w:val="86"/>
              </w:rPr>
              <w:t>Other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3"/>
          </w:tcPr>
          <w:p>
            <w:pPr>
              <w:jc w:val="center"/>
              <w:ind w:right="345"/>
              <w:spacing w:after="0"/>
              <w:rPr>
                <w:sz w:val="20"/>
                <w:szCs w:val="20"/>
                <w:color w:val="auto"/>
              </w:rPr>
            </w:pPr>
            <w:r>
              <w:rPr>
                <w:rFonts w:ascii="Arial" w:cs="Arial" w:eastAsia="Arial" w:hAnsi="Arial"/>
                <w:sz w:val="18"/>
                <w:szCs w:val="18"/>
                <w:color w:val="auto"/>
                <w:w w:val="84"/>
              </w:rPr>
              <w:t>Other assets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126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derivatives</w:t>
            </w:r>
          </w:p>
        </w:tc>
        <w:tc>
          <w:tcPr>
            <w:tcW w:w="104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financial instruments on the Condensed Consolidated Statements of Operations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color w:val="auto"/>
                <w:w w:val="92"/>
              </w:rPr>
              <w:t>Gain (Loss) Recognized in Income</w:t>
            </w: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4"/>
          </w:tcPr>
          <w:p>
            <w:pPr>
              <w:jc w:val="center"/>
              <w:ind w:left="230"/>
              <w:spacing w:after="0" w:line="201" w:lineRule="exact"/>
              <w:rPr>
                <w:sz w:val="20"/>
                <w:szCs w:val="20"/>
                <w:color w:val="auto"/>
              </w:rPr>
            </w:pPr>
            <w:r>
              <w:rPr>
                <w:rFonts w:ascii="Arial" w:cs="Arial" w:eastAsia="Arial" w:hAnsi="Arial"/>
                <w:sz w:val="18"/>
                <w:szCs w:val="18"/>
                <w:color w:val="auto"/>
                <w:w w:val="92"/>
              </w:rPr>
              <w:t>Three Month</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4"/>
          </w:tcPr>
          <w:p>
            <w:pPr>
              <w:jc w:val="center"/>
              <w:ind w:left="210"/>
              <w:spacing w:after="0" w:line="201" w:lineRule="exact"/>
              <w:rPr>
                <w:sz w:val="20"/>
                <w:szCs w:val="20"/>
                <w:color w:val="auto"/>
              </w:rPr>
            </w:pPr>
            <w:r>
              <w:rPr>
                <w:rFonts w:ascii="Arial" w:cs="Arial" w:eastAsia="Arial" w:hAnsi="Arial"/>
                <w:sz w:val="18"/>
                <w:szCs w:val="18"/>
                <w:color w:val="auto"/>
                <w:w w:val="93"/>
              </w:rPr>
              <w:t>Nine Month</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4"/>
          </w:tcPr>
          <w:p>
            <w:pPr>
              <w:jc w:val="center"/>
              <w:ind w:left="230"/>
              <w:spacing w:after="0"/>
              <w:rPr>
                <w:sz w:val="20"/>
                <w:szCs w:val="20"/>
                <w:color w:val="auto"/>
              </w:rPr>
            </w:pPr>
            <w:r>
              <w:rPr>
                <w:rFonts w:ascii="Arial" w:cs="Arial" w:eastAsia="Arial" w:hAnsi="Arial"/>
                <w:sz w:val="18"/>
                <w:szCs w:val="18"/>
                <w:color w:val="auto"/>
                <w:w w:val="89"/>
              </w:rPr>
              <w:t>Periods Ended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4"/>
          </w:tcPr>
          <w:p>
            <w:pPr>
              <w:jc w:val="center"/>
              <w:ind w:left="210"/>
              <w:spacing w:after="0"/>
              <w:rPr>
                <w:sz w:val="20"/>
                <w:szCs w:val="20"/>
                <w:color w:val="auto"/>
              </w:rPr>
            </w:pPr>
            <w:r>
              <w:rPr>
                <w:rFonts w:ascii="Arial" w:cs="Arial" w:eastAsia="Arial" w:hAnsi="Arial"/>
                <w:sz w:val="18"/>
                <w:szCs w:val="18"/>
                <w:color w:val="auto"/>
                <w:w w:val="89"/>
              </w:rPr>
              <w:t>Periods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Location of Gain (Loss)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color w:val="auto"/>
                <w:w w:val="88"/>
              </w:rPr>
              <w:t>September 30,</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color w:val="auto"/>
                <w:w w:val="88"/>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Recognized in Income</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2015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4"/>
            <w:vMerge w:val="restart"/>
          </w:tcPr>
          <w:p>
            <w:pPr>
              <w:spacing w:after="0"/>
              <w:rPr>
                <w:sz w:val="20"/>
                <w:szCs w:val="20"/>
                <w:color w:val="auto"/>
              </w:rPr>
            </w:pPr>
            <w:r>
              <w:rPr>
                <w:rFonts w:ascii="Arial" w:cs="Arial" w:eastAsia="Arial" w:hAnsi="Arial"/>
                <w:sz w:val="18"/>
                <w:szCs w:val="18"/>
                <w:color w:val="auto"/>
              </w:rPr>
              <w:t>No hedge designation</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50"/>
              <w:spacing w:after="0"/>
              <w:rPr>
                <w:sz w:val="20"/>
                <w:szCs w:val="20"/>
                <w:color w:val="auto"/>
              </w:rPr>
            </w:pPr>
            <w:r>
              <w:rPr>
                <w:rFonts w:ascii="Arial" w:cs="Arial" w:eastAsia="Arial" w:hAnsi="Arial"/>
                <w:sz w:val="16"/>
                <w:szCs w:val="16"/>
                <w:color w:val="auto"/>
                <w:w w:val="73"/>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6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gains on mortgage loans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7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w:t>
            </w:r>
          </w:p>
        </w:tc>
        <w:tc>
          <w:tcPr>
            <w:tcW w:w="740" w:type="dxa"/>
            <w:vAlign w:val="bottom"/>
            <w:gridSpan w:val="2"/>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5"/>
              </w:rPr>
              <w:t>Mandatory commitments to sell mortgage</w:t>
            </w: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3"/>
          </w:tcPr>
          <w:p>
            <w:pPr>
              <w:ind w:left="280"/>
              <w:spacing w:after="0"/>
              <w:rPr>
                <w:sz w:val="20"/>
                <w:szCs w:val="20"/>
                <w:color w:val="auto"/>
              </w:rPr>
            </w:pPr>
            <w:r>
              <w:rPr>
                <w:rFonts w:ascii="Arial" w:cs="Arial" w:eastAsia="Arial" w:hAnsi="Arial"/>
                <w:sz w:val="18"/>
                <w:szCs w:val="18"/>
                <w:color w:val="auto"/>
              </w:rPr>
              <w:t>loans</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Net gains on mortgage loans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(745)</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8"/>
              </w:rPr>
              <w:t>Pay-fixed interest rate swap agreements</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ind w:left="160"/>
              <w:spacing w:after="0"/>
              <w:rPr>
                <w:sz w:val="20"/>
                <w:szCs w:val="20"/>
                <w:color w:val="auto"/>
              </w:rPr>
            </w:pPr>
            <w:r>
              <w:rPr>
                <w:rFonts w:ascii="Arial" w:cs="Arial" w:eastAsia="Arial" w:hAnsi="Arial"/>
                <w:sz w:val="18"/>
                <w:szCs w:val="18"/>
                <w:color w:val="auto"/>
                <w:w w:val="91"/>
              </w:rPr>
              <w:t>Pay-variable interest rate swap agreements</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1,512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3"/>
          </w:tcPr>
          <w:p>
            <w:pPr>
              <w:ind w:left="160"/>
              <w:spacing w:after="0"/>
              <w:rPr>
                <w:sz w:val="20"/>
                <w:szCs w:val="20"/>
                <w:color w:val="auto"/>
              </w:rPr>
            </w:pPr>
            <w:r>
              <w:rPr>
                <w:rFonts w:ascii="Arial" w:cs="Arial" w:eastAsia="Arial" w:hAnsi="Arial"/>
                <w:sz w:val="18"/>
                <w:szCs w:val="18"/>
                <w:color w:val="auto"/>
              </w:rPr>
              <w:t>Written options</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ind w:right="474"/>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3360" w:type="dxa"/>
            <w:vAlign w:val="bottom"/>
            <w:gridSpan w:val="4"/>
          </w:tcPr>
          <w:p>
            <w:pPr>
              <w:spacing w:after="0"/>
              <w:rPr>
                <w:sz w:val="20"/>
                <w:szCs w:val="20"/>
                <w:color w:val="auto"/>
              </w:rPr>
            </w:pPr>
            <w:r>
              <w:rPr>
                <w:rFonts w:ascii="Arial" w:cs="Arial" w:eastAsia="Arial" w:hAnsi="Arial"/>
                <w:sz w:val="18"/>
                <w:szCs w:val="18"/>
                <w:color w:val="auto"/>
              </w:rPr>
              <w:t>8.  Intangible Assets</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960" w:type="dxa"/>
            <w:vAlign w:val="bottom"/>
            <w:gridSpan w:val="6"/>
          </w:tcPr>
          <w:p>
            <w:pPr>
              <w:spacing w:after="0"/>
              <w:rPr>
                <w:sz w:val="20"/>
                <w:szCs w:val="20"/>
                <w:color w:val="auto"/>
              </w:rPr>
            </w:pPr>
            <w:r>
              <w:rPr>
                <w:rFonts w:ascii="Arial" w:cs="Arial" w:eastAsia="Arial" w:hAnsi="Arial"/>
                <w:sz w:val="18"/>
                <w:szCs w:val="18"/>
                <w:color w:val="auto"/>
              </w:rPr>
              <w:t>The following table summarizes intangible assets, net of amortization:</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color w:val="auto"/>
                <w:w w:val="88"/>
              </w:rPr>
              <w:t>September 30, 2016</w:t>
            </w:r>
          </w:p>
        </w:tc>
        <w:tc>
          <w:tcPr>
            <w:tcW w:w="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color w:val="auto"/>
                <w:w w:val="89"/>
              </w:rPr>
              <w:t>December 31, 2015</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Carrying</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7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74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Amortized intangible assets - core deposits</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7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6,118</w:t>
            </w:r>
          </w:p>
        </w:tc>
        <w:tc>
          <w:tcPr>
            <w:tcW w:w="740" w:type="dxa"/>
            <w:vAlign w:val="bottom"/>
            <w:gridSpan w:val="2"/>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other intangibles has been estimated through 2021 and thereafter in the following table.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ending December 31, 2016</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2017</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2019</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2021 and thereafter</w:t>
            </w:r>
          </w:p>
        </w:tc>
        <w:tc>
          <w:tcPr>
            <w:tcW w:w="5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860" w:type="dxa"/>
            <w:vAlign w:val="bottom"/>
          </w:tcPr>
          <w:p>
            <w:pPr>
              <w:jc w:val="right"/>
              <w:ind w:right="4319"/>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Share Based Compensation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0.2 million shares of common stock as of September 30, 2016. The non-employee director stock purchase plan permits the issuance of additional share based payments for up to 0.2 million shares of common stock as of September 30, 2016. Share based awards and payments are measured at fair value at the date of grant and are expensed over the requisite service period. Common shares issued upon exercise of stock options come from currently authorized but unissued shares.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each first quarter period of 2016 and 2015, pursuant to our long-term incentive plan, we granted 0.07 million shares of restricted stock and 0.03 million performance stock units (“PSU”) to certain officers. The shares of restricted stock and PSUs cliff vest after a period of three years. The performance feature of the PSUs is based on a comparison of our total shareholder return over the three year period starting on the grant date to the total shareholder return over that period for a banking index of our peers. In addition, we issued 0.02 million PSUs and 0.01 million shares of restricted stock to certain officers and employees during the third quarter of 2016. The PSUs cliff vest after four and five year periods and the restricted stock cliff vests after one and four year periods.</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0.006 million shares and 0.004 million shares to directors during the first nine months of 2016 and 2015, respectively and expensed their value during those same periods.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compensation expense recognized for grants pursuant to our long-term incentive plan was $0.3 million and $1.1 million during the three and nine month periods ended September 30, 2016, respectively, and was $0.4 million and $1.1 million during the same periods in 2015, respectively. The corresponding tax benefit relating to this expense was $0.1 million and $0.4 million for the three and nine month periods ended September 30, 2016, respectively and $0.1 million and $0.4 million for the same periods in 2015. Total expense recognized for non-employee director share based payments was $0.03 million and $0.09 million during the three and nine month periods ended September 30, 2016, respectively, and was $0.02 million and $0.05 million during the same periods in 2015, respectively. The corresponding tax benefit relating to this expense was $0.01 million and $0.03 million for the three and nine month periods ended September 30, 2016, respectively and $0.01 million and $0.02 million during the same respective periods in 2015.</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2016, the total expected compensation cost related to non-vested stock options, restricted stock and PSUs not yet recognized was $2.2 million. The weighted-average period over which this amount will be recognized is 2.2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stock option grants and related transactions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Remaining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Aggregated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780" w:type="dxa"/>
            <w:vAlign w:val="bottom"/>
          </w:tcPr>
          <w:p>
            <w:pPr>
              <w:jc w:val="center"/>
              <w:ind w:left="255"/>
              <w:spacing w:after="0"/>
              <w:rPr>
                <w:sz w:val="20"/>
                <w:szCs w:val="20"/>
                <w:color w:val="auto"/>
              </w:rPr>
            </w:pPr>
            <w:r>
              <w:rPr>
                <w:rFonts w:ascii="Arial" w:cs="Arial" w:eastAsia="Arial" w:hAnsi="Arial"/>
                <w:sz w:val="18"/>
                <w:szCs w:val="18"/>
                <w:color w:val="auto"/>
                <w:w w:val="87"/>
              </w:rPr>
              <w:t>Price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Term (Years)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235,596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5"/>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4.94</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Granted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(16,912)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3.78</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6.42</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5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3.54</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September 30, 2016</w:t>
            </w: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215,720</w:t>
            </w: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615"/>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w w:val="96"/>
              </w:rPr>
              <w:t>5.04</w:t>
            </w:r>
          </w:p>
        </w:tc>
        <w:tc>
          <w:tcPr>
            <w:tcW w:w="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5.33</w:t>
            </w: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
        </w:trPr>
        <w:tc>
          <w:tcPr>
            <w:tcW w:w="5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Vested and expected to vest at September 30, 2016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215,720</w:t>
            </w:r>
          </w:p>
        </w:tc>
        <w:tc>
          <w:tcPr>
            <w:tcW w:w="120" w:type="dxa"/>
            <w:vAlign w:val="bottom"/>
          </w:tcPr>
          <w:p>
            <w:pPr>
              <w:spacing w:after="0"/>
              <w:rPr>
                <w:sz w:val="18"/>
                <w:szCs w:val="18"/>
                <w:color w:val="auto"/>
              </w:rPr>
            </w:pPr>
          </w:p>
        </w:tc>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5.04</w:t>
            </w: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September 30, 2016</w:t>
            </w:r>
          </w:p>
        </w:tc>
        <w:tc>
          <w:tcPr>
            <w:tcW w:w="5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5.04</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8840" w:type="dxa"/>
            <w:vAlign w:val="bottom"/>
            <w:gridSpan w:val="10"/>
          </w:tcPr>
          <w:p>
            <w:pPr>
              <w:spacing w:after="0"/>
              <w:rPr>
                <w:sz w:val="20"/>
                <w:szCs w:val="20"/>
                <w:color w:val="auto"/>
              </w:rPr>
            </w:pPr>
            <w:r>
              <w:rPr>
                <w:rFonts w:ascii="Arial" w:cs="Arial" w:eastAsia="Arial" w:hAnsi="Arial"/>
                <w:sz w:val="18"/>
                <w:szCs w:val="18"/>
                <w:color w:val="auto"/>
                <w:w w:val="92"/>
              </w:rPr>
              <w:t>A summary of outstanding non-vested restricted stock, restricted stock units and PSUs and related transactions follows: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of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Granted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121,660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(107,795)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(4,924)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2016</w:t>
            </w:r>
          </w:p>
        </w:tc>
        <w:tc>
          <w:tcPr>
            <w:tcW w:w="5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270,922</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40" w:type="dxa"/>
            <w:vAlign w:val="bottom"/>
            <w:gridSpan w:val="2"/>
          </w:tcPr>
          <w:p>
            <w:pPr>
              <w:spacing w:after="0"/>
              <w:rPr>
                <w:sz w:val="20"/>
                <w:szCs w:val="20"/>
                <w:color w:val="auto"/>
              </w:rPr>
            </w:pPr>
            <w:r>
              <w:rPr>
                <w:rFonts w:ascii="Arial" w:cs="Arial" w:eastAsia="Arial" w:hAnsi="Arial"/>
                <w:sz w:val="18"/>
                <w:szCs w:val="18"/>
                <w:color w:val="auto"/>
                <w:w w:val="93"/>
              </w:rPr>
              <w:t>Certain information regarding options exercised during the periods follows: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4"/>
          </w:tcPr>
          <w:p>
            <w:pPr>
              <w:jc w:val="right"/>
              <w:ind w:right="75"/>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4"/>
          </w:tcPr>
          <w:p>
            <w:pPr>
              <w:jc w:val="right"/>
              <w:ind w:right="315"/>
              <w:spacing w:after="0"/>
              <w:rPr>
                <w:sz w:val="20"/>
                <w:szCs w:val="20"/>
                <w:color w:val="auto"/>
              </w:rPr>
            </w:pPr>
            <w:r>
              <w:rPr>
                <w:rFonts w:ascii="Arial" w:cs="Arial" w:eastAsia="Arial" w:hAnsi="Arial"/>
                <w:sz w:val="18"/>
                <w:szCs w:val="18"/>
                <w:color w:val="auto"/>
              </w:rPr>
              <w:t>September 30,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ind w:left="255"/>
              <w:spacing w:after="0"/>
              <w:rPr>
                <w:sz w:val="20"/>
                <w:szCs w:val="20"/>
                <w:color w:val="auto"/>
              </w:rPr>
            </w:pPr>
            <w:r>
              <w:rPr>
                <w:rFonts w:ascii="Arial" w:cs="Arial" w:eastAsia="Arial" w:hAnsi="Arial"/>
                <w:sz w:val="18"/>
                <w:szCs w:val="18"/>
                <w:color w:val="auto"/>
                <w:w w:val="89"/>
              </w:rPr>
              <w:t>2015</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1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Cash proceeds received</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80" w:type="dxa"/>
            <w:vAlign w:val="bottom"/>
            <w:gridSpan w:val="2"/>
          </w:tcPr>
          <w:p>
            <w:pPr>
              <w:jc w:val="right"/>
              <w:ind w:right="615"/>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5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560" w:type="dxa"/>
            <w:vAlign w:val="bottom"/>
          </w:tcPr>
          <w:p>
            <w:pPr>
              <w:jc w:val="right"/>
              <w:ind w:right="236"/>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5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Income Tax</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tax expense was $3.0 million and $2.3 million during the three month periods ended September 30, 2016 and 2015, respectively and $7.5 million and $6.7 million during the nine months ended September 30, 2016 and 2015, respectively. As described in note #2, we adopted ASU 2016-09, “Compensation – Stock Compensation (718) Improvements to Employee Share-Based Payment Accounting” during the second quarter of 2016 which now requires us to recognize for book purposes either income tax expense or benefit relating to excess deficiencies/benefits relating to share-based compensation. Included in income tax expense for the three and nine month periods ended September 30, 2016 are tax benefits of zero and $0.3 million, respectively due to the vesting of certain share-based compensation grants and the exercise of stock options during the respective periods.</w:t>
      </w:r>
    </w:p>
    <w:p>
      <w:pPr>
        <w:spacing w:after="0" w:line="20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September 30, 2016 and 2015, that the realization of substantially all of our deferred tax assets continues to be more likely than not.</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did maintain a valuation allowance against our deferred tax assets of approximately $1.1 million at both September 30, 2016 and December 31, 2015. This valuation allowance on our deferred tax assets primarily relates to state income taxes at our Mepco segment. In this instance, we determined that the future realization of these particular deferred tax assets was not more likely than not. This conclusion was primarily based on the uncertainty of Mepco’s future earnings attributable to particular states (given the various apportionment criteria) and the significant reduction in the size of Mepco’s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September 30, 2016 and December 31, 2015, we had approximately $1.0 million, of gross unrecognized tax benefits. We do not expect the total amount of unrecognized tax benefits to significantly increase or decrease during the balance of 2016.</w:t>
      </w:r>
    </w:p>
    <w:p>
      <w:pPr>
        <w:spacing w:after="0" w:line="19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September 30, 2016, the Bank had positive undivided profits of $8.7 million. We can request regulatory approval for a return of capital from the Bank to the parent company. During the first quarters of 2016 and 2015, we requested regulatory approval for returns of capital from the Bank to the parent company of $18.0 million and $18.5 million, respectively. These return of capital requests were approved by our banking regulators on February 24, 2016 and February 13, 2015, respectively and the Bank returned these amounts to the parent company on February 25, 2016 and February 17, 2015, respectively. It is not our intent to have dividends paid in amounts that would reduce the capital of our Bank to levels below those which we consider prudent and in accordance with guidelines of regulatory authorities.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Under capital adequacy guidelines, we must meet specific capital requirements that involve quantitative measures as well as qualitative judgments by the regulators. The most recent regulatory filings as of September 30, 2016 and December 31, 2015, categorized our Bank as well capitalized. Management is not aware of any conditions or events that would have changed the most recent Federal Deposit Insurance Corporation (“FDIC”) categorization.</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 2013, the Federal Reserve approved a final rule that establishes an integrated regulatory capital framework (the “New Capital Rules”). The rule implements in the United States the Basel III regulatory capital reforms from the Basel Committee on Banking Supervision and certain changes required by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capital conservation buffer began to phase in on January 1, 2016 with 0.625% added to the minimum ratio for adequately capitalized institutions for 2016.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 strict eligibility criteria for regulatory capital instruments. The New Capital Rules also change the methodology for calculating risk-weighted assets to enhance risk sensitivity. The New Capital Rules became effective for us on January 1, 2015.</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actual capital amounts and ratios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6"/>
              </w:rPr>
              <w:t>Minimum for</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8"/>
              </w:rPr>
              <w:t>Minimum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Adequately Capitalized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3"/>
              </w:rPr>
              <w:t>Well-Capitalized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Actual</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Ratio</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98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281,310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8"/>
              </w:rPr>
              <w:t>16.05%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140,243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269,578</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15.39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140,116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175,145</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259,279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8"/>
              </w:rPr>
              <w:t>14.79%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105,182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247,615</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14.14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105,087</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140,116</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233,631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8"/>
              </w:rPr>
              <w:t>13.33%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78,886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247,615</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14.14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78,815</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113,844</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259,279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8"/>
              </w:rPr>
              <w:t>10.56%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98,174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247,615</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10.09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98,116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122,645</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December 31, 2015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278,170</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w w:val="98"/>
              </w:rPr>
              <w:t>16.65%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133,668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261,894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15.69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133,514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166,893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257,050</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w w:val="98"/>
              </w:rPr>
              <w:t>15.38%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100,251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240,867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100,136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133,514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assets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239,271</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w w:val="98"/>
              </w:rPr>
              <w:t>14.32%</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75,188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240,867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75,102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108,480</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257,050</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w w:val="98"/>
              </w:rPr>
              <w:t>10.91%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94,217</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240,867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10.23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94,145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117,682</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197485</wp:posOffset>
            </wp:positionV>
            <wp:extent cx="21437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3760" cy="17145"/>
                    </a:xfrm>
                    <a:prstGeom prst="rect">
                      <a:avLst/>
                    </a:prstGeom>
                    <a:noFill/>
                  </pic:spPr>
                </pic:pic>
              </a:graphicData>
            </a:graphic>
          </wp:anchor>
        </w:drawing>
      </w:r>
    </w:p>
    <w:p>
      <w:pPr>
        <w:spacing w:after="0" w:line="39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 - Not applicable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The components of our regulatory capital are as follows: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Consolidated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8"/>
                <w:szCs w:val="18"/>
                <w:color w:val="auto"/>
              </w:rPr>
              <w:t>Independent Bank</w:t>
            </w:r>
          </w:p>
        </w:tc>
      </w:tr>
      <w:tr>
        <w:trPr>
          <w:trHeight w:val="202"/>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200"/>
              <w:spacing w:after="0" w:line="201" w:lineRule="exact"/>
              <w:rPr>
                <w:sz w:val="20"/>
                <w:szCs w:val="20"/>
                <w:color w:val="auto"/>
              </w:rPr>
            </w:pPr>
            <w:r>
              <w:rPr>
                <w:rFonts w:ascii="Arial" w:cs="Arial" w:eastAsia="Arial" w:hAnsi="Arial"/>
                <w:sz w:val="18"/>
                <w:szCs w:val="18"/>
                <w:color w:val="auto"/>
                <w:w w:val="91"/>
              </w:rPr>
              <w:t>September 30,</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180"/>
              <w:spacing w:after="0" w:line="201" w:lineRule="exact"/>
              <w:rPr>
                <w:sz w:val="20"/>
                <w:szCs w:val="20"/>
                <w:color w:val="auto"/>
              </w:rPr>
            </w:pPr>
            <w:r>
              <w:rPr>
                <w:rFonts w:ascii="Arial" w:cs="Arial" w:eastAsia="Arial" w:hAnsi="Arial"/>
                <w:sz w:val="18"/>
                <w:szCs w:val="18"/>
                <w:color w:val="auto"/>
                <w:w w:val="91"/>
              </w:rPr>
              <w:t>September 30,</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2015</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250,902</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251,092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263,762</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259,947</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Add (deduct)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Accumulated other comprehensive (income) loss for regulatory purposes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(912)</w:t>
            </w: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Disallowed deferred tax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(11,147)</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(18,406)</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tcPr>
          <w:p>
            <w:pPr>
              <w:ind w:left="500"/>
              <w:spacing w:after="0"/>
              <w:rPr>
                <w:sz w:val="20"/>
                <w:szCs w:val="20"/>
                <w:color w:val="auto"/>
              </w:rPr>
            </w:pPr>
            <w:r>
              <w:rPr>
                <w:rFonts w:ascii="Arial" w:cs="Arial" w:eastAsia="Arial" w:hAnsi="Arial"/>
                <w:sz w:val="18"/>
                <w:szCs w:val="18"/>
                <w:color w:val="auto"/>
              </w:rPr>
              <w:t>Common equity tier 1 capital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233,631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239,271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247,615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240,867</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trust preferred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ind w:left="340"/>
              <w:spacing w:after="0"/>
              <w:rPr>
                <w:sz w:val="20"/>
                <w:szCs w:val="20"/>
                <w:color w:val="auto"/>
              </w:rPr>
            </w:pPr>
            <w:r>
              <w:rPr>
                <w:rFonts w:ascii="Arial" w:cs="Arial" w:eastAsia="Arial" w:hAnsi="Arial"/>
                <w:sz w:val="18"/>
                <w:szCs w:val="18"/>
                <w:color w:val="auto"/>
              </w:rPr>
              <w:t>Disallowed deferred tax 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(8,852)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(16,721)</w:t>
            </w: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Tier 1 capital</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257,050</w:t>
            </w: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240,867</w:t>
            </w:r>
          </w:p>
        </w:tc>
        <w:tc>
          <w:tcPr>
            <w:tcW w:w="100" w:type="dxa"/>
            <w:vAlign w:val="bottom"/>
            <w:shd w:val="clear" w:color="auto" w:fill="CCEEFF"/>
          </w:tcPr>
          <w:p>
            <w:pPr>
              <w:spacing w:after="0"/>
              <w:rPr>
                <w:sz w:val="18"/>
                <w:szCs w:val="18"/>
                <w:color w:val="auto"/>
              </w:rPr>
            </w:pPr>
          </w:p>
        </w:tc>
      </w:tr>
      <w:tr>
        <w:trPr>
          <w:trHeight w:val="202"/>
        </w:trPr>
        <w:tc>
          <w:tcPr>
            <w:tcW w:w="5960" w:type="dxa"/>
            <w:vAlign w:val="bottom"/>
          </w:tcPr>
          <w:p>
            <w:pPr>
              <w:ind w:left="340"/>
              <w:spacing w:after="0" w:line="201" w:lineRule="exact"/>
              <w:rPr>
                <w:sz w:val="20"/>
                <w:szCs w:val="20"/>
                <w:color w:val="auto"/>
              </w:rPr>
            </w:pPr>
            <w:r>
              <w:rPr>
                <w:rFonts w:ascii="Arial" w:cs="Arial" w:eastAsia="Arial" w:hAnsi="Arial"/>
                <w:sz w:val="18"/>
                <w:szCs w:val="18"/>
                <w:color w:val="auto"/>
                <w:w w:val="92"/>
              </w:rPr>
              <w:t>Allowance for loan losses and allowance for unfunded lending commitments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limited to 1.25% of total risk-weighted assets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22,031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21,120</w:t>
            </w:r>
          </w:p>
        </w:tc>
        <w:tc>
          <w:tcPr>
            <w:tcW w:w="4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21,963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21,027</w:t>
            </w:r>
          </w:p>
        </w:tc>
      </w:tr>
      <w:tr>
        <w:trPr>
          <w:trHeight w:val="25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risk-based capital</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281,310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278,170</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269,578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Fair Value Disclosures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08"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Securities</w:t>
      </w:r>
      <w:r>
        <w:rPr>
          <w:rFonts w:ascii="Arial" w:cs="Arial" w:eastAsia="Arial" w:hAnsi="Arial"/>
          <w:sz w:val="17"/>
          <w:szCs w:val="17"/>
          <w:color w:val="auto"/>
        </w:rPr>
        <w:t>: Where quoted market prices are available in an active market, securities (trading or available for sale) are classified as Level 1 of the valuation hierarchy. Level 1 securities include certain preferred stocks included in our trading portfolio for which there are quoted prices in active markets.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municipal securities, trust preferred securities, corporate securities and foreign government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Loans held for sale</w:t>
      </w:r>
      <w:r>
        <w:rPr>
          <w:rFonts w:ascii="Arial" w:cs="Arial" w:eastAsia="Arial" w:hAnsi="Arial"/>
          <w:sz w:val="16"/>
          <w:szCs w:val="16"/>
          <w:color w:val="auto"/>
        </w:rPr>
        <w:t>: The fair value of mortgage loans held for sale is based on mortgage backed security pricing for comparable assets (recurring Level 2).</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Impaired loans with specific loss allocations based on collateral value</w:t>
      </w:r>
      <w:r>
        <w:rPr>
          <w:rFonts w:ascii="Arial" w:cs="Arial" w:eastAsia="Arial" w:hAnsi="Arial"/>
          <w:sz w:val="17"/>
          <w:szCs w:val="17"/>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September 30, 2016 and December 31, 2015, all of our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Other real estate</w:t>
      </w:r>
      <w:r>
        <w:rPr>
          <w:rFonts w:ascii="Arial" w:cs="Arial" w:eastAsia="Arial" w:hAnsi="Arial"/>
          <w:sz w:val="17"/>
          <w:szCs w:val="17"/>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(for commercial properties over $0.25 million) or a member of our Collateral Evaluation Department (for commercial properties under $0.25 million) or a member of our Special Assets Group (for retail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retail properties we typically discount an appraisal to account for various factors that the appraisal excludes in its assumptions. These additional discounts generally do not result in material adjustments to the appraised value.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Capitalized mortgage loan servicing rights</w:t>
      </w:r>
      <w:r>
        <w:rPr>
          <w:rFonts w:ascii="Arial" w:cs="Arial" w:eastAsia="Arial" w:hAnsi="Arial"/>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nonrecurring Level 3. Management evaluates the third party valuation for reasonableness each quarter as part of our financial reporting control processes.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The fair value of rate-lock mortgage loan commitments and mandatory commitments to sell mortgage loans is based on mortgage backed security pricing for comparable assets (recurring Level 2). The fair value of interest rate swap agreements is based on a discounted cash flow analysis whose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September 30, 2016:</w:t>
            </w:r>
          </w:p>
        </w:tc>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29,949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169,958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169,958</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13,892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33,578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33,578</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142,188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142,188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157,989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157,989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51,455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2,450</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Loans held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38,008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38,008</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Measured at Fair Value on a Non-recurring basis: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 (3)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Impaired loans (4)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Income producing -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real estate (5)</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producing - real estate (6)</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Only includes servicing rights that are carried at fair value due to recognition of a valuation allowance.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 valuation is based on sales price at an auction subsequent to September 30, 2016.</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2015:</w:t>
            </w:r>
          </w:p>
        </w:tc>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47,512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196,056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196,056</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34,028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4,903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116,904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116,904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144,984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144,984</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held for sale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27,866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Derivatives (1)</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1,238</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Derivatives (2)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Measured at Fair Value on a Non-recurring basis: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Capitalized mortgage loan servicing rights (3)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8,481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Impaired loans (4)</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producing - 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real estate (5)</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Home equity - 1st lien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Installment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Home equity - 1st lien</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Only includes servicing rights that are carried at fair value due to recognition of a valuation allowance.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nine months ended September 30, 2016 and 2015.</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values for financial assets which we have elected the fair value option for the periods presented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40" w:type="dxa"/>
            <w:vAlign w:val="bottom"/>
            <w:gridSpan w:val="8"/>
          </w:tcPr>
          <w:p>
            <w:pPr>
              <w:jc w:val="center"/>
              <w:spacing w:after="0"/>
              <w:rPr>
                <w:sz w:val="20"/>
                <w:szCs w:val="20"/>
                <w:color w:val="auto"/>
              </w:rPr>
            </w:pPr>
            <w:r>
              <w:rPr>
                <w:rFonts w:ascii="Arial" w:cs="Arial" w:eastAsia="Arial" w:hAnsi="Arial"/>
                <w:sz w:val="18"/>
                <w:szCs w:val="18"/>
                <w:color w:val="auto"/>
                <w:w w:val="91"/>
              </w:rPr>
              <w:t>Changes in Fair Values for the Nine-Month</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gridSpan w:val="11"/>
          </w:tcPr>
          <w:p>
            <w:pPr>
              <w:jc w:val="center"/>
              <w:ind w:right="40"/>
              <w:spacing w:after="0"/>
              <w:rPr>
                <w:sz w:val="20"/>
                <w:szCs w:val="20"/>
                <w:color w:val="auto"/>
              </w:rPr>
            </w:pPr>
            <w:r>
              <w:rPr>
                <w:rFonts w:ascii="Arial" w:cs="Arial" w:eastAsia="Arial" w:hAnsi="Arial"/>
                <w:sz w:val="18"/>
                <w:szCs w:val="18"/>
                <w:color w:val="auto"/>
                <w:w w:val="89"/>
              </w:rPr>
              <w:t>Periods Ended September 30 for Items Measured at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40" w:type="dxa"/>
            <w:vAlign w:val="bottom"/>
            <w:tcBorders>
              <w:bottom w:val="single" w:sz="8" w:color="auto"/>
            </w:tcBorders>
            <w:gridSpan w:val="11"/>
          </w:tcPr>
          <w:p>
            <w:pPr>
              <w:jc w:val="center"/>
              <w:ind w:right="40"/>
              <w:spacing w:after="0"/>
              <w:rPr>
                <w:sz w:val="20"/>
                <w:szCs w:val="20"/>
                <w:color w:val="auto"/>
              </w:rPr>
            </w:pPr>
            <w:r>
              <w:rPr>
                <w:rFonts w:ascii="Arial" w:cs="Arial" w:eastAsia="Arial" w:hAnsi="Arial"/>
                <w:sz w:val="18"/>
                <w:szCs w:val="18"/>
                <w:color w:val="auto"/>
                <w:w w:val="91"/>
              </w:rPr>
              <w:t>Fair Value Pursuant to Election of the Fair Value Option</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7"/>
                <w:szCs w:val="17"/>
                <w:color w:val="auto"/>
              </w:rPr>
            </w:pPr>
          </w:p>
        </w:tc>
      </w:tr>
      <w:tr>
        <w:trPr>
          <w:trHeight w:val="216"/>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Change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Change</w:t>
            </w:r>
          </w:p>
        </w:tc>
      </w:tr>
      <w:tr>
        <w:trPr>
          <w:trHeight w:val="216"/>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in Fair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in Fair</w:t>
            </w:r>
          </w:p>
        </w:tc>
      </w:tr>
      <w:tr>
        <w:trPr>
          <w:trHeight w:val="216"/>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Values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Values</w:t>
            </w:r>
          </w:p>
        </w:tc>
      </w:tr>
      <w:tr>
        <w:trPr>
          <w:trHeight w:val="216"/>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Included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Included</w:t>
            </w:r>
          </w:p>
        </w:tc>
      </w:tr>
      <w:tr>
        <w:trPr>
          <w:trHeight w:val="216"/>
        </w:trPr>
        <w:tc>
          <w:tcPr>
            <w:tcW w:w="3340" w:type="dxa"/>
            <w:vAlign w:val="bottom"/>
          </w:tcPr>
          <w:p>
            <w:pPr>
              <w:spacing w:after="0"/>
              <w:rPr>
                <w:sz w:val="18"/>
                <w:szCs w:val="18"/>
                <w:color w:val="auto"/>
              </w:rPr>
            </w:pPr>
          </w:p>
        </w:tc>
        <w:tc>
          <w:tcPr>
            <w:tcW w:w="2240" w:type="dxa"/>
            <w:vAlign w:val="bottom"/>
            <w:gridSpan w:val="3"/>
          </w:tcPr>
          <w:p>
            <w:pPr>
              <w:jc w:val="center"/>
              <w:ind w:left="215"/>
              <w:spacing w:after="0"/>
              <w:rPr>
                <w:sz w:val="20"/>
                <w:szCs w:val="20"/>
                <w:color w:val="auto"/>
              </w:rPr>
            </w:pPr>
            <w:r>
              <w:rPr>
                <w:rFonts w:ascii="Arial" w:cs="Arial" w:eastAsia="Arial" w:hAnsi="Arial"/>
                <w:sz w:val="18"/>
                <w:szCs w:val="18"/>
                <w:color w:val="auto"/>
                <w:w w:val="89"/>
              </w:rPr>
              <w:t>Net Gains (Losses)</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 Current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center"/>
              <w:ind w:right="260"/>
              <w:spacing w:after="0"/>
              <w:rPr>
                <w:sz w:val="20"/>
                <w:szCs w:val="20"/>
                <w:color w:val="auto"/>
              </w:rPr>
            </w:pPr>
            <w:r>
              <w:rPr>
                <w:rFonts w:ascii="Arial" w:cs="Arial" w:eastAsia="Arial" w:hAnsi="Arial"/>
                <w:sz w:val="18"/>
                <w:szCs w:val="18"/>
                <w:color w:val="auto"/>
                <w:w w:val="89"/>
              </w:rPr>
              <w:t>Net Gains (Losses)</w:t>
            </w:r>
          </w:p>
        </w:tc>
        <w:tc>
          <w:tcPr>
            <w:tcW w:w="2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 Current</w:t>
            </w:r>
          </w:p>
        </w:tc>
      </w:tr>
      <w:tr>
        <w:trPr>
          <w:trHeight w:val="237"/>
        </w:trPr>
        <w:tc>
          <w:tcPr>
            <w:tcW w:w="3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88"/>
              </w:rPr>
              <w:t>on Assets</w:t>
            </w:r>
          </w:p>
        </w:tc>
        <w:tc>
          <w:tcPr>
            <w:tcW w:w="3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Period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w w:val="85"/>
              </w:rPr>
              <w:t>on Assets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Period</w:t>
            </w:r>
          </w:p>
        </w:tc>
      </w:tr>
      <w:tr>
        <w:trPr>
          <w:trHeight w:val="223"/>
        </w:trPr>
        <w:tc>
          <w:tcPr>
            <w:tcW w:w="3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Securities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3"/>
              </w:rPr>
              <w:t>Loans</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Securities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Loans</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40" w:type="dxa"/>
            <w:vAlign w:val="bottom"/>
            <w:gridSpan w:val="5"/>
          </w:tcPr>
          <w:p>
            <w:pPr>
              <w:jc w:val="right"/>
              <w:ind w:right="850"/>
              <w:spacing w:after="0"/>
              <w:rPr>
                <w:sz w:val="20"/>
                <w:szCs w:val="20"/>
                <w:color w:val="auto"/>
              </w:rPr>
            </w:pPr>
            <w:r>
              <w:rPr>
                <w:rFonts w:ascii="Arial" w:cs="Arial" w:eastAsia="Arial" w:hAnsi="Arial"/>
                <w:sz w:val="18"/>
                <w:szCs w:val="18"/>
                <w:color w:val="auto"/>
              </w:rPr>
              <w:t>(In thousands)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920" w:type="dxa"/>
            <w:vAlign w:val="bottom"/>
            <w:shd w:val="clear" w:color="auto" w:fill="CCEEFF"/>
          </w:tcPr>
          <w:p>
            <w:pPr>
              <w:jc w:val="right"/>
              <w:ind w:right="75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612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bl>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 impairment charges recognized during the three and nine month periods ended September 30, 2016 and 2015 relating to assets measured at fair value on a non-recurring basis:</w:t>
      </w:r>
    </w:p>
    <w:p>
      <w:pPr>
        <w:spacing w:after="0" w:line="170" w:lineRule="exact"/>
        <w:rPr>
          <w:sz w:val="20"/>
          <w:szCs w:val="20"/>
          <w:color w:val="auto"/>
        </w:rPr>
      </w:pPr>
    </w:p>
    <w:p>
      <w:pPr>
        <w:jc w:val="both"/>
        <w:ind w:left="660" w:hanging="328"/>
        <w:spacing w:after="0" w:line="28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Capitalized mortgage loan servicing rights, whose individual strata are measured at fair value, had a carrying amount of $10.7 million which is net of a valuation allowance of $4.7 million at September 30, 2016 and had a carrying amount of $8.5 million which is net of a valuation allowance of $3.3 million at December 31, 2015. A recovery (charge) of $0.6 million and $(1.5) million was included in our results of operations for the three and nine month periods ending September 30, 2016, respectively and $(0.9) million and $(0.3) million during the same periods in 2015.</w:t>
      </w:r>
    </w:p>
    <w:p>
      <w:pPr>
        <w:spacing w:after="0" w:line="1"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Loans which are measured for impairment using the fair value of collateral for collateral dependent loans, had a carrying amount of $4.4 million, with a valuation allowance of $2.0 million at September 30, 2016 and had a carrying amount of $5.1 million, with a valuation allowance of $2.5 million at December 31, 2015. The provision for loan losses included in our results of operations relating to impaired loans was a net expense of $0.1 million and $1.0 million for the three month periods ending September 30, 2016 and 2015, respectively, and a net expense of $0.3 million and $1.9 million for the nine month periods ending September 30, 2016 and 2015, respectively.</w:t>
      </w:r>
    </w:p>
    <w:p>
      <w:pPr>
        <w:spacing w:after="0" w:line="1" w:lineRule="exact"/>
        <w:rPr>
          <w:rFonts w:ascii="Arial" w:cs="Arial" w:eastAsia="Arial" w:hAnsi="Arial"/>
          <w:sz w:val="17"/>
          <w:szCs w:val="17"/>
          <w:color w:val="auto"/>
        </w:rPr>
      </w:pPr>
    </w:p>
    <w:p>
      <w:pPr>
        <w:jc w:val="both"/>
        <w:ind w:left="660" w:hanging="328"/>
        <w:spacing w:after="0" w:line="25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$3.2 million which is net of a valuation allowance of $0.6 million at September 30, 2016 and a carrying amount of $1.0 million which is net of a valuation allowance of $1.7 million at December 31, 2015. An additional charge relating to other real estate measured at fair value of $0.37 million and $0.41 million was included in our results of operations during the three and nine month periods ended September 30, 2016, respectively and $0.03 million and $0.30 million during the same periods in 2015.</w:t>
      </w: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had no assets or liabilities measured at fair value on a recurring basis that used significant unobservable inputs (Level 3) during the nine months ended September 30, 2016 and 2015.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Asset</w:t>
            </w:r>
          </w:p>
        </w:tc>
        <w:tc>
          <w:tcPr>
            <w:tcW w:w="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Fair</w:t>
            </w:r>
          </w:p>
        </w:tc>
        <w:tc>
          <w:tcPr>
            <w:tcW w:w="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100" w:type="dxa"/>
            <w:vAlign w:val="bottom"/>
          </w:tcPr>
          <w:p>
            <w:pPr>
              <w:spacing w:after="0"/>
              <w:rPr>
                <w:sz w:val="18"/>
                <w:szCs w:val="18"/>
                <w:color w:val="auto"/>
              </w:rPr>
            </w:pPr>
          </w:p>
        </w:tc>
        <w:tc>
          <w:tcPr>
            <w:tcW w:w="2620" w:type="dxa"/>
            <w:vAlign w:val="bottom"/>
          </w:tcPr>
          <w:p>
            <w:pPr>
              <w:ind w:left="820"/>
              <w:spacing w:after="0"/>
              <w:rPr>
                <w:sz w:val="20"/>
                <w:szCs w:val="20"/>
                <w:color w:val="auto"/>
              </w:rPr>
            </w:pPr>
            <w:r>
              <w:rPr>
                <w:rFonts w:ascii="Arial" w:cs="Arial" w:eastAsia="Arial" w:hAnsi="Arial"/>
                <w:sz w:val="18"/>
                <w:szCs w:val="18"/>
                <w:color w:val="auto"/>
              </w:rPr>
              <w:t>Unobservable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4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Technique</w:t>
            </w:r>
          </w:p>
        </w:tc>
        <w:tc>
          <w:tcPr>
            <w:tcW w:w="100" w:type="dxa"/>
            <w:vAlign w:val="bottom"/>
          </w:tcPr>
          <w:p>
            <w:pPr>
              <w:spacing w:after="0"/>
              <w:rPr>
                <w:sz w:val="20"/>
                <w:szCs w:val="20"/>
                <w:color w:val="auto"/>
              </w:rPr>
            </w:pPr>
          </w:p>
        </w:tc>
        <w:tc>
          <w:tcPr>
            <w:tcW w:w="2620" w:type="dxa"/>
            <w:vAlign w:val="bottom"/>
          </w:tcPr>
          <w:p>
            <w:pPr>
              <w:ind w:left="1080"/>
              <w:spacing w:after="0"/>
              <w:rPr>
                <w:sz w:val="20"/>
                <w:szCs w:val="20"/>
                <w:color w:val="auto"/>
              </w:rPr>
            </w:pPr>
            <w:r>
              <w:rPr>
                <w:rFonts w:ascii="Arial" w:cs="Arial" w:eastAsia="Arial" w:hAnsi="Arial"/>
                <w:sz w:val="18"/>
                <w:szCs w:val="18"/>
                <w:color w:val="auto"/>
              </w:rPr>
              <w:t>Inputs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September 30, 2016</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(In thousands)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Present value of net servicing</w:t>
            </w: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Capitalized mortgage loan servicing rights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10,678</w:t>
            </w:r>
          </w:p>
        </w:tc>
        <w:tc>
          <w:tcPr>
            <w:tcW w:w="40" w:type="dxa"/>
            <w:vAlign w:val="bottom"/>
            <w:shd w:val="clear" w:color="auto" w:fill="CCEEFF"/>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Cost to service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Ancillary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Float rate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Impaired loans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320"/>
              <w:spacing w:after="0" w:line="201" w:lineRule="exact"/>
              <w:rPr>
                <w:sz w:val="20"/>
                <w:szCs w:val="20"/>
                <w:color w:val="auto"/>
              </w:rPr>
            </w:pPr>
            <w:r>
              <w:rPr>
                <w:rFonts w:ascii="Arial" w:cs="Arial" w:eastAsia="Arial" w:hAnsi="Arial"/>
                <w:sz w:val="18"/>
                <w:szCs w:val="18"/>
                <w:color w:val="auto"/>
              </w:rPr>
              <w:t>Commercial (1)</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w w:val="92"/>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1,787</w:t>
            </w:r>
          </w:p>
        </w:tc>
        <w:tc>
          <w:tcPr>
            <w:tcW w:w="266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Other real estate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320"/>
              <w:spacing w:after="0" w:line="201" w:lineRule="exact"/>
              <w:rPr>
                <w:sz w:val="20"/>
                <w:szCs w:val="20"/>
                <w:color w:val="auto"/>
              </w:rPr>
            </w:pPr>
            <w:r>
              <w:rPr>
                <w:rFonts w:ascii="Arial" w:cs="Arial" w:eastAsia="Arial" w:hAnsi="Arial"/>
                <w:sz w:val="18"/>
                <w:szCs w:val="18"/>
                <w:color w:val="auto"/>
              </w:rPr>
              <w:t>Mortgage and installment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w w:val="92"/>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266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December 31, 2015</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Present value of net servicing</w:t>
            </w: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Capitalized mortgage loan servicing rights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8,481</w:t>
            </w:r>
          </w:p>
        </w:tc>
        <w:tc>
          <w:tcPr>
            <w:tcW w:w="40" w:type="dxa"/>
            <w:vAlign w:val="bottom"/>
            <w:shd w:val="clear" w:color="auto" w:fill="CCEEFF"/>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Cost to service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Ancillary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Float rate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Impaired loans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w w:val="92"/>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320"/>
              <w:spacing w:after="0"/>
              <w:rPr>
                <w:sz w:val="20"/>
                <w:szCs w:val="20"/>
                <w:color w:val="auto"/>
              </w:rPr>
            </w:pPr>
            <w:r>
              <w:rPr>
                <w:rFonts w:ascii="Arial" w:cs="Arial" w:eastAsia="Arial" w:hAnsi="Arial"/>
                <w:sz w:val="18"/>
                <w:szCs w:val="18"/>
                <w:color w:val="auto"/>
              </w:rPr>
              <w:t>Commercial (1)</w:t>
            </w: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1,605</w:t>
            </w:r>
          </w:p>
        </w:tc>
        <w:tc>
          <w:tcPr>
            <w:tcW w:w="266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approach</w:t>
            </w: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rate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320"/>
              <w:spacing w:after="0" w:line="201" w:lineRule="exact"/>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w w:val="92"/>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266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320"/>
              <w:spacing w:after="0" w:line="201" w:lineRule="exact"/>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w w:val="92"/>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804</w:t>
            </w:r>
          </w:p>
        </w:tc>
        <w:tc>
          <w:tcPr>
            <w:tcW w:w="266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 and installment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49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340" w:hanging="332"/>
        <w:spacing w:after="0" w:line="276"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addition to the valuation techniques and unobservable inputs discussed above, at September 30, 2016 and December 31, 2015, we had an impaired collateral dependent commercial relationship that totaled $0.2 million and $0.4 million, respectively that was primarily secured by collateral other than real estate. Collateral securing this relationship primarily included machinery and equipment and inventory at September 30, 2016 and December 31, 2015. Valuation techniques at September 30, 2016 and December 31, 2015, included appraisals and discounting restructuring firm valuations based on estimates of value recovery of each particular asset type. Discount rates used ranged from 0% to 100% of stated values.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Difference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Principal</w:t>
            </w:r>
          </w:p>
        </w:tc>
        <w:tc>
          <w:tcPr>
            <w:tcW w:w="0" w:type="dxa"/>
            <w:vAlign w:val="bottom"/>
          </w:tcPr>
          <w:p>
            <w:pPr>
              <w:spacing w:after="0"/>
              <w:rPr>
                <w:sz w:val="1"/>
                <w:szCs w:val="1"/>
                <w:color w:val="auto"/>
              </w:rPr>
            </w:pPr>
          </w:p>
        </w:tc>
      </w:tr>
      <w:tr>
        <w:trPr>
          <w:trHeight w:val="230"/>
        </w:trPr>
        <w:tc>
          <w:tcPr>
            <w:tcW w:w="744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36,682</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December 31, 2015</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27,866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27,152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due from banks and interest bearing deposits</w:t>
      </w:r>
      <w:r>
        <w:rPr>
          <w:rFonts w:ascii="Arial" w:cs="Arial" w:eastAsia="Arial" w:hAnsi="Arial"/>
          <w:sz w:val="18"/>
          <w:szCs w:val="18"/>
          <w:color w:val="auto"/>
        </w:rPr>
        <w:t>: The recorded book balance of cash and due from banks and interest bearing deposits approximate fair value and are classified as Level 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Interest bearing deposits - time</w:t>
      </w:r>
      <w:r>
        <w:rPr>
          <w:rFonts w:ascii="Arial" w:cs="Arial" w:eastAsia="Arial" w:hAnsi="Arial"/>
          <w:sz w:val="18"/>
          <w:szCs w:val="18"/>
          <w:color w:val="auto"/>
        </w:rPr>
        <w:t>: Interest bearing deposits - time have been valued based on a model using a benchmark yield curve plus a base spread and are classified as Level 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Financial instrument assets actively traded in a secondary market have been valued using quoted market prices. Trading securities are classified as Level 1 while securities available for sale are classified as Level 2 as described in Note #12.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Federal Home Loan Bank and Federal Reserve Bank Stock</w:t>
      </w:r>
      <w:r>
        <w:rPr>
          <w:rFonts w:ascii="Arial" w:cs="Arial" w:eastAsia="Arial" w:hAnsi="Arial"/>
          <w:sz w:val="18"/>
          <w:szCs w:val="18"/>
          <w:color w:val="auto"/>
        </w:rPr>
        <w:t>: It is not practicable to determine the fair value of FHLB and FRB Stock due to restrictions placed on transferability.</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Net loans and loans held for sale</w:t>
      </w:r>
      <w:r>
        <w:rPr>
          <w:rFonts w:ascii="Arial" w:cs="Arial" w:eastAsia="Arial" w:hAnsi="Arial"/>
          <w:sz w:val="17"/>
          <w:szCs w:val="17"/>
          <w:color w:val="auto"/>
        </w:rPr>
        <w:t>: The fair value of loans is calculated by discounting estimated future cash flows using estimated market discount rates that reflect credit and interest-rate risk inherent in the loans and do not necessarily represent an exit price. Loans are classified as Level 3. Impaired loans are valued at the lower of cost or fair value as described in Note #12. Loans held for sale are classified as Level 2 as described in Note #12.</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Accrued interest receivable and payable</w:t>
      </w:r>
      <w:r>
        <w:rPr>
          <w:rFonts w:ascii="Arial" w:cs="Arial" w:eastAsia="Arial" w:hAnsi="Arial"/>
          <w:sz w:val="18"/>
          <w:szCs w:val="18"/>
          <w:color w:val="auto"/>
        </w:rPr>
        <w:t>: The recorded book balance of accrued interest receivable and payable approximate fair value and are classified at the same Level as the asset and liability they are associated with.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Derivative financial instruments</w:t>
      </w:r>
      <w:r>
        <w:rPr>
          <w:rFonts w:ascii="Arial" w:cs="Arial" w:eastAsia="Arial" w:hAnsi="Arial"/>
          <w:sz w:val="18"/>
          <w:szCs w:val="18"/>
          <w:color w:val="auto"/>
        </w:rPr>
        <w:t>: The fair value of rate-lock mortgage loan commitments and mandatory commitments to sell mortgage loans is based on mortgage backed security pricing for comparable assets, the fair value of interest rate swap agreements is based on a discounted cash flow analysis whose significant fair value inputs can generally be observed in the market place and do not typically involve judgment by management and the fair value of purchased and written options is based on prices of financial instruments with similar characteristics and do not typically involve judgment by management. Each of these instruments has been classified as Level 2 as described in Note #12.</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Deposits</w:t>
      </w:r>
      <w:r>
        <w:rPr>
          <w:rFonts w:ascii="Arial" w:cs="Arial" w:eastAsia="Arial" w:hAnsi="Arial"/>
          <w:sz w:val="18"/>
          <w:szCs w:val="18"/>
          <w:color w:val="auto"/>
        </w:rPr>
        <w:t>: Deposits without a stated maturity, including demand deposits, savings, NOW and money market accounts, have a fair value equal to the amount payable on demand. Each of these instruments is classified as Level 1. Deposits with a stated maturity, such as certificates of deposit have generally been valued based on the discounted value of contractual cash flows using a discount rate approximating current market rates for liabilities with a similar maturity resulting in a Level 2 classification.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Other borrowings</w:t>
      </w:r>
      <w:r>
        <w:rPr>
          <w:rFonts w:ascii="Arial" w:cs="Arial" w:eastAsia="Arial" w:hAnsi="Arial"/>
          <w:sz w:val="18"/>
          <w:szCs w:val="18"/>
          <w:color w:val="auto"/>
        </w:rPr>
        <w:t>: Other borrowings have been valued based on the discounted value of contractual cash flows using a discount rate approximating current market rates for liabilities with a similar maturity resulting in a Level 2 classification.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Subordinated debentures</w:t>
      </w:r>
      <w:r>
        <w:rPr>
          <w:rFonts w:ascii="Arial" w:cs="Arial" w:eastAsia="Arial" w:hAnsi="Arial"/>
          <w:sz w:val="18"/>
          <w:szCs w:val="18"/>
          <w:color w:val="auto"/>
        </w:rPr>
        <w:t>: Subordinated debentures have generally been valued based on a quoted market price of similar instruments resulting in a Level 2 classification.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3"/>
              </w:rPr>
              <w:t>The estimated recorded book balances and fair values follow:</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1"/>
              </w:rPr>
              <w:t>Fair Value Using</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87"/>
              </w:rPr>
              <w:t>Quoted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Prices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Markets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Identical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Observable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Book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Inputs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September 30, 2016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38,610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Interest bearing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75,706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75,706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75,706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 - time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Trading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603,112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603,112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Federal Home Loan Bank and Federal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Reserve Bank Stock</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Net loans and loans held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1,623,319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1,601,113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1,563,105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no stated maturity (1)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1,743,864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1,743,864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1,743,864</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Deposits with stated maturity (1)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463,096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462,297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462,297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borrowings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Subordinated debentures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35,569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22,223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54,260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54,260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54,260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Interest bearing deposits - time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11,858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585,484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585,484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585,484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and Federal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Reserve Bank 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loans and loans held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1,520,346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1,472,613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6,565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Deposits with no stated maturity (1)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1,659,743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1,659,743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1,659,743</w:t>
            </w:r>
          </w:p>
        </w:tc>
        <w:tc>
          <w:tcPr>
            <w:tcW w:w="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stated maturity (1)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423,776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Other borrowings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11,954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13,448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debentures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$9.3 million and $11.8 million at September 30, 2016 and December 31, 2015, respectively. Deposits with a stated maturity include reciprocal deposits with a recorded book balance of $37.3 million and $38.4 million at September 30, 2016 and December 31, 2015, respectively.</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ectPr>
          <w:pgSz w:w="11900" w:h="16838" w:orient="portrait"/>
          <w:cols w:equalWidth="0" w:num="1">
            <w:col w:w="11420"/>
          </w:cols>
          <w:pgMar w:left="240" w:top="122"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9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Contingent Liabilities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approximately $1.0 million. However, because of a number of factors, including the fact that certain of these litigation matters are still in their early stages, this maximum amount may change in the future.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or vehicle service contract counterparty receivables).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Mepco segment conducts its payment plan business activities across the United States. Mepco acquires the payment plans from companies (which we refer to as Mepco’s “counterparties”) at a discount from the face amount of the payment plan. Each payment plan (which are classified as payment plan receivables in our Condensed Consolidated Statements of Financial Condition) permits a consumer to purchase a vehicle service contract by making installment payments, generally for a term of 12 to 30 months, to the sellers of those contracts (one of the “counterparties”). Mepco thereafter collects the payments from consumers. In acquiring the payment plan, Mepco generally funds a portion of the cost to the seller of the service contract and a portion of the cost to the administrator of the service contract. The administrator, in turn, pays the necessary contractual liability insurance policy (“CLIP”) premium to the insurer or risk retention group.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Consumers are allowed to voluntarily cancel the service contract at any time and are generally entitled to receive a refund from the administrator of the unearned portion of the service contract at the time of cancellation. As a result, while Mepco does not owe any refund to the consumer, it also does not have any recourse against the consumer for nonpayment of a payment plan and therefore does not evaluate the creditworthiness of the individual consumer. If a consumer stops making payments on a payment plan or exercises the right to voluntarily cancel the service contract, the service contract seller and administrator are each obligated to refund to Mepco the amount necessary to make Mepco whole as a result of its funding of the service contract. In addition, the insurer or risk retention group that issued the CLIP for the service contract often guarantees all or a portion of the refund to Mepco. See Note #4 above for a breakdown of Mepco’s payment plan receivables by the level of recourse Mepco has against various counterparties.</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Upon the cancellation of a service contract and the completion of the billing process to the counterparties for amounts due to Mepco, there is a decrease in the amount of “payment plan receivables” and an increase in the amount of “vehicle service contract counterparty receivables” until such time as the amount due from the counterparty is collected. These amounts represent funds actually due to Mepco from its counterparties for cancelled service contracts. Mepco is currently in the process of working to recover these receivables, primarily through negotiated settlements with the counterparties. In some cases, Mepco requires collateral or guaranties by the principals of the counterparties to secure these refund obligations; however, this is generally only the case when no insurance company is involved to guarantee the repayment obligation of the seller and administrator counterparties. In most cases, there is no collateral to secure the counterparties’ refund obligations to Mepco, but Mepco has the contractual right to offset unpaid refund obligations against amounts Mepco would otherwise be obligated to fund to the counterparties. In addition, even when collateral is involved, the refund obligations of these counterparties are not fully secured. Mepco incurs losses when it is unable to fully recover funds owed to it by counterparties upon cancellation of the underlying service contracts. The sudden failure of one of Mepco’s major counterparties (an insurance company, administrator, or seller/dealer) could expose us to significant losses.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When counterparties do not honor their contractual obligations to Mepco to repay funds, we recognize estimated losses. Mepco pursues collection (including commencing legal action if necessary) of funds due to it under its various contracts with counterparties. Mepco has had to initiate litigation against certain counterparties, including third party insurers, to collect amounts owed to Mepco as a result of those parties' dispute of their contractual obligations to Mepco. During the first quarter of 2016, we settled our last significant remaining litigation matter with certain of Mepco’s counterparties. This settlement resulted in our receipt of a cash payment of $4.0 million on March 31, 2016. This settlement also resulted in our receipt of an interest-bearing promissory note from one of Mepco’s counterparties for $1.5 million with monthly payments scheduled over a five-year period beginning in May 2016. Due to the lack of any payment history and limited financial information on this counterparty, we established a full reserve on this promissory note as of March 31, 2016. A full reserve on the remaining balance ($1.39 million) on this note was maintained at September 30, 2016. This counterparty has made the first six required monthly payments on the note. As a longer-term payment history is developed on this note, we will continue to evaluate the need for all or any part of a reserve. Vehicle service contract counterparty receivables, net totaled $2.6 million as of September 30, 2016 compared to $7.2 million as of December 31, 2015. Expense/(credit) related to vehicle service contract counterparty contingencies included in non-interest expense totaled $(0.039) million and $0.030 million for the three month periods ended September 30, 2016 and 2015, respectively and totaled $(0.010) million and $0.089 million for the nine month periods ended September 30, 2016 and 2015, respectively. These charges (recoveries) are being classified in non-interest expense because they are associated with a default or potential default of a contractual obligation under our counterparty contracts as opposed to loss on the administration of the payment plan itself.</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estimate of probable incurred losses from vehicle service contract counterparty contingencies requires a significant amount of judgment because a number of factors can influence the amount of loss that we may ultimately incur. These factors include our estimate of future cancellations of vehicle service contracts, our evaluation of collateral that may be available to recover funds due from our counterparties, and our assessment of the amount that may ultimately be collected from counterparties in connection with their contractual obligations. We apply a rigorous process, based upon historical payment plan activity and past experience, to estimate probable incurred losses and quantify the necessary reserves for our vehicle service contract counterparty contingencies, but there can be no assurance that our modeling process will successfully identify all such losses.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assumptions regarding the collection of vehicle service contract counterparty receivables are reasonable, and we based them on our good faith judgments using data currently available. We also believe the current amount of reserves we have established and the vehicle service contract counterparty contingencies expense that we have recorded are appropriate given our estimate of probable incurred losses at the applicable Condensed Consolidated Statement of Financial Condition date. However, because of the uncertainty surrounding the numerous and complex assumptions made, actual losses could exceed the charges we have taken to date.</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provision for loss reimbursement on sold loans represents our estimate of incurred losses related to mortgage loans that we have sold to investors (primarily Fannie Mae, Freddie Mac and Ginnie Mae). Since we sell mortgage loans without recourse, loss reimbursements only occur in those instances where we have breached a representation or warranty or other contractual requirement related to the loan sale. The provision for loss reimbursement on sold loans was an expense (credit) of $0.05 million and $(0.04) million for the three months ended September 30, 2016 and 2015, respectively and $0.03 million and $(0.06) million for the nine month periods ended September 30, 2016 and 2015, respectively. The small expenses in 2016 are primarily due to establishing specific reserves for pending loss reimbursement claims. The small credit provisions in 2015 are due primarily to the settlements of certain loss reimbursement claims at slightly lower amounts than what had been specifically reserved for at the end of the respective previous period. The reserve for loss reimbursements on sold mortgage loans totaled $0.6 million and $0.5 million at September 30, 2016 and December 31, 2015,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The reserve levels at September 30, 2016 and December 31, 2015 also reflect the resolution of the mortgage loan origination years of 2000 to 2008 with Fannie Mae and Freddie Mac. We believe that the amounts that we have accrued for incurred losses on sold mortgage loans are appropriate given our analyses. However, future losses could exceed our current estimate.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4"/>
          </w:tcPr>
          <w:p>
            <w:pPr>
              <w:spacing w:after="0"/>
              <w:rPr>
                <w:sz w:val="20"/>
                <w:szCs w:val="20"/>
                <w:color w:val="auto"/>
              </w:rPr>
            </w:pPr>
            <w:r>
              <w:rPr>
                <w:rFonts w:ascii="Arial" w:cs="Arial" w:eastAsia="Arial" w:hAnsi="Arial"/>
                <w:sz w:val="18"/>
                <w:szCs w:val="18"/>
                <w:color w:val="auto"/>
              </w:rPr>
              <w:t>15. Accumulated Other Comprehensive Loss (“AOCL”)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440" w:type="dxa"/>
            <w:vAlign w:val="bottom"/>
            <w:gridSpan w:val="4"/>
          </w:tcPr>
          <w:p>
            <w:pPr>
              <w:spacing w:after="0"/>
              <w:rPr>
                <w:sz w:val="20"/>
                <w:szCs w:val="20"/>
                <w:color w:val="auto"/>
              </w:rPr>
            </w:pPr>
            <w:r>
              <w:rPr>
                <w:rFonts w:ascii="Arial" w:cs="Arial" w:eastAsia="Arial" w:hAnsi="Arial"/>
                <w:sz w:val="18"/>
                <w:szCs w:val="18"/>
                <w:color w:val="auto"/>
              </w:rPr>
              <w:t>A summary of changes in AOCL follows: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Dispropor-</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tionate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Tax Effects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(Losses) on</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from</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Securities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Securities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Available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for Sale</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for Sale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7440" w:type="dxa"/>
            <w:vAlign w:val="bottom"/>
            <w:gridSpan w:val="4"/>
          </w:tcPr>
          <w:p>
            <w:pPr>
              <w:spacing w:after="0" w:line="201" w:lineRule="exact"/>
              <w:rPr>
                <w:sz w:val="20"/>
                <w:szCs w:val="20"/>
                <w:color w:val="auto"/>
              </w:rPr>
            </w:pPr>
            <w:r>
              <w:rPr>
                <w:rFonts w:ascii="Arial" w:cs="Arial" w:eastAsia="Arial" w:hAnsi="Arial"/>
                <w:sz w:val="18"/>
                <w:szCs w:val="18"/>
                <w:color w:val="auto"/>
              </w:rPr>
              <w:t>For the three months ended September 30,</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jc w:val="right"/>
              <w:ind w:right="3490"/>
              <w:spacing w:after="0"/>
              <w:rPr>
                <w:sz w:val="20"/>
                <w:szCs w:val="20"/>
                <w:color w:val="auto"/>
              </w:rPr>
            </w:pPr>
            <w:r>
              <w:rPr>
                <w:rFonts w:ascii="Arial" w:cs="Arial" w:eastAsia="Arial" w:hAnsi="Arial"/>
                <w:sz w:val="18"/>
                <w:szCs w:val="18"/>
                <w:color w:val="auto"/>
              </w:rPr>
              <w:t>2016</w:t>
            </w: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00" w:type="dxa"/>
            <w:vAlign w:val="bottom"/>
            <w:gridSpan w:val="2"/>
          </w:tcPr>
          <w:p>
            <w:pPr>
              <w:ind w:left="32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jc w:val="right"/>
              <w:ind w:right="3490"/>
              <w:spacing w:after="0"/>
              <w:rPr>
                <w:sz w:val="20"/>
                <w:szCs w:val="20"/>
                <w:color w:val="auto"/>
              </w:rPr>
            </w:pPr>
            <w:r>
              <w:rPr>
                <w:rFonts w:ascii="Arial" w:cs="Arial" w:eastAsia="Arial" w:hAnsi="Arial"/>
                <w:sz w:val="18"/>
                <w:szCs w:val="18"/>
                <w:color w:val="auto"/>
              </w:rPr>
              <w:t>2015</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1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1"/>
        </w:trPr>
        <w:tc>
          <w:tcPr>
            <w:tcW w:w="34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For the nine months ended September 30,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jc w:val="right"/>
              <w:ind w:right="3490"/>
              <w:spacing w:after="0"/>
              <w:rPr>
                <w:sz w:val="20"/>
                <w:szCs w:val="20"/>
                <w:color w:val="auto"/>
              </w:rPr>
            </w:pPr>
            <w:r>
              <w:rPr>
                <w:rFonts w:ascii="Arial" w:cs="Arial" w:eastAsia="Arial" w:hAnsi="Arial"/>
                <w:sz w:val="18"/>
                <w:szCs w:val="18"/>
                <w:color w:val="auto"/>
              </w:rPr>
              <w:t>2016</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1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
        </w:trPr>
        <w:tc>
          <w:tcPr>
            <w:tcW w:w="34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jc w:val="right"/>
              <w:ind w:right="3490"/>
              <w:spacing w:after="0"/>
              <w:rPr>
                <w:sz w:val="20"/>
                <w:szCs w:val="20"/>
                <w:color w:val="auto"/>
              </w:rPr>
            </w:pPr>
            <w:r>
              <w:rPr>
                <w:rFonts w:ascii="Arial" w:cs="Arial" w:eastAsia="Arial" w:hAnsi="Arial"/>
                <w:sz w:val="18"/>
                <w:szCs w:val="18"/>
                <w:color w:val="auto"/>
              </w:rPr>
              <w:t>2015</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00" w:type="dxa"/>
            <w:vAlign w:val="bottom"/>
            <w:gridSpan w:val="2"/>
          </w:tcPr>
          <w:p>
            <w:pPr>
              <w:ind w:left="32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AOCL for the three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From</w:t>
            </w:r>
          </w:p>
        </w:tc>
        <w:tc>
          <w:tcPr>
            <w:tcW w:w="1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Affected Line Item in Condensed</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AOCL</w:t>
            </w:r>
          </w:p>
        </w:tc>
        <w:tc>
          <w:tcPr>
            <w:tcW w:w="12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4580" w:type="dxa"/>
            <w:vAlign w:val="bottom"/>
            <w:vMerge w:val="restart"/>
          </w:tcPr>
          <w:p>
            <w:pPr>
              <w:jc w:val="right"/>
              <w:ind w:right="4130"/>
              <w:spacing w:after="0"/>
              <w:rPr>
                <w:sz w:val="20"/>
                <w:szCs w:val="20"/>
                <w:color w:val="auto"/>
              </w:rPr>
            </w:pPr>
            <w:r>
              <w:rPr>
                <w:rFonts w:ascii="Arial" w:cs="Arial" w:eastAsia="Arial" w:hAnsi="Arial"/>
                <w:sz w:val="18"/>
                <w:szCs w:val="18"/>
                <w:color w:val="auto"/>
                <w:w w:val="84"/>
              </w:rPr>
              <w:t>2016</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80" w:type="dxa"/>
            <w:vAlign w:val="bottom"/>
          </w:tcPr>
          <w:p>
            <w:pPr>
              <w:jc w:val="right"/>
              <w:ind w:right="890"/>
              <w:spacing w:after="0"/>
              <w:rPr>
                <w:sz w:val="20"/>
                <w:szCs w:val="20"/>
                <w:color w:val="auto"/>
              </w:rPr>
            </w:pPr>
            <w:r>
              <w:rPr>
                <w:rFonts w:ascii="Arial" w:cs="Arial" w:eastAsia="Arial" w:hAnsi="Arial"/>
                <w:sz w:val="18"/>
                <w:szCs w:val="18"/>
                <w:color w:val="auto"/>
                <w:w w:val="94"/>
              </w:rPr>
              <w:t>Unrealized gains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660" w:hanging="952"/>
        <w:spacing w:after="0"/>
        <w:tabs>
          <w:tab w:leader="none" w:pos="5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15 Net gains on securities</w:t>
      </w:r>
    </w:p>
    <w:p>
      <w:pPr>
        <w:spacing w:after="0" w:line="9" w:lineRule="exact"/>
        <w:rPr>
          <w:rFonts w:ascii="Arial" w:cs="Arial" w:eastAsia="Arial" w:hAnsi="Arial"/>
          <w:sz w:val="18"/>
          <w:szCs w:val="18"/>
          <w:color w:val="auto"/>
        </w:rPr>
      </w:pPr>
    </w:p>
    <w:p>
      <w:pPr>
        <w:ind w:left="5960" w:hanging="178"/>
        <w:spacing w:after="0"/>
        <w:tabs>
          <w:tab w:leader="none" w:pos="5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5715</wp:posOffset>
            </wp:positionV>
            <wp:extent cx="7200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15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5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5715</wp:posOffset>
            </wp:positionV>
            <wp:extent cx="7200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5660" w:hanging="952"/>
        <w:spacing w:after="0"/>
        <w:tabs>
          <w:tab w:leader="none" w:pos="5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securities available for sale</w:t>
      </w:r>
    </w:p>
    <w:p>
      <w:pPr>
        <w:spacing w:after="0" w:line="9" w:lineRule="exact"/>
        <w:rPr>
          <w:sz w:val="20"/>
          <w:szCs w:val="20"/>
          <w:color w:val="auto"/>
        </w:rPr>
      </w:pPr>
    </w:p>
    <w:p>
      <w:pPr>
        <w:ind w:left="5780" w:hanging="1072"/>
        <w:spacing w:after="0"/>
        <w:tabs>
          <w:tab w:leader="none" w:pos="5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Net gains on securities</w:t>
      </w:r>
    </w:p>
    <w:p>
      <w:pPr>
        <w:spacing w:after="0" w:line="9" w:lineRule="exact"/>
        <w:rPr>
          <w:rFonts w:ascii="Arial" w:cs="Arial" w:eastAsia="Arial" w:hAnsi="Arial"/>
          <w:sz w:val="18"/>
          <w:szCs w:val="18"/>
          <w:color w:val="auto"/>
        </w:rPr>
      </w:pPr>
    </w:p>
    <w:p>
      <w:pPr>
        <w:ind w:left="5960" w:hanging="178"/>
        <w:spacing w:after="0"/>
        <w:tabs>
          <w:tab w:leader="none" w:pos="5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1" w:lineRule="exact"/>
        <w:rPr>
          <w:rFonts w:ascii="Arial" w:cs="Arial" w:eastAsia="Arial" w:hAnsi="Arial"/>
          <w:sz w:val="18"/>
          <w:szCs w:val="18"/>
          <w:color w:val="auto"/>
        </w:rPr>
      </w:pPr>
    </w:p>
    <w:p>
      <w:pPr>
        <w:ind w:left="5960" w:hanging="178"/>
        <w:spacing w:after="0"/>
        <w:tabs>
          <w:tab w:leader="none" w:pos="5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Total reclassifications before tax</w:t>
      </w:r>
    </w:p>
    <w:p>
      <w:pPr>
        <w:spacing w:after="0" w:line="23" w:lineRule="exact"/>
        <w:rPr>
          <w:rFonts w:ascii="Arial" w:cs="Arial" w:eastAsia="Arial" w:hAnsi="Arial"/>
          <w:sz w:val="18"/>
          <w:szCs w:val="18"/>
          <w:color w:val="auto"/>
        </w:rPr>
      </w:pPr>
    </w:p>
    <w:p>
      <w:pPr>
        <w:ind w:left="5960" w:hanging="178"/>
        <w:spacing w:after="0"/>
        <w:tabs>
          <w:tab w:leader="none" w:pos="5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5715</wp:posOffset>
            </wp:positionV>
            <wp:extent cx="7200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5780" w:hanging="1072"/>
        <w:spacing w:after="0"/>
        <w:tabs>
          <w:tab w:leader="none" w:pos="5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AOCL for the nine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From</w:t>
            </w:r>
          </w:p>
        </w:tc>
        <w:tc>
          <w:tcPr>
            <w:tcW w:w="1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Affected Line Item in Condensed</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AOCL</w:t>
            </w:r>
          </w:p>
        </w:tc>
        <w:tc>
          <w:tcPr>
            <w:tcW w:w="12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4580" w:type="dxa"/>
            <w:vAlign w:val="bottom"/>
            <w:vMerge w:val="restart"/>
          </w:tcPr>
          <w:p>
            <w:pPr>
              <w:jc w:val="right"/>
              <w:ind w:right="4130"/>
              <w:spacing w:after="0"/>
              <w:rPr>
                <w:sz w:val="20"/>
                <w:szCs w:val="20"/>
                <w:color w:val="auto"/>
              </w:rPr>
            </w:pPr>
            <w:r>
              <w:rPr>
                <w:rFonts w:ascii="Arial" w:cs="Arial" w:eastAsia="Arial" w:hAnsi="Arial"/>
                <w:sz w:val="18"/>
                <w:szCs w:val="18"/>
                <w:color w:val="auto"/>
                <w:w w:val="84"/>
              </w:rPr>
              <w:t>2016</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80" w:type="dxa"/>
            <w:vAlign w:val="bottom"/>
          </w:tcPr>
          <w:p>
            <w:pPr>
              <w:jc w:val="right"/>
              <w:ind w:right="890"/>
              <w:spacing w:after="0"/>
              <w:rPr>
                <w:sz w:val="20"/>
                <w:szCs w:val="20"/>
                <w:color w:val="auto"/>
              </w:rPr>
            </w:pPr>
            <w:r>
              <w:rPr>
                <w:rFonts w:ascii="Arial" w:cs="Arial" w:eastAsia="Arial" w:hAnsi="Arial"/>
                <w:sz w:val="18"/>
                <w:szCs w:val="18"/>
                <w:color w:val="auto"/>
                <w:w w:val="94"/>
              </w:rPr>
              <w:t>Unrealized gains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580" w:hanging="872"/>
        <w:spacing w:after="0"/>
        <w:tabs>
          <w:tab w:leader="none" w:pos="5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298 Net gains on securities</w:t>
      </w:r>
    </w:p>
    <w:p>
      <w:pPr>
        <w:spacing w:after="0" w:line="9" w:lineRule="exact"/>
        <w:rPr>
          <w:rFonts w:ascii="Arial" w:cs="Arial" w:eastAsia="Arial" w:hAnsi="Arial"/>
          <w:sz w:val="18"/>
          <w:szCs w:val="18"/>
          <w:color w:val="auto"/>
        </w:rPr>
      </w:pPr>
    </w:p>
    <w:p>
      <w:pPr>
        <w:ind w:left="5960" w:hanging="178"/>
        <w:spacing w:after="0"/>
        <w:tabs>
          <w:tab w:leader="none" w:pos="5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5715</wp:posOffset>
            </wp:positionV>
            <wp:extent cx="7200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298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5715</wp:posOffset>
            </wp:positionV>
            <wp:extent cx="7200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5580" w:hanging="872"/>
        <w:spacing w:after="0"/>
        <w:tabs>
          <w:tab w:leader="none" w:pos="5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194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securities available for sale</w:t>
      </w:r>
    </w:p>
    <w:p>
      <w:pPr>
        <w:spacing w:after="0" w:line="9" w:lineRule="exact"/>
        <w:rPr>
          <w:sz w:val="20"/>
          <w:szCs w:val="20"/>
          <w:color w:val="auto"/>
        </w:rPr>
      </w:pPr>
    </w:p>
    <w:p>
      <w:pPr>
        <w:ind w:left="5660" w:hanging="952"/>
        <w:spacing w:after="0"/>
        <w:tabs>
          <w:tab w:leader="none" w:pos="5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75 Net gains on securities</w:t>
      </w:r>
    </w:p>
    <w:p>
      <w:pPr>
        <w:spacing w:after="0" w:line="9" w:lineRule="exact"/>
        <w:rPr>
          <w:rFonts w:ascii="Arial" w:cs="Arial" w:eastAsia="Arial" w:hAnsi="Arial"/>
          <w:sz w:val="18"/>
          <w:szCs w:val="18"/>
          <w:color w:val="auto"/>
        </w:rPr>
      </w:pPr>
    </w:p>
    <w:p>
      <w:pPr>
        <w:ind w:left="5960" w:hanging="178"/>
        <w:spacing w:after="0"/>
        <w:tabs>
          <w:tab w:leader="none" w:pos="5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5715</wp:posOffset>
            </wp:positionV>
            <wp:extent cx="7200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75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26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5715</wp:posOffset>
            </wp:positionV>
            <wp:extent cx="7200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5660" w:hanging="952"/>
        <w:spacing w:after="0"/>
        <w:tabs>
          <w:tab w:leader="none" w:pos="5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49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OF </w:t>
      </w:r>
      <w:r>
        <w:rPr>
          <w:rFonts w:ascii="Arial" w:cs="Arial" w:eastAsia="Arial" w:hAnsi="Arial"/>
          <w:sz w:val="18"/>
          <w:szCs w:val="18"/>
          <w:b w:val="1"/>
          <w:bCs w:val="1"/>
          <w:color w:val="auto"/>
        </w:rPr>
        <w:t>F</w:t>
      </w:r>
      <w:r>
        <w:rPr>
          <w:rFonts w:ascii="Arial" w:cs="Arial" w:eastAsia="Arial" w:hAnsi="Arial"/>
          <w:sz w:val="12"/>
          <w:szCs w:val="12"/>
          <w:b w:val="1"/>
          <w:bCs w:val="1"/>
          <w:color w:val="auto"/>
        </w:rPr>
        <w:t xml:space="preserve">INANCIAL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ONDITION AND </w:t>
      </w:r>
      <w:r>
        <w:rPr>
          <w:rFonts w:ascii="Arial" w:cs="Arial" w:eastAsia="Arial" w:hAnsi="Arial"/>
          <w:sz w:val="18"/>
          <w:szCs w:val="18"/>
          <w:b w:val="1"/>
          <w:bCs w:val="1"/>
          <w:color w:val="auto"/>
        </w:rPr>
        <w:t>R</w:t>
      </w:r>
      <w:r>
        <w:rPr>
          <w:rFonts w:ascii="Arial" w:cs="Arial" w:eastAsia="Arial" w:hAnsi="Arial"/>
          <w:sz w:val="12"/>
          <w:szCs w:val="12"/>
          <w:b w:val="1"/>
          <w:bCs w:val="1"/>
          <w:color w:val="auto"/>
        </w:rPr>
        <w:t xml:space="preserve">ESULTS OF </w:t>
      </w:r>
      <w:r>
        <w:rPr>
          <w:rFonts w:ascii="Arial" w:cs="Arial" w:eastAsia="Arial" w:hAnsi="Arial"/>
          <w:sz w:val="18"/>
          <w:szCs w:val="18"/>
          <w:b w:val="1"/>
          <w:bCs w:val="1"/>
          <w:color w:val="auto"/>
        </w:rPr>
        <w:t>O</w:t>
      </w:r>
      <w:r>
        <w:rPr>
          <w:rFonts w:ascii="Arial" w:cs="Arial" w:eastAsia="Arial" w:hAnsi="Arial"/>
          <w:sz w:val="12"/>
          <w:szCs w:val="12"/>
          <w:b w:val="1"/>
          <w:bCs w:val="1"/>
          <w:color w:val="auto"/>
        </w:rPr>
        <w:t>PERATIONS</w:t>
      </w:r>
    </w:p>
    <w:p>
      <w:pPr>
        <w:spacing w:after="0" w:line="23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Introduction</w:t>
      </w:r>
      <w:r>
        <w:rPr>
          <w:rFonts w:ascii="Arial" w:cs="Arial" w:eastAsia="Arial" w:hAnsi="Arial"/>
          <w:sz w:val="16"/>
          <w:szCs w:val="16"/>
          <w:color w:val="auto"/>
        </w:rPr>
        <w:t>. The following section presents additional information to assess the financial condition and results of operations of Independent Bank</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its wholly-owned bank, Independent Bank (the "Bank"), and their subsidiaries. This section should be read in conjunction with the Condensed Consolidated Financial Statements. We also encourage you to read our 2015 Annual Report on Form 10-K filed with the U.S. Securities and Exchange Commission ("SEC"). That report includes a list of risk factors that you should consider in connection with any decision to buy or sell our securities.</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Overview</w:t>
      </w:r>
      <w:r>
        <w:rPr>
          <w:rFonts w:ascii="Arial" w:cs="Arial" w:eastAsia="Arial" w:hAnsi="Arial"/>
          <w:sz w:val="16"/>
          <w:szCs w:val="16"/>
          <w:color w:val="auto"/>
        </w:rPr>
        <w:t>. We provide banking services to customers located primarily in Michigan’s Lower Peninsula. As a result, our success depends to a great extent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economic conditions in Michigan’s Lower Peninsula. At times, we have experienced a difficult economy in Michigan. Economic conditions in Michigan began to show signs of improvement during 2010. Generally, these improvements have continued into 2016, albeit at an uneven pace. There has been an overall decline in the unemployment rate as well as generally improving housing prices and other related statistics (such as home sales and new building permits). In addition, since early- to mid-2009, we have seen an improvement in our asset quality metrics. In particular, since early 2012, we have generally experienced a decline in non-performing assets, lower levels of new loan defaults, and reduced levels of loan net charge-offs.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Regulation</w:t>
      </w:r>
      <w:r>
        <w:rPr>
          <w:rFonts w:ascii="Arial" w:cs="Arial" w:eastAsia="Arial" w:hAnsi="Arial"/>
          <w:sz w:val="16"/>
          <w:szCs w:val="16"/>
          <w:color w:val="auto"/>
        </w:rPr>
        <w:t>. On July 2, 2013, the Federal Reserve Board (the "FRB") approved a final rule that establishes an integrated regulatory capital framework (the</w:t>
      </w:r>
      <w:r>
        <w:rPr>
          <w:rFonts w:ascii="Arial" w:cs="Arial" w:eastAsia="Arial" w:hAnsi="Arial"/>
          <w:sz w:val="16"/>
          <w:szCs w:val="16"/>
          <w:b w:val="1"/>
          <w:bCs w:val="1"/>
          <w:color w:val="auto"/>
        </w:rPr>
        <w:t xml:space="preserve"> </w:t>
      </w:r>
      <w:r>
        <w:rPr>
          <w:rFonts w:ascii="Arial" w:cs="Arial" w:eastAsia="Arial" w:hAnsi="Arial"/>
          <w:sz w:val="16"/>
          <w:szCs w:val="16"/>
          <w:color w:val="auto"/>
        </w:rPr>
        <w:t>"New Capital Rules"). The rule implements in the United States the Basel III regulatory capital reforms from the Basel Committee on Banking Supervision and certain changes required by the 2010 Dodd-Frank Wall Street Reform and Consumer Protection Act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2.5% capital conservation buffer is being phased in over a four-year period beginning in 2016 with 0.625% added to the minimum ratio for adequately capitalized institutions for 2016 and each subsequent year until being fully phased in during 2019.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implements strict eligibility criteria for regulatory capital instruments. The New Capital Rules also change the methodology for calculating risk-weighted assets to enhance risk sensitivity. Under the New Capital Rules our existing trust preferred securities are grandfathered as qualifying regulatory capital. We were subject to the New Capital Rules beginning on January 1, 2015, and as of September 30, 2016 and December 31, 2015 we exceeded all of the capital ratio requirements of the New Capital Rules.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against this backdrop that we discuss our results of operations and financial condition in the third quarter and first nine months of 2016 as compared to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We recorded net income of $6.4 million and $5.0 million, respectively, during the three months ended September 30, 2016 and 2015.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net income on a comparative quarterly basis is due primarily to increases in net interest income and non-interest income that were partially offset by increases in non-interest expense and income tax expense.</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net income of $16.9 million and $14.4 million, respectively, during the nine months ended September 30, 2016 and 2015. The increase in net income on a comparative year-to-date basis is due primarily to an increase in net interest income and decreases in the provision for loan losses (a higher credit) and in non-interest expense that were partially offset by a decrease in non-interest income and an increase in income tax expense.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Key performance ratios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6"/>
          </w:tcPr>
          <w:p>
            <w:pPr>
              <w:jc w:val="center"/>
              <w:ind w:right="480"/>
              <w:spacing w:after="0"/>
              <w:rPr>
                <w:sz w:val="20"/>
                <w:szCs w:val="20"/>
                <w:color w:val="auto"/>
              </w:rPr>
            </w:pPr>
            <w:r>
              <w:rPr>
                <w:rFonts w:ascii="Arial" w:cs="Arial" w:eastAsia="Arial" w:hAnsi="Arial"/>
                <w:sz w:val="18"/>
                <w:szCs w:val="18"/>
                <w:color w:val="auto"/>
                <w:w w:val="89"/>
              </w:rPr>
              <w:t>Three months ended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ind w:left="3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6"/>
          </w:tcPr>
          <w:p>
            <w:pPr>
              <w:jc w:val="center"/>
              <w:ind w:right="44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4"/>
          </w:tcPr>
          <w:p>
            <w:pPr>
              <w:ind w:left="520"/>
              <w:spacing w:after="0"/>
              <w:rPr>
                <w:sz w:val="20"/>
                <w:szCs w:val="20"/>
                <w:color w:val="auto"/>
              </w:rPr>
            </w:pPr>
            <w:r>
              <w:rPr>
                <w:rFonts w:ascii="Arial" w:cs="Arial" w:eastAsia="Arial" w:hAnsi="Arial"/>
                <w:sz w:val="18"/>
                <w:szCs w:val="18"/>
                <w:color w:val="auto"/>
                <w:w w:val="88"/>
              </w:rPr>
              <w:t>September 30,</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 (annualized) to</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Average assets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w w:val="97"/>
              </w:rPr>
              <w:t>0.86%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0.92%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w w:val="93"/>
              </w:rPr>
              <w:t>0.84%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common shareholders’ equity</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5"/>
              </w:rPr>
              <w:t>7.84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5"/>
              </w:rPr>
              <w:t>9.19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5"/>
              </w:rPr>
              <w:t>7.59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ind w:left="560"/>
              <w:spacing w:after="0"/>
              <w:rPr>
                <w:sz w:val="20"/>
                <w:szCs w:val="20"/>
                <w:color w:val="auto"/>
              </w:rPr>
            </w:pPr>
            <w:r>
              <w:rPr>
                <w:rFonts w:ascii="Arial" w:cs="Arial" w:eastAsia="Arial" w:hAnsi="Arial"/>
                <w:sz w:val="18"/>
                <w:szCs w:val="18"/>
                <w:color w:val="auto"/>
                <w:w w:val="85"/>
              </w:rPr>
              <w:t>0.22</w:t>
            </w:r>
          </w:p>
        </w:tc>
        <w:tc>
          <w:tcPr>
            <w:tcW w:w="20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ind w:left="580"/>
              <w:spacing w:after="0"/>
              <w:rPr>
                <w:sz w:val="20"/>
                <w:szCs w:val="20"/>
                <w:color w:val="auto"/>
              </w:rPr>
            </w:pPr>
            <w:r>
              <w:rPr>
                <w:rFonts w:ascii="Arial" w:cs="Arial" w:eastAsia="Arial" w:hAnsi="Arial"/>
                <w:sz w:val="18"/>
                <w:szCs w:val="18"/>
                <w:color w:val="auto"/>
                <w:w w:val="85"/>
              </w:rPr>
              <w:t>0.79</w:t>
            </w:r>
          </w:p>
        </w:tc>
        <w:tc>
          <w:tcPr>
            <w:tcW w:w="220" w:type="dxa"/>
            <w:vAlign w:val="bottom"/>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ind w:left="440"/>
              <w:spacing w:after="0"/>
              <w:rPr>
                <w:sz w:val="20"/>
                <w:szCs w:val="20"/>
                <w:color w:val="auto"/>
              </w:rPr>
            </w:pPr>
            <w:r>
              <w:rPr>
                <w:rFonts w:ascii="Arial" w:cs="Arial" w:eastAsia="Arial" w:hAnsi="Arial"/>
                <w:sz w:val="18"/>
                <w:szCs w:val="18"/>
                <w:color w:val="auto"/>
                <w:w w:val="85"/>
              </w:rPr>
              <w:t>0.63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5"/>
              </w:rPr>
              <w:t>0.22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5"/>
              </w:rPr>
              <w:t>0.78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5"/>
              </w:rPr>
              <w:t>0.62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net interest income totaled $20.0 million during the third quarter of 2016, an increase of $1.2 million, or 6.1% from the year-ago period. The quarterly increase in net interest income in 2016 compared to 2015 primarily reflects a $182.3 million increase in average interest-earning assets that was partially offset by a seven basis point decrease in our tax equivalent net interest income as a percent of average interest-earning assets (the “net interest margin”).</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nine months of 2016, net interest income totaled $59.4 million, an increase of $3.8 million, or 6.8% from 2015. The year-to-date increase in net interest income in 2016 compared to 2015 primarily reflects a $169.4 million increase in average interest-earning assets that was partially offset by a four basis point decrease in our net interest margin.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decline in our net interest margin is primarily due to the prolonged low interest rate environment that has pushed our average yield on loans lower as well as a slight increase in our cost of funds (caused primarily by a higher mix and slightly higher average interest rate on time deposits).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rates have generally been at extremely low levels since 2008 due primarily to the FRB’s monetary policies and its efforts to stimulate the U.S. economy. This very low interest rate environment has generally had an adverse impact on our net interest margin. Based on recent announcements by the FRB, short-term interest rates are expected to remain extremely low until at least late-2016 or 2017. Given the repricing characteristics of our interest-earning assets and interest-bearing liabilities (and our level of non-interest bearing demand deposits), we would expect that our net interest margin will generally benefit on a long-term basis from rising interest rates.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interest income is also adversely impacted by our level of non-accrual loans. In the third quarter and first nine months of 2016 non-accrual loans averaged $10.7 million and $10.6 million, respectively compared to $12.9 million and $13.7 million, respectively for the same periods in 2015. In addition, in the third quarter and first nine months of 2016 we had net recoveries of $0.07 million and $0.75 million, respectively, of accrued and unpaid interest on loans placed on or taken off non-accrual or previously charged-off during each period compared to net recoveries of $0.16 million and $0.34 million, respectively, during the same periods in 2015.</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00" w:type="dxa"/>
            <w:vAlign w:val="bottom"/>
            <w:gridSpan w:val="4"/>
          </w:tcPr>
          <w:p>
            <w:pPr>
              <w:spacing w:after="0"/>
              <w:rPr>
                <w:sz w:val="20"/>
                <w:szCs w:val="20"/>
                <w:color w:val="auto"/>
              </w:rPr>
            </w:pPr>
            <w:r>
              <w:rPr>
                <w:rFonts w:ascii="Arial" w:cs="Arial" w:eastAsia="Arial" w:hAnsi="Arial"/>
                <w:sz w:val="18"/>
                <w:szCs w:val="18"/>
                <w:b w:val="1"/>
                <w:bCs w:val="1"/>
                <w:color w:val="auto"/>
                <w:w w:val="92"/>
              </w:rPr>
              <w:t>Average Balances and Tax Equivalent Rates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ind w:left="50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760" w:type="dxa"/>
            <w:vAlign w:val="bottom"/>
            <w:gridSpan w:val="5"/>
          </w:tcPr>
          <w:p>
            <w:pPr>
              <w:ind w:left="74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(3)</w:t>
            </w:r>
          </w:p>
        </w:tc>
        <w:tc>
          <w:tcPr>
            <w:tcW w:w="180" w:type="dxa"/>
            <w:vAlign w:val="bottom"/>
          </w:tcPr>
          <w:p>
            <w:pPr>
              <w:spacing w:after="0"/>
              <w:rPr>
                <w:sz w:val="17"/>
                <w:szCs w:val="17"/>
                <w:color w:val="auto"/>
              </w:rPr>
            </w:pPr>
          </w:p>
        </w:tc>
        <w:tc>
          <w:tcPr>
            <w:tcW w:w="11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Assets </w:t>
            </w:r>
            <w:r>
              <w:rPr>
                <w:rFonts w:ascii="Arial" w:cs="Arial" w:eastAsia="Arial" w:hAnsi="Arial"/>
                <w:sz w:val="30"/>
                <w:szCs w:val="30"/>
                <w:color w:val="auto"/>
                <w:vertAlign w:val="superscript"/>
              </w:rPr>
              <w:t>(1)</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1,613,189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18,562</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17,834</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3,492</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3,740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534,319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2,537</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1,901</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58,694</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33,104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69,603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0.49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68,972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15,347</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15,231</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2,294,644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21,940</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3.81</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2,112,381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20,431</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34,565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45,477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152,793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164,253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2,482,002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2,322,111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Savings and interest-bearing checking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990,229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438,504</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970</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0.88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371,501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47,769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1,499,932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1,747</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1,409,499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1,452</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706,282</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633,305</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23,844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248,678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255,463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2,482,002</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2,322,111</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0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20,193</w:t>
            </w:r>
          </w:p>
        </w:tc>
        <w:tc>
          <w:tcPr>
            <w:tcW w:w="1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18,979</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0" w:type="dxa"/>
            <w:vAlign w:val="bottom"/>
            <w:tcBorders>
              <w:right w:val="single" w:sz="8" w:color="CCEEFF"/>
            </w:tcBorders>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Net Interest Income as a Percent of</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0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Average Interest Earning Assets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9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domestic.</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35%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Annualized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00" w:type="dxa"/>
            <w:vAlign w:val="bottom"/>
            <w:gridSpan w:val="4"/>
          </w:tcPr>
          <w:p>
            <w:pPr>
              <w:spacing w:after="0"/>
              <w:rPr>
                <w:sz w:val="20"/>
                <w:szCs w:val="20"/>
                <w:color w:val="auto"/>
              </w:rPr>
            </w:pPr>
            <w:r>
              <w:rPr>
                <w:rFonts w:ascii="Arial" w:cs="Arial" w:eastAsia="Arial" w:hAnsi="Arial"/>
                <w:sz w:val="18"/>
                <w:szCs w:val="18"/>
                <w:b w:val="1"/>
                <w:bCs w:val="1"/>
                <w:color w:val="auto"/>
                <w:w w:val="92"/>
              </w:rPr>
              <w:t>Average Balances and Tax Equivalent Rates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ind w:left="540"/>
              <w:spacing w:after="0"/>
              <w:rPr>
                <w:sz w:val="20"/>
                <w:szCs w:val="20"/>
                <w:color w:val="auto"/>
              </w:rPr>
            </w:pPr>
            <w:r>
              <w:rPr>
                <w:rFonts w:ascii="Arial" w:cs="Arial" w:eastAsia="Arial" w:hAnsi="Arial"/>
                <w:sz w:val="18"/>
                <w:szCs w:val="18"/>
                <w:color w:val="auto"/>
              </w:rPr>
              <w:t>Nine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760" w:type="dxa"/>
            <w:vAlign w:val="bottom"/>
            <w:gridSpan w:val="5"/>
          </w:tcPr>
          <w:p>
            <w:pPr>
              <w:ind w:left="74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(3)</w:t>
            </w:r>
          </w:p>
        </w:tc>
        <w:tc>
          <w:tcPr>
            <w:tcW w:w="180" w:type="dxa"/>
            <w:vAlign w:val="bottom"/>
          </w:tcPr>
          <w:p>
            <w:pPr>
              <w:spacing w:after="0"/>
              <w:rPr>
                <w:sz w:val="17"/>
                <w:szCs w:val="17"/>
                <w:color w:val="auto"/>
              </w:rPr>
            </w:pPr>
          </w:p>
        </w:tc>
        <w:tc>
          <w:tcPr>
            <w:tcW w:w="11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Assets </w:t>
            </w:r>
            <w:r>
              <w:rPr>
                <w:rFonts w:ascii="Arial" w:cs="Arial" w:eastAsia="Arial" w:hAnsi="Arial"/>
                <w:sz w:val="30"/>
                <w:szCs w:val="30"/>
                <w:color w:val="auto"/>
                <w:vertAlign w:val="superscript"/>
              </w:rPr>
              <w:t>(1)</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1,577,758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55,255</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52,736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3,564</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4,097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532,576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7,261</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518,906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5,528</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50,286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1,320</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32,790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1,021</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75,121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0.52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15,456</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592</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17,772</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2,254,761</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64,883</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3.84</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2,085,335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60,396</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38,069</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44,829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157,570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167,849</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2,450,400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2,298,013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Savings and interest-bearing checking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988,594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435,146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2,689</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0.83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373,235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2,169</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1,455</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47,930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1,501,278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4,975</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1,409,759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4,343</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677,645</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609,192</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25,612</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24,581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245,865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254,481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2,450,400</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2,298,013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0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59,908</w:t>
            </w:r>
          </w:p>
        </w:tc>
        <w:tc>
          <w:tcPr>
            <w:tcW w:w="1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56,053</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Borders>
              <w:right w:val="single" w:sz="8" w:color="CCEEFF"/>
            </w:tcBorders>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88"/>
              </w:rPr>
              <w:t>Net Interest Income as a Percent of Average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0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9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domestic.</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35%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Annualized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Provision for loan losses. </w:t>
      </w:r>
      <w:r>
        <w:rPr>
          <w:rFonts w:ascii="Arial" w:cs="Arial" w:eastAsia="Arial" w:hAnsi="Arial"/>
          <w:sz w:val="16"/>
          <w:szCs w:val="16"/>
          <w:color w:val="auto"/>
        </w:rPr>
        <w:t>The provision for loan losses was a credit of approximately $0.2 million during both the three months ended September 30, 2016</w:t>
      </w:r>
      <w:r>
        <w:rPr>
          <w:rFonts w:ascii="Arial" w:cs="Arial" w:eastAsia="Arial" w:hAnsi="Arial"/>
          <w:sz w:val="16"/>
          <w:szCs w:val="16"/>
          <w:b w:val="1"/>
          <w:bCs w:val="1"/>
          <w:color w:val="auto"/>
        </w:rPr>
        <w:t xml:space="preserve"> </w:t>
      </w:r>
      <w:r>
        <w:rPr>
          <w:rFonts w:ascii="Arial" w:cs="Arial" w:eastAsia="Arial" w:hAnsi="Arial"/>
          <w:sz w:val="16"/>
          <w:szCs w:val="16"/>
          <w:color w:val="auto"/>
        </w:rPr>
        <w:t>and 2015. During the nine-month periods ended September 30, 2016 and 2015, the provision was a credit of $1.4 million and $1.0 million, respectively. The provision reflects our assessment of the allowance for loan losses taking into consideration factors such as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third quarter and first nine months of 2016.</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Non-interest income. </w:t>
      </w:r>
      <w:r>
        <w:rPr>
          <w:rFonts w:ascii="Arial" w:cs="Arial" w:eastAsia="Arial" w:hAnsi="Arial"/>
          <w:sz w:val="18"/>
          <w:szCs w:val="18"/>
          <w:color w:val="auto"/>
        </w:rPr>
        <w:t>Non-interest income is a significant element in assessing our results of operations. We regard net gains on mortgage loans as a</w:t>
      </w:r>
      <w:r>
        <w:rPr>
          <w:rFonts w:ascii="Arial" w:cs="Arial" w:eastAsia="Arial" w:hAnsi="Arial"/>
          <w:sz w:val="18"/>
          <w:szCs w:val="18"/>
          <w:b w:val="1"/>
          <w:bCs w:val="1"/>
          <w:color w:val="auto"/>
        </w:rPr>
        <w:t xml:space="preserve"> </w:t>
      </w:r>
      <w:r>
        <w:rPr>
          <w:rFonts w:ascii="Arial" w:cs="Arial" w:eastAsia="Arial" w:hAnsi="Arial"/>
          <w:sz w:val="18"/>
          <w:szCs w:val="18"/>
          <w:color w:val="auto"/>
        </w:rPr>
        <w:t>recurring source of revenue but they are quite cyclical and thus can be volatile.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Non-interest income totaled $11.7 million during the three months ended September 30, 2016, an increase of $1.6 million from the comparable period in 2015. For the first nine months of 2016 non-interest income totaled $29.1 million, a $1.0 million decrease from the comparable period in 2015. The components of non-interest income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24"/>
                <w:szCs w:val="24"/>
                <w:color w:val="auto"/>
              </w:rPr>
            </w:pPr>
          </w:p>
        </w:tc>
        <w:tc>
          <w:tcPr>
            <w:tcW w:w="2240" w:type="dxa"/>
            <w:vAlign w:val="bottom"/>
            <w:gridSpan w:val="6"/>
          </w:tcPr>
          <w:p>
            <w:pPr>
              <w:jc w:val="center"/>
              <w:ind w:right="440"/>
              <w:spacing w:after="0"/>
              <w:rPr>
                <w:sz w:val="20"/>
                <w:szCs w:val="20"/>
                <w:color w:val="auto"/>
              </w:rPr>
            </w:pPr>
            <w:r>
              <w:rPr>
                <w:rFonts w:ascii="Arial" w:cs="Arial" w:eastAsia="Arial" w:hAnsi="Arial"/>
                <w:sz w:val="18"/>
                <w:szCs w:val="18"/>
                <w:color w:val="auto"/>
                <w:w w:val="89"/>
              </w:rPr>
              <w:t>Nine months ended</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6"/>
          </w:tcPr>
          <w:p>
            <w:pPr>
              <w:jc w:val="center"/>
              <w:ind w:right="440"/>
              <w:spacing w:after="0"/>
              <w:rPr>
                <w:sz w:val="20"/>
                <w:szCs w:val="20"/>
                <w:color w:val="auto"/>
              </w:rPr>
            </w:pPr>
            <w:r>
              <w:rPr>
                <w:rFonts w:ascii="Arial" w:cs="Arial" w:eastAsia="Arial" w:hAnsi="Arial"/>
                <w:sz w:val="18"/>
                <w:szCs w:val="18"/>
                <w:color w:val="auto"/>
                <w:w w:val="88"/>
              </w:rPr>
              <w:t>September 30,</w:t>
            </w:r>
          </w:p>
        </w:tc>
      </w:tr>
      <w:tr>
        <w:trPr>
          <w:trHeight w:val="237"/>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2015</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Interchange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2,169</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5,797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6,551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1,812</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7,727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5,735</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Title insurance fees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Gain on branch sale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1,193</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11,708</w:t>
            </w:r>
          </w:p>
        </w:tc>
        <w:tc>
          <w:tcPr>
            <w:tcW w:w="14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10,119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29,097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30,068</w:t>
            </w:r>
          </w:p>
        </w:tc>
      </w:tr>
      <w:tr>
        <w:trPr>
          <w:trHeight w:val="21"/>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Service charges on deposit accounts declined slightly on both a comparative quarterly and year-to-date basis in 2016 as compared to 2015. Over the last few years, such service charges have been decreasing, principally due to a decline in non-sufficient funds (“NSF”) occurrences and related NSF fees. We believe the long-term decline in NSF occurrences is due to our customers managing their finances more closely and having real-time access to deposit account information through electronic channels allowing them to reduce NSF activity and avoid the associated fees.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Interchange income decreased on both a comparative quarterly and year-to-date basis in 2016 as compared to 2015. The decrease in interchange income in 2016 as compared to 2015 primarily results from lower incentives under our Debit Brand Agreement with MasterCard. In addition, although transaction volume increased 1.8% year-over-year, interchange revenue per transaction declined by 5.3%, primarily due to a higher mix of debit (PIN-based) versus credit (signature-based) transactions.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Net gains on mortgage loans increased on both a quarterly and a year to date basis. Mortgage loan activity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500"/>
              <w:spacing w:after="0"/>
              <w:rPr>
                <w:sz w:val="20"/>
                <w:szCs w:val="20"/>
                <w:color w:val="auto"/>
              </w:rPr>
            </w:pPr>
            <w:r>
              <w:rPr>
                <w:rFonts w:ascii="Arial" w:cs="Arial" w:eastAsia="Arial" w:hAnsi="Arial"/>
                <w:sz w:val="18"/>
                <w:szCs w:val="18"/>
                <w:b w:val="1"/>
                <w:bCs w:val="1"/>
                <w:color w:val="auto"/>
              </w:rPr>
              <w:t>Mortgage Loan Activity</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5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41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24"/>
                <w:szCs w:val="24"/>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8"/>
                <w:szCs w:val="18"/>
                <w:color w:val="auto"/>
                <w:w w:val="89"/>
              </w:rPr>
              <w:t>Nine months ended</w:t>
            </w:r>
          </w:p>
        </w:tc>
      </w:t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left="430"/>
              <w:spacing w:after="0"/>
              <w:rPr>
                <w:sz w:val="20"/>
                <w:szCs w:val="20"/>
                <w:color w:val="auto"/>
              </w:rPr>
            </w:pPr>
            <w:r>
              <w:rPr>
                <w:rFonts w:ascii="Arial" w:cs="Arial" w:eastAsia="Arial" w:hAnsi="Arial"/>
                <w:sz w:val="18"/>
                <w:szCs w:val="18"/>
                <w:color w:val="auto"/>
                <w:w w:val="88"/>
              </w:rPr>
              <w:t>September 30,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123,124</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79,648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288,592</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260,744</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Mortgage loans sold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89,349</w:t>
            </w:r>
          </w:p>
        </w:tc>
        <w:tc>
          <w:tcPr>
            <w:tcW w:w="380" w:type="dxa"/>
            <w:vAlign w:val="bottom"/>
          </w:tcPr>
          <w:p>
            <w:pPr>
              <w:spacing w:after="0"/>
              <w:rPr>
                <w:sz w:val="18"/>
                <w:szCs w:val="18"/>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71,063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215,494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221,957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gains on the sale of mortgage loans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3,556</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w w:val="99"/>
              </w:rPr>
              <w:t>Net gains as a percent of mortgage loans sold (“Loan Sales Margin”)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38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0.55</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increases in mortgage loan originations in 2016 as compared to 2015 are due primarily to a decrease in mortgage loan interest rates during parts of 2016 that resulted in an increase in mortgage loan refinance volumes as well as an improving housing market which has resulted in an increase in purchase money mortgage origination volume.</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gains as a percentage of mortgage loans sold (our “Loan Sales Margin”) are impacted by several factors including competition and the manner in which the loan is sold. Net gains on mortgage loans are also impacted by recording fair value accounting adjustments. Excluding the aforementioned fair value accounting adjustments, the Loan Sales Margin would have been 3.43% and 2.60% in the third quarters of 2016 and 2015, respectively and 3.19% and 2.37% for the comparative 2016 and 2015 year-to-date periods, respectively. The increase in the Loan Sales Margin (excluding fair value adjustments) in 2016 was generally due to a widening of primary-to-secondary market pricing spreads as well as a higher content of government (FHA and VA) mortgage loan sales, which generally have higher profit margins than conventional mortgage loan sales. The changes in the fair value accounting adjustments are primarily due to changes in the amount of commitments to originate mortgage loans for sale. Because of recent increases in longer-term interest rates and competitive factors, we do not expect the significant increase in the Loan Sales Margin that we have experienced in the first nine months of 2016 to continue into the last quarter of 2016 or into 2017.</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securities (losses) gains totaled $(0.045) million and $0.302 million during the three and nine months ended September 30, 2016, respectively, and $0.045 million and $0.097 million for the respective comparable periods in 2015. The third quarter 2016 securities net losses were due primarily to a $0.06 million decrease in the fair value of trading securities. The year-to-date 2016 securities net gains were due primarily to the sale of $56.5 million of investments. The third quarter 2015 securities net gains were due to an increase in the fair value of our trading securities. The 2015 year-to-date securities net gains were due to the sale of $11.8 million of investments and an increase in the fair value of our trading securities. We recorded no net impairment losses in 2016 or 2015 for other than temporary impairment of securities available for sale. (See “Securities.”)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Mortgage loan servicing generated income of $0.9 million and a loss of $0.5 million in the third quarter and first nine months of 2016, respectively, compared to a loss of $0.6 million and income of $0.5 million in the third quarter and first nine months of 2015, respectively. These variances are primarily due to changes in the valuation allowance on and the amortization of capitalized mortgage loan servicing rights. The period end valuation allowance is based on the valuation of the mortgage loan servicing portfolio. Activity related to capitalized mortgage loan servicing rights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Capitalized Mortgage Loan Servicing Rights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2015</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10,331</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12,535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12,436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Originated servicing rights capitalized</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Change in valuation allowance</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(883)</w:t>
            </w:r>
          </w:p>
        </w:tc>
        <w:tc>
          <w:tcPr>
            <w:tcW w:w="4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at end of period</w:t>
            </w:r>
          </w:p>
        </w:tc>
        <w:tc>
          <w:tcPr>
            <w:tcW w:w="1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September 30, 2016 we were servicing approximately $1.64 billion in mortgage loans for others on which servicing rights have been capitalized. This servicing portfolio had a weighted average coupon rate of 4.24% and a weighted average service fee of approximately 25.5 basis points. Remaining capitalized mortgage loan servicing rights at September 30, 2016 totaled $11.0 million, representing approximately 67 basis points on the related amount of mortgage loans serviced for others. The capitalized mortgage loan servicing had an estimated fair market value of $11.1 million at September 30,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 and insurance commissions represent revenues generated on the sale or management of investments and insurance for our customers. These revenues were relatively unchanged on a quarterly basis and declined slightly on a year-to-date basis in 2016 as compared to 2015, due primarily to open sales representative positions that were not filled until the second quarter of 2016.</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from bank owned life insurance declined on both a comparative quarterly and year-to-date basis in 2016 compared to 2015 reflecting a lower average crediting rate on our cash surrender value. Our separate account is primarily invested in agency mortgage-backed securities and managed by PIMCO. The crediting rate (on which the earnings are based) reflects the performance of the separate account. The total cash surrender value of our bank owned life insurance was $53.8 million and $54.4 million at September 30, 2016 and December 31, 2015, respectively.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Title insurance fees were slightly higher on a comparative quarterly basis and relatively unchanged on a year-to-date basis in 2016 as compared to 2015. The amount of title insurance fees is primarily a function of the level of mortgage loans that we originated.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Third quarter and year-to-date 2015 results include a net gain of $1.2 million on the sale of our Midland, Michigan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non-interest income was relatively unchanged on both a comparative quarterly and year-to-date basis in 2016 compared to 2015.</w:t>
      </w:r>
    </w:p>
    <w:p>
      <w:pPr>
        <w:spacing w:after="0" w:line="2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Non-interest expense. </w:t>
      </w:r>
      <w:r>
        <w:rPr>
          <w:rFonts w:ascii="Arial" w:cs="Arial" w:eastAsia="Arial" w:hAnsi="Arial"/>
          <w:sz w:val="18"/>
          <w:szCs w:val="18"/>
          <w:color w:val="auto"/>
        </w:rPr>
        <w:t>Non-interest expense is an important component of our results of operations. We strive to efficiently manage our cost 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is focused on a number of initiatives to reduce and contain non-interest expenses.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Non-interest expense increased by $0.65 million to $22.5 million and decreased by $0.1 million to $65.5 million during the three- and nine-month periods ended September 30, 2016, respectively, compared to the same periods in 2015.</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non-interest expense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jc w:val="right"/>
              <w:ind w:right="615"/>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20" w:type="dxa"/>
            <w:vAlign w:val="bottom"/>
            <w:gridSpan w:val="6"/>
          </w:tcPr>
          <w:p>
            <w:pPr>
              <w:jc w:val="right"/>
              <w:ind w:right="680"/>
              <w:spacing w:after="0"/>
              <w:rPr>
                <w:sz w:val="20"/>
                <w:szCs w:val="20"/>
                <w:color w:val="auto"/>
              </w:rPr>
            </w:pPr>
            <w:r>
              <w:rPr>
                <w:rFonts w:ascii="Arial" w:cs="Arial" w:eastAsia="Arial" w:hAnsi="Arial"/>
                <w:sz w:val="18"/>
                <w:szCs w:val="18"/>
                <w:color w:val="auto"/>
              </w:rPr>
              <w:t>Nine months ended</w:t>
            </w: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6"/>
          </w:tcPr>
          <w:p>
            <w:pPr>
              <w:jc w:val="right"/>
              <w:ind w:right="835"/>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2015</w:t>
            </w:r>
          </w:p>
        </w:tc>
        <w:tc>
          <w:tcPr>
            <w:tcW w:w="80" w:type="dxa"/>
            <w:vAlign w:val="bottom"/>
          </w:tcPr>
          <w:p>
            <w:pPr>
              <w:spacing w:after="0"/>
              <w:rPr>
                <w:sz w:val="20"/>
                <w:szCs w:val="20"/>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10"/>
              <w:spacing w:after="0"/>
              <w:rPr>
                <w:sz w:val="20"/>
                <w:szCs w:val="20"/>
                <w:color w:val="auto"/>
              </w:rPr>
            </w:pPr>
            <w:r>
              <w:rPr>
                <w:rFonts w:ascii="Arial" w:cs="Arial" w:eastAsia="Arial" w:hAnsi="Arial"/>
                <w:sz w:val="17"/>
                <w:szCs w:val="17"/>
                <w:color w:val="auto"/>
                <w:w w:val="73"/>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8,419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24,948</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24,880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Performance-based compensation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35"/>
              <w:spacing w:after="0"/>
              <w:rPr>
                <w:sz w:val="20"/>
                <w:szCs w:val="20"/>
                <w:color w:val="auto"/>
              </w:rPr>
            </w:pPr>
            <w:r>
              <w:rPr>
                <w:rFonts w:ascii="Arial" w:cs="Arial" w:eastAsia="Arial" w:hAnsi="Arial"/>
                <w:sz w:val="18"/>
                <w:szCs w:val="18"/>
                <w:color w:val="auto"/>
              </w:rPr>
              <w:t>1,572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4,604</w:t>
            </w:r>
          </w:p>
        </w:tc>
      </w:tr>
      <w:tr>
        <w:trPr>
          <w:trHeight w:val="223"/>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Compensation and employee benefits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35"/>
              <w:spacing w:after="0"/>
              <w:rPr>
                <w:sz w:val="20"/>
                <w:szCs w:val="20"/>
                <w:color w:val="auto"/>
              </w:rPr>
            </w:pPr>
            <w:r>
              <w:rPr>
                <w:rFonts w:ascii="Arial" w:cs="Arial" w:eastAsia="Arial" w:hAnsi="Arial"/>
                <w:sz w:val="18"/>
                <w:szCs w:val="18"/>
                <w:color w:val="auto"/>
              </w:rPr>
              <w:t>12,029</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36,912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35,605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2,001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Occupancy,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35"/>
              <w:spacing w:after="0"/>
              <w:rPr>
                <w:sz w:val="20"/>
                <w:szCs w:val="20"/>
                <w:color w:val="auto"/>
              </w:rPr>
            </w:pPr>
            <w:r>
              <w:rPr>
                <w:rFonts w:ascii="Arial" w:cs="Arial" w:eastAsia="Arial" w:hAnsi="Arial"/>
                <w:sz w:val="18"/>
                <w:szCs w:val="18"/>
                <w:color w:val="auto"/>
              </w:rPr>
              <w:t>1,940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6,399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Communications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35"/>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2,184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Loan and collection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816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35"/>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1,338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Legal and professional fees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FDIC deposit insurance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35"/>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1,044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Interchange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Credit card and bank service fees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35"/>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602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Provision for loss reimbursement on sold loans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75"/>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unfunded lending commitments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Vehicle service contract counterparty contingencies</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r>
      <w:tr>
        <w:trPr>
          <w:trHeight w:val="223"/>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Total non-interest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22,529</w:t>
            </w: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35"/>
              <w:spacing w:after="0"/>
              <w:rPr>
                <w:sz w:val="20"/>
                <w:szCs w:val="20"/>
                <w:color w:val="auto"/>
              </w:rPr>
            </w:pPr>
            <w:r>
              <w:rPr>
                <w:rFonts w:ascii="Arial" w:cs="Arial" w:eastAsia="Arial" w:hAnsi="Arial"/>
                <w:sz w:val="18"/>
                <w:szCs w:val="18"/>
                <w:color w:val="auto"/>
              </w:rPr>
              <w:t>21,879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65,469</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65,609</w:t>
            </w:r>
          </w:p>
        </w:tc>
      </w:tr>
      <w:tr>
        <w:trPr>
          <w:trHeight w:val="21"/>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and employee benefits expenses, in total, increased $1.0 million, or 8.3%, on a quarterly comparative basis and increased $1.3 million, or 3.7%, for the first nine months of 2016 compared to the same periods in 2015.</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increased by $0.1 million, or 1.5%, and by $0.1 million, or 0.3%, in the third quarter and first nine months of 2016, respectively, compared to the same periods in 2015. Average full-time equivalent employees (“FTEs”) were higher by approximately 1.4% and lower by approximately 0.7% during the third quarter and first nine months of 2016, respectively, compared to the year ago periods. On a year-to-date basis, the impact of the slight decline in the average FTE level was offset by merit raises granted in 2016.</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Performance-based compensation increased by $0.6 million and by $0.8 million in the third quarter and first nine months of 2016, respectively, compared to the same periods in 2015, due primarily to a higher accrual for anticipated incentive compensation based on our estimated 2016 performance as compared to goals.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Payroll taxes and employee benefits increased by $0.3 million and $0.5 million in the third quarter and first nine months of 2016, respectively, compared to the same periods in 2015. The quarterly increase is due primarily to increases in medical insurance and employee training costs as well as a higher employer 401(k) contribution. The year-to-date increase is due primarily to a higher employer 401(k) contribution and increased employee training costs. The increased employee training costs primarily relate to a new sales training program implemented in 2016.</w:t>
      </w:r>
    </w:p>
    <w:p>
      <w:pPr>
        <w:spacing w:after="0" w:line="19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Data processing expenses were relatively unchanged in the third quarter and first nine months of 2016, respectively, compared to the same periods in 2015. A decline in software amortization expense was offset by the cost of new services added with our core data processing vendor or other outside service providers.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Occupancy, net, was relatively unchanged and decreased by $0.4 million in the third quarter and first nine months of 2016, respectively, compared to the same periods in 2015. The year-to-date decline is primarily due to decreases in utility costs and real estate property taxes (which reflect fewer properties owned due to sales or other dispositions) and lower lease costs for our Mepco Finance Corporation (“Mepco”) Chicago office due to relocating to smaller space in the fourth quarter of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Furniture, fixtures and equipment expenses were relatively unchanged on both a comparative quarterly and year-to-date basis.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Communications expenses declined by $0.1 million and increased by $0.1 million in the third quarter and first nine months of 2016, respectively, compared to the same periods in 2015. The year-to-date increase in 2016 is due primarily to mailing costs for a new checking account program.</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 and collection expenses primarily reflect costs related to the management and collection of non-performing loans and other problem credits. These expenses have further declined in 2016, which primarily reflects the overall year-over-year decrease in non-performing assets and watch credits. (See “Portfolio Loans and asset quality.”)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expenses increased slightly on both a quarterly and year-to-date basis in 2016 as compared to 2015, due primarily to the cost of a new checking account acquisition program.</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Legal and professional fees decreased on both a comparative quarterly and year-to-date basis due primarily to a decline in legal fees at Mepco because of the resolution (in the first quarter of 2016) of counterparty litigation associated with collection matters.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FDIC deposit insurance decreased on both a comparative quarterly and year-to-date basis due primarily to a decline in our premium rate during the third quarter of 2016. At June 30, 2016, the FDIC Deposit Insurance Fund reserve ratio reached 1.15%, which triggered a new assessment method and generally lower deposit insurance premiums for banks with less than $10 billion in assets.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Interchange expense primarily represents our third-party cost to process debit card transactions. This cost has declined slightly on both a comparative quarterly and year-to-date basis due primarily to the decline in debit card transaction revenue described above.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card and bank service fees were essentially unchanged on both a comparative quarterly and year-to-date basis as the number of payment plans being serviced by Mepco in 2016 compared to 2015 was relatively stable.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Supplies expenses decreased on both a comparative quarterly and year-to-date basis due primarily to declines at Mepco associated with the outsourcing of its mailroom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amortization of intangible assets primarily relates to branch acquisitions and the amortization of the deposit customer relationship value, including core deposit value, which was acquired in connection with those acquisitions. We had remaining unamortized intangible assets of $2.0 million and $2.3 million at September 30, 2016 and December 31, 2015, respectively. See Note #8 to the Condensed Consolidated Financial Statements for a schedule of future amortization of intangible assets.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 In general, greater stability in real estate prices during the last few years (with several markets even experiencing price increases) has resulted in modest losses or gains on the sale of other real estate. We recorded net losses of $0.263 million and $0.098 million in the third quarter and first nine months of 2016, respectively, as compared to a net loss of $0.005 million and a net gain of $0.173 million, respectively, recorded in the same periods in 2015. The net losses in 2016 primarily reflect a $0.36 million write-down in the third quarter on a group of commercial income-producing properties that were sold at auction. We expect to close on this sale ($3.0 million balance in other real estate at September 30, 2016) in the fourth quarter of 2016.</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provision for loss reimbursement on sold loans was an expense of $0.045 million and $0.030 million in the third quarter and first nine months of 2016, respectively, compared to a credit of $0.035 million and a credit of $0.059 million in the third quarter and first nine months of 2015, respectively. This provision represents our estimate of incurred losses related to mortgage loans that we have sold to investors (primarily Fannie Mae, Freddie Mac and Ginnie Mae). The small expenses in 2016 are primarily due to establishing specific reserves for pending loss reimbursement claims. The small credit provisions in 2015 are due primarily to the settlements of certain loss reimbursement claims at slightly lower amounts than what had been specifically reserved for at the end of the respective previous period. Since we sell mortgage loans without recourse, loss reimbursements only occur in those instances where we have breached a representation or warranty or other contractual requirement related to the loan sale. The reserve for loss reimbursements on sold mortgage loans totaled $0.560 million and $0.530 million at September 30, 2016 and December 31, 2015,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The reserve levels at September 30, 2016 and December 31, 2015 also reflect the resolution of the mortgage loan origination years of 2000 to 2008 with Fannie Mae and Freddie Mac. We believe that the amounts that we have accrued for incurred losses on sold mortgage loans are appropriate given our analyses. However, future losses could exceed our current estimate.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costs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estimate of probable incurred losses from vehicle service contract counterparty contingencies requires a significant amount of judgment because a number of factors can influence the amount of loss that we may ultimately incur. These factors include our estimate of future cancellations of vehicle service contracts, our evaluation of collateral that may be available to recover funds due from our counterparties, and our assessment of the amount that may ultimately be collected from counterparties in connection with their contractual obligations. We apply a rigorous process, based upon historical payment plan activity and past experience, to estimate probable incurred losses and quantify the necessary reserves for our vehicle service contract counterparty contingencies, but there can be no assurance that our modeling process will successfully identify all such losses.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particular, as noted in our Risk Factors included in Part I - Item 1A of our Annual Report on Form 10-K for the year ended December 31, 2015, Mepco has had to initiate litigation against certain counterparties, including third party insurers, to collect amounts owed to Mepco as a result of those parties' dispute of their contractual obligations to Mepco. During the first quarter of 2016, we settled our last significant remaining litigation matter with certain of Mepco’s counterparties. This settlement resulted in our receipt of a cash payment of $4.0 million on March 31, 2016. This settlement also resulted in our receipt of an interest-bearing promissory note from one of Mepco’s counterparties for $1.5 million with monthly payments scheduled over a five-year period beginning in May 2016. Due to the lack of any payment history and limited financial information on this counterparty, we established a full reserve on this promissory note as of March 31, 2016. A full reserve on the remaining balance ($1.39 million) on this note was maintained at September 30, 2016. This counterparty has made the first six required monthly payments on the note. As a longer-term payment history is developed on this note, we will continue to evaluate the need for all or any part of a reserve. Vehicle service contract counterparty receivables, net totaled $2.6 million as of September 30, 2016 compared to $7.2 million as of December 31, 2015.</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see Note #14 to the Condensed Consolidated Financial Statements included within this report for more information about Mepco's business, certain risks and difficulties we currently face with respect to that business, and reserves we have established (through vehicle service contract counterparty contingencies expense) for losses related to the business.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Other non-interest expenses were relatively unchanged in the third quarter and first nine months of 2016, respectively, compared to the same periods in 2015.</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color w:val="auto"/>
        </w:rPr>
        <w:t>We recorded an income tax expense of $3.0 million and $7.5 million in the third quarter and the first nine months of 2016,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compares to an income tax expense of $2.3 million and $6.7 million in the third quarter and the first nine months of 2015,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quarter and first nine months of 2016 included a $0.3 million income tax benefit resulting from the adoption of Financial Accounting Standards Board Accounting Standards Update 2016-09 “Compensation – Stock Compensation (718) Improvements to Employee Share-Based Payment Accounting” (“ASU 2016-09”). See Note #2 to the Condensed Consolidated Financial Statements.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actual federal income tax expense is different than the amount computed by applying our statutory federal income tax rate to our pre-tax income primarily due to tax-exempt interest income and tax-exempt income from the increase in the cash surrender value on life insurance.</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September 30, 2016 and 2015, that the realization of substantially all of our deferred tax assets continues to be more likely than not.</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did maintain a valuation allowance against our deferred tax assets of approximately $1.1 million at both September 30, 2016 and December 31, 2015. This valuation allowance on our deferred tax assets primarily relates to state income taxes at our Mepco segment. In this instance, we determined that the future realization of these particular deferred tax assets was not more likely than not. This conclusion was primarily based on the uncertainty of Mepco’s future earnings attributable to particular states (given the various apportionment criteria) and the significant reduction in the size of Mepco’s business.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Our reportable segments are based upon legal entities. We currently have two reportable segments: Independent Bank and Mepco.</w:t>
      </w:r>
      <w:r>
        <w:rPr>
          <w:rFonts w:ascii="Arial" w:cs="Arial" w:eastAsia="Arial" w:hAnsi="Arial"/>
          <w:sz w:val="18"/>
          <w:szCs w:val="18"/>
          <w:b w:val="1"/>
          <w:bCs w:val="1"/>
          <w:color w:val="auto"/>
        </w:rPr>
        <w:t xml:space="preserve"> </w:t>
      </w:r>
      <w:r>
        <w:rPr>
          <w:rFonts w:ascii="Arial" w:cs="Arial" w:eastAsia="Arial" w:hAnsi="Arial"/>
          <w:sz w:val="18"/>
          <w:szCs w:val="18"/>
          <w:color w:val="auto"/>
        </w:rPr>
        <w:t>These business segments are also differentiated based on the products and services provided. We evaluate performance based principally on net income (loss) of the respective reportable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The following table presents net income (loss) by business segment.</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500" w:type="dxa"/>
            <w:vAlign w:val="bottom"/>
          </w:tcPr>
          <w:p>
            <w:pPr>
              <w:spacing w:after="0"/>
              <w:rPr>
                <w:sz w:val="20"/>
                <w:szCs w:val="20"/>
                <w:color w:val="auto"/>
              </w:rPr>
            </w:pPr>
            <w:r>
              <w:rPr>
                <w:rFonts w:ascii="Arial" w:cs="Arial" w:eastAsia="Arial" w:hAnsi="Arial"/>
                <w:sz w:val="18"/>
                <w:szCs w:val="18"/>
                <w:b w:val="1"/>
                <w:bCs w:val="1"/>
                <w:color w:val="auto"/>
              </w:rPr>
              <w:t>Business Segments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220" w:type="dxa"/>
            <w:vAlign w:val="bottom"/>
            <w:gridSpan w:val="6"/>
          </w:tcPr>
          <w:p>
            <w:pPr>
              <w:jc w:val="right"/>
              <w:ind w:right="660"/>
              <w:spacing w:after="0"/>
              <w:rPr>
                <w:sz w:val="20"/>
                <w:szCs w:val="20"/>
                <w:color w:val="auto"/>
              </w:rPr>
            </w:pPr>
            <w:r>
              <w:rPr>
                <w:rFonts w:ascii="Arial" w:cs="Arial" w:eastAsia="Arial" w:hAnsi="Arial"/>
                <w:sz w:val="18"/>
                <w:szCs w:val="18"/>
                <w:color w:val="auto"/>
                <w:w w:val="98"/>
              </w:rPr>
              <w:t>Nine months ended</w:t>
            </w:r>
          </w:p>
        </w:tc>
      </w:tr>
      <w:tr>
        <w:trPr>
          <w:trHeight w:val="216"/>
        </w:trPr>
        <w:tc>
          <w:tcPr>
            <w:tcW w:w="5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r>
      <w:tr>
        <w:trPr>
          <w:trHeight w:val="237"/>
        </w:trPr>
        <w:tc>
          <w:tcPr>
            <w:tcW w:w="5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2015</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5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Independent Bank</w:t>
            </w:r>
          </w:p>
        </w:tc>
        <w:tc>
          <w:tcPr>
            <w:tcW w:w="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17,834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Mepco</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(437)</w:t>
            </w:r>
          </w:p>
        </w:tc>
      </w:tr>
      <w:tr>
        <w:trPr>
          <w:trHeight w:val="216"/>
        </w:trPr>
        <w:tc>
          <w:tcPr>
            <w:tcW w:w="55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5"/>
                <w:szCs w:val="25"/>
                <w:color w:val="auto"/>
                <w:vertAlign w:val="superscript"/>
              </w:rPr>
              <w:t>(1)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Elimination</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57"/>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9" w:lineRule="exact"/>
        <w:rPr>
          <w:sz w:val="20"/>
          <w:szCs w:val="20"/>
          <w:color w:val="auto"/>
        </w:rPr>
      </w:pPr>
    </w:p>
    <w:p>
      <w:pPr>
        <w:spacing w:after="0"/>
        <w:tabs>
          <w:tab w:leader="none" w:pos="320" w:val="left"/>
        </w:tabs>
        <w:rPr>
          <w:sz w:val="20"/>
          <w:szCs w:val="20"/>
          <w:color w:val="auto"/>
        </w:rPr>
      </w:pPr>
      <w:r>
        <w:rPr>
          <w:rFonts w:ascii="Arial" w:cs="Arial" w:eastAsia="Arial" w:hAnsi="Arial"/>
          <w:sz w:val="30"/>
          <w:szCs w:val="30"/>
          <w:color w:val="auto"/>
          <w:vertAlign w:val="superscript"/>
        </w:rPr>
        <w:t>(1)</w:t>
      </w:r>
      <w:r>
        <w:rPr>
          <w:sz w:val="20"/>
          <w:szCs w:val="20"/>
          <w:color w:val="auto"/>
        </w:rPr>
        <w:tab/>
      </w:r>
      <w:r>
        <w:rPr>
          <w:rFonts w:ascii="Arial" w:cs="Arial" w:eastAsia="Arial" w:hAnsi="Arial"/>
          <w:sz w:val="16"/>
          <w:szCs w:val="16"/>
          <w:color w:val="auto"/>
        </w:rPr>
        <w:t>Includes amounts relating to our parent company.</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increase in third quarter net income at Independent Bank in 2016 compared to 2015 is primarily due to increases in net interest income and non-interest income that were partially offset by increases in non-interest expense and income tax expense. The increase in year-to-date net income at Independent Bank in 2016 compared to 2015 is primarily due to an increase in net interest income and decreases in the provision for loan losses (a higher credit) and in non-interest expense that were partially offset by a decrease in non-interest income and an increase in income tax expense. (See “Net interest income,” “Provision for loan losses,” “Non-interest income,” “Non-interest expense,” “Income tax expense,” and “Portfolio Loans and asset quality.”)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improvement in Mepco’s results in 2016 compared to 2015 is primarily due to a decrease in non-interest expenses that was partially offset by a decrease in net interest income as a result of a decline in year-over-year average payment plan receivables. All of Mepco’s funding is provided by Independent Bank through an intercompany loan (that is eliminated in consolidation). The rate on this intercompany loan is based on the Prime Rate (currently 3.50%). Mepco might not be able to obtain such favorable funding costs on its own in the open market.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Our total assets increased by $129.3 million during the first nine months of 2016 due primarily to increases in cash and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available for sale and loans. Loans, excluding loans held for sale ("Portfolio Loans"), totaled $1.61 billion at September 30, 2016, an increase of $92.3 million, or 6.1%, from December 31, 2015. (See "Portfolio Loans and asset quality.")</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Deposits totaled $2.21 billion at September 30, 2016, compared to $2.09 billion at December 31, 2015. The $121.0 million increase in total deposits during the period is primarily due to growth in checking, savings and time deposit account balances.</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maintain diversified securities portfolios, which include obligations of U.S. government-sponsored agencies, securities issued by states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political subdivisions, residential and commercial mortgage-backed securities, collateralized loan obligations, asset-backed securities, corporate securities and trust preferred securities.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vMerge w:val="restart"/>
          </w:tcPr>
          <w:p>
            <w:pPr>
              <w:spacing w:after="0"/>
              <w:rPr>
                <w:sz w:val="20"/>
                <w:szCs w:val="20"/>
                <w:color w:val="auto"/>
              </w:rPr>
            </w:pPr>
            <w:r>
              <w:rPr>
                <w:rFonts w:ascii="Arial" w:cs="Arial" w:eastAsia="Arial" w:hAnsi="Arial"/>
                <w:sz w:val="18"/>
                <w:szCs w:val="18"/>
                <w:color w:val="auto"/>
              </w:rPr>
              <w:t>Securities available for sale</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2016</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598,831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6,313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603,112</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December 31, 2015</w:t>
            </w: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585,851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3,152</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3,519</w:t>
            </w: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585,484</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2016, we initiated the use of Pacific Investment Management Company LLC (“PIMCO”) to manage an approximately $150 million segment of our securities available for sale. This segment of our securities available for sale has a similar risk-weighting and duration as our remaining portfolio.</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available for sale increased by $17.6 million during the first nine months of 2016 due primarily to increases in private label mortgage-backed securities, asset-backed securities, corporate securities and municipal securities. The securities were purchased to utilize a portion of the funds generated from the increase in total deposits. (See “Deposits” and “Liquidity and capital resources.”)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or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Sales of securities were as follows (See “Non-interest income.”):</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right"/>
              <w:ind w:right="490"/>
              <w:spacing w:after="0"/>
              <w:rPr>
                <w:sz w:val="20"/>
                <w:szCs w:val="20"/>
                <w:color w:val="auto"/>
              </w:rPr>
            </w:pPr>
            <w:r>
              <w:rPr>
                <w:rFonts w:ascii="Arial" w:cs="Arial" w:eastAsia="Arial" w:hAnsi="Arial"/>
                <w:sz w:val="18"/>
                <w:szCs w:val="18"/>
                <w:color w:val="auto"/>
              </w:rPr>
              <w:t>Nine 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67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(In</w:t>
            </w:r>
          </w:p>
        </w:tc>
        <w:tc>
          <w:tcPr>
            <w:tcW w:w="1400" w:type="dxa"/>
            <w:vAlign w:val="bottom"/>
            <w:gridSpan w:val="4"/>
          </w:tcPr>
          <w:p>
            <w:pPr>
              <w:jc w:val="right"/>
              <w:ind w:right="590"/>
              <w:spacing w:after="0"/>
              <w:rPr>
                <w:sz w:val="20"/>
                <w:szCs w:val="20"/>
                <w:color w:val="auto"/>
              </w:rPr>
            </w:pPr>
            <w:r>
              <w:rPr>
                <w:rFonts w:ascii="Arial" w:cs="Arial" w:eastAsia="Arial" w:hAnsi="Arial"/>
                <w:sz w:val="18"/>
                <w:szCs w:val="18"/>
                <w:color w:val="auto"/>
                <w:w w:val="78"/>
              </w:rPr>
              <w:t>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56,451</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11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Gross losses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impairment charges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Fair value adjustments</w:t>
            </w: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gains</w:t>
            </w: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Portfolio Loans and asset quality. </w:t>
      </w:r>
      <w:r>
        <w:rPr>
          <w:rFonts w:ascii="Arial" w:cs="Arial" w:eastAsia="Arial" w:hAnsi="Arial"/>
          <w:sz w:val="18"/>
          <w:szCs w:val="18"/>
          <w:color w:val="auto"/>
        </w:rPr>
        <w:t>In addition to the communities served by our Bank branch network, our principal lending markets also include nearby</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communities and metropolitan areas. Subject to established underwriting criteria, we also may participate in commercial lending transactions with certain non-affiliated banks and make whole loan purchases from other financial institutions. In August 2016, we purchased $14.8 million of single-family residential fixed rate mortgage loans from another Michigan-based financial institution. These mortgage loans were all on properties located in Michigan, had a weighted average interest rate (after a 0.25% servicing fee) of 3.65% and a weighted average remaining contractual maturity of 332 months. In December 2015, we purchased $32.6 million of single-family residential fixed rate jumbo mortgage loans from another Michigan-based financial institution. These mortgage loans were all on properties located in Michigan, had a weighted average interest rate (after a 0.25% servicing fee) of 3.94% and a weighted average remaining contractual maturity of 344 months.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retain loans that may be profitably funded within established risk parameters. (See “Asset/liability management.”) As a result, we may hold adjustable-rate mortgage loans as Portfolio Loans, while 15- and 30-year, fixed-rate obligations are generally sold to mitigate exposure to changes in interest rates. (See “Non-interest income.”)</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394"/>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30"/>
                <w:szCs w:val="30"/>
                <w:b w:val="1"/>
                <w:bCs w:val="1"/>
                <w:color w:val="auto"/>
                <w:vertAlign w:val="superscript"/>
              </w:rPr>
              <w:t>(1)</w:t>
            </w:r>
          </w:p>
        </w:tc>
        <w:tc>
          <w:tcPr>
            <w:tcW w:w="60" w:type="dxa"/>
            <w:vAlign w:val="bottom"/>
          </w:tcPr>
          <w:p>
            <w:pPr>
              <w:spacing w:after="0"/>
              <w:rPr>
                <w:sz w:val="24"/>
                <w:szCs w:val="24"/>
                <w:color w:val="auto"/>
              </w:rPr>
            </w:pPr>
          </w:p>
        </w:tc>
        <w:tc>
          <w:tcPr>
            <w:tcW w:w="132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w w:val="89"/>
              </w:rPr>
              <w:t>September 30,</w:t>
            </w:r>
          </w:p>
        </w:tc>
        <w:tc>
          <w:tcPr>
            <w:tcW w:w="60" w:type="dxa"/>
            <w:vAlign w:val="bottom"/>
          </w:tcPr>
          <w:p>
            <w:pPr>
              <w:spacing w:after="0"/>
              <w:rPr>
                <w:sz w:val="24"/>
                <w:szCs w:val="24"/>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1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8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non-performing loans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real estate and repossessed assets</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 non-performing assets</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15,790</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17,873</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As a percent of Portfolio Loans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Non-performing loans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40"/>
              <w:spacing w:after="0"/>
              <w:rPr>
                <w:sz w:val="20"/>
                <w:szCs w:val="20"/>
                <w:color w:val="auto"/>
              </w:rPr>
            </w:pPr>
            <w:r>
              <w:rPr>
                <w:rFonts w:ascii="Arial" w:cs="Arial" w:eastAsia="Arial" w:hAnsi="Arial"/>
                <w:sz w:val="18"/>
                <w:szCs w:val="18"/>
                <w:color w:val="auto"/>
              </w:rPr>
              <w:t>Allowance for loan losses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204.08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210.48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820" w:hanging="326"/>
        <w:spacing w:after="0"/>
        <w:tabs>
          <w:tab w:leader="none" w:pos="82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Excludes loans classified as “troubled debt restructured” that are not past due and vehicle service contract counterparty receivables, net.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Troubled debt restructurings ("TDR")</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ind w:right="305"/>
              <w:spacing w:after="0"/>
              <w:rPr>
                <w:sz w:val="20"/>
                <w:szCs w:val="20"/>
                <w:color w:val="auto"/>
              </w:rPr>
            </w:pPr>
            <w:r>
              <w:rPr>
                <w:rFonts w:ascii="Arial" w:cs="Arial" w:eastAsia="Arial" w:hAnsi="Arial"/>
                <w:sz w:val="18"/>
                <w:szCs w:val="18"/>
                <w:color w:val="auto"/>
                <w:w w:val="91"/>
              </w:rPr>
              <w:t>September 30, 2016</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Commercial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(In thousands)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12,642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62,299</w:t>
            </w:r>
          </w:p>
        </w:tc>
        <w:tc>
          <w:tcPr>
            <w:tcW w:w="5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74,941</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Non-performing TDR's(1)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3,421</w:t>
            </w:r>
          </w:p>
        </w:tc>
        <w:tc>
          <w:tcPr>
            <w:tcW w:w="340" w:type="dxa"/>
            <w:vAlign w:val="bottom"/>
          </w:tcPr>
          <w:p>
            <w:pPr>
              <w:jc w:val="right"/>
              <w:ind w:right="77"/>
              <w:spacing w:after="0"/>
              <w:rPr>
                <w:sz w:val="20"/>
                <w:szCs w:val="20"/>
                <w:color w:val="auto"/>
              </w:rPr>
            </w:pPr>
            <w:r>
              <w:rPr>
                <w:rFonts w:ascii="Arial" w:cs="Arial" w:eastAsia="Arial" w:hAnsi="Arial"/>
                <w:sz w:val="15"/>
                <w:szCs w:val="15"/>
                <w:color w:val="auto"/>
                <w:w w:val="87"/>
              </w:rPr>
              <w:t>(2)</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5,773</w:t>
            </w:r>
          </w:p>
        </w:tc>
      </w:tr>
      <w:tr>
        <w:trPr>
          <w:trHeight w:val="257"/>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65,720</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60"/>
        </w:trPr>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right"/>
              <w:ind w:right="505"/>
              <w:spacing w:after="0"/>
              <w:rPr>
                <w:sz w:val="20"/>
                <w:szCs w:val="20"/>
                <w:color w:val="auto"/>
              </w:rPr>
            </w:pPr>
            <w:r>
              <w:rPr>
                <w:rFonts w:ascii="Arial" w:cs="Arial" w:eastAsia="Arial" w:hAnsi="Arial"/>
                <w:sz w:val="18"/>
                <w:szCs w:val="18"/>
                <w:color w:val="auto"/>
              </w:rPr>
              <w:t>December 31, 2015</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Commercial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(In thousands)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68,194</w:t>
            </w:r>
          </w:p>
        </w:tc>
        <w:tc>
          <w:tcPr>
            <w:tcW w:w="5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81,512</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Non-performing TDR's(1)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3,777</w:t>
            </w:r>
          </w:p>
        </w:tc>
        <w:tc>
          <w:tcPr>
            <w:tcW w:w="340" w:type="dxa"/>
            <w:vAlign w:val="bottom"/>
          </w:tcPr>
          <w:p>
            <w:pPr>
              <w:jc w:val="right"/>
              <w:ind w:right="77"/>
              <w:spacing w:after="0"/>
              <w:rPr>
                <w:sz w:val="20"/>
                <w:szCs w:val="20"/>
                <w:color w:val="auto"/>
              </w:rPr>
            </w:pPr>
            <w:r>
              <w:rPr>
                <w:rFonts w:ascii="Arial" w:cs="Arial" w:eastAsia="Arial" w:hAnsi="Arial"/>
                <w:sz w:val="15"/>
                <w:szCs w:val="15"/>
                <w:color w:val="auto"/>
                <w:w w:val="87"/>
              </w:rPr>
              <w:t>(2)</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6,818</w:t>
            </w:r>
          </w:p>
        </w:tc>
      </w:tr>
      <w:tr>
        <w:trPr>
          <w:trHeight w:val="257"/>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71,971</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Included in non-performing assets table above.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Non-performing loans increased by $0.08 million, or 0.7%, during the first nine months of 2016 due principally to an increase in non-performing mortgage loans that was largely offset by declines in non-performing commercial and consumer installment loans. In general, improving economic conditions in our market areas, as well as our collection and resolution efforts, have resulted in a generally stable or downward trend in non-performing loans. However, we are still experiencing some loan defaults, particularly related to commercial loans secured by income-producing property and mortgage loans secured by resort/vacation property.</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Non-performing loans exclude performing loans that are classified as troubled debt restructurings (“TDRs”). Performing TDRs totaled $74.9 million, or 4.7% of total Portfolio Loans, and $81.5 million, or 5.4% of total Portfolio Loans, at September 30, 2016 and December 31, 2015, respectively. The decrease in the amount of performing TDRs in the first nine months of 2016 primarily reflects a decline in retail loan TDRs.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 real estate and repossessed assets totaled $5.0 million at September 30, 2016, compared to $7.2 million at December 31, 2015. This decrease is primarily the result of sales of other real estate being in excess of the migration of non-performing loans secured by real estate into other real estate as the foreclosure process is completed.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loan net charge-offs to average Portfolio Loans was a negative 0.08% (as a result of net recoveries) on an annualized basis in the first nine months of 2016 compared to 0.03% in the first nine months of 2015. The $1.3 million decline in loan net charge-offs is primarily due to declines in commercial loan and mortgage loan net charge-offs. The overall decrease in loan net charge-offs primarily reflects a year-over-year reduction in non-performing loans and improvement in collateral liquidation values.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58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80" w:type="dxa"/>
            <w:vAlign w:val="bottom"/>
            <w:gridSpan w:val="3"/>
          </w:tcPr>
          <w:p>
            <w:pPr>
              <w:spacing w:after="0"/>
              <w:rPr>
                <w:sz w:val="20"/>
                <w:szCs w:val="20"/>
                <w:color w:val="auto"/>
              </w:rPr>
            </w:pPr>
            <w:r>
              <w:rPr>
                <w:rFonts w:ascii="Arial" w:cs="Arial" w:eastAsia="Arial" w:hAnsi="Arial"/>
                <w:sz w:val="18"/>
                <w:szCs w:val="18"/>
                <w:b w:val="1"/>
                <w:bCs w:val="1"/>
                <w:color w:val="auto"/>
              </w:rPr>
              <w:t>Allowance for loan losses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Nine months ended</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4"/>
            <w:vMerge w:val="restart"/>
          </w:tcPr>
          <w:p>
            <w:pPr>
              <w:jc w:val="right"/>
              <w:ind w:right="13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580" w:type="dxa"/>
            <w:vAlign w:val="bottom"/>
            <w:gridSpan w:val="4"/>
          </w:tcPr>
          <w:p>
            <w:pPr>
              <w:jc w:val="center"/>
              <w:ind w:left="10"/>
              <w:spacing w:after="0"/>
              <w:rPr>
                <w:sz w:val="20"/>
                <w:szCs w:val="20"/>
                <w:color w:val="auto"/>
              </w:rPr>
            </w:pPr>
            <w:r>
              <w:rPr>
                <w:rFonts w:ascii="Arial" w:cs="Arial" w:eastAsia="Arial" w:hAnsi="Arial"/>
                <w:sz w:val="18"/>
                <w:szCs w:val="18"/>
                <w:color w:val="auto"/>
                <w:w w:val="88"/>
              </w:rPr>
              <w:t>September 30,</w:t>
            </w:r>
          </w:p>
        </w:tc>
        <w:tc>
          <w:tcPr>
            <w:tcW w:w="900" w:type="dxa"/>
            <w:vAlign w:val="bottom"/>
            <w:gridSpan w:val="4"/>
            <w:vMerge w:val="restart"/>
          </w:tcPr>
          <w:p>
            <w:pPr>
              <w:jc w:val="right"/>
              <w:spacing w:after="0"/>
              <w:rPr>
                <w:sz w:val="20"/>
                <w:szCs w:val="20"/>
                <w:color w:val="auto"/>
              </w:rPr>
            </w:pPr>
            <w:r>
              <w:rPr>
                <w:rFonts w:ascii="Arial" w:cs="Arial" w:eastAsia="Arial" w:hAnsi="Arial"/>
                <w:sz w:val="18"/>
                <w:szCs w:val="18"/>
                <w:color w:val="auto"/>
              </w:rPr>
              <w:t>2015</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right"/>
              <w:ind w:right="130"/>
              <w:spacing w:after="0" w:line="201" w:lineRule="exact"/>
              <w:rPr>
                <w:sz w:val="20"/>
                <w:szCs w:val="20"/>
                <w:color w:val="auto"/>
              </w:rPr>
            </w:pPr>
            <w:r>
              <w:rPr>
                <w:rFonts w:ascii="Arial" w:cs="Arial" w:eastAsia="Arial" w:hAnsi="Arial"/>
                <w:sz w:val="18"/>
                <w:szCs w:val="18"/>
                <w:color w:val="auto"/>
              </w:rPr>
              <w:t>Unfunded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Commitments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Loans</w:t>
            </w:r>
          </w:p>
        </w:tc>
        <w:tc>
          <w:tcPr>
            <w:tcW w:w="280" w:type="dxa"/>
            <w:vAlign w:val="bottom"/>
            <w:gridSpan w:val="2"/>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Commitments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7"/>
          </w:tcPr>
          <w:p>
            <w:pPr>
              <w:jc w:val="center"/>
              <w:ind w:right="70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25,990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Additions (deductions)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160"/>
              <w:spacing w:after="0"/>
              <w:rPr>
                <w:sz w:val="20"/>
                <w:szCs w:val="20"/>
                <w:color w:val="auto"/>
              </w:rPr>
            </w:pPr>
            <w:r>
              <w:rPr>
                <w:rFonts w:ascii="Arial" w:cs="Arial" w:eastAsia="Arial" w:hAnsi="Arial"/>
                <w:sz w:val="18"/>
                <w:szCs w:val="18"/>
                <w:color w:val="auto"/>
              </w:rPr>
              <w:t>Recoveries credited to allowance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3,418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 charged against the allowance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(3,767)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Additions (deductions) included in non-interest expense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24,604</w:t>
            </w:r>
          </w:p>
        </w:tc>
        <w:tc>
          <w:tcPr>
            <w:tcW w:w="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Net loans charged against the allowance to average Portfolio Loans (annualized)</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880" w:type="dxa"/>
            <w:vAlign w:val="bottom"/>
            <w:gridSpan w:val="3"/>
          </w:tcPr>
          <w:p>
            <w:pPr>
              <w:spacing w:after="0"/>
              <w:rPr>
                <w:sz w:val="20"/>
                <w:szCs w:val="20"/>
                <w:color w:val="auto"/>
              </w:rPr>
            </w:pPr>
            <w:r>
              <w:rPr>
                <w:rFonts w:ascii="Arial" w:cs="Arial" w:eastAsia="Arial" w:hAnsi="Arial"/>
                <w:sz w:val="18"/>
                <w:szCs w:val="18"/>
                <w:b w:val="1"/>
                <w:bCs w:val="1"/>
                <w:color w:val="auto"/>
              </w:rPr>
              <w:t>Allocation of the Allowance for Loan Losses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color w:val="auto"/>
                <w:w w:val="89"/>
              </w:rPr>
              <w:t>September 30,</w:t>
            </w:r>
          </w:p>
        </w:tc>
        <w:tc>
          <w:tcPr>
            <w:tcW w:w="160" w:type="dxa"/>
            <w:vAlign w:val="bottom"/>
          </w:tcPr>
          <w:p>
            <w:pPr>
              <w:spacing w:after="0"/>
              <w:rPr>
                <w:sz w:val="24"/>
                <w:szCs w:val="24"/>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10,375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10,983</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Other adversely rated commercial loans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65"/>
              <w:spacing w:after="0"/>
              <w:rPr>
                <w:sz w:val="20"/>
                <w:szCs w:val="20"/>
                <w:color w:val="auto"/>
              </w:rPr>
            </w:pPr>
            <w:r>
              <w:rPr>
                <w:rFonts w:ascii="Arial" w:cs="Arial" w:eastAsia="Arial" w:hAnsi="Arial"/>
                <w:sz w:val="18"/>
                <w:szCs w:val="18"/>
                <w:color w:val="auto"/>
              </w:rPr>
              <w:t>559</w:t>
            </w:r>
          </w:p>
        </w:tc>
        <w:tc>
          <w:tcPr>
            <w:tcW w:w="4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5,566</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Additional allocations based on subjective factors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color w:val="auto"/>
              </w:rPr>
              <w:t>5,543</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5,272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22,043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Some loans will not be repaid in full. Therefore, an allowance for loan losses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allowance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allowance for loan losses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and payment plan receivables when they are deemed uncollectible or reach a predetermined number of days past due based on product, industry practice and other factors. Collection efforts may continue and recoveries may occur after a loan is charged against the AFLL.</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Mepco’s allowance for losses is determined in a similar manner as discussed above, and primarily takes into account historical loss experience and other subjective factors deemed relevant to Mepco’s payment plan business. Estimated incurred losses associated with Mepco’s outstanding vehicle service contract payment plans are included in the provision for loan losses. Mepco recorded a $0.003 million credit and a $0.005 million credit in the first nine months of 2016 and 2015, respectively, for its provision for loan losses. Mepco’s allowance for loan losses totaled $0.060 million and $0.063 million at September 30, 2016 and December 31, 2015, respectively. Mepco has established procedures for vehicle service contract payment plan servicing, administration and collections, including the timely cancellation of the vehicle service contract, in order to protect our position in the event of payment default or voluntary cancellation by the customer. Mepco has also established procedures to attempt to prevent and detect fraud since the payment plan origination activities and initial customer contacts are done entirely through unrelated third parties (vehicle service contract administrators and sellers or automobile dealerships). However, there can be no assurance that the aforementioned risk management policies and procedures will prevent us from the possibility of incurring significant credit or fraud related losses in this business segment. The estimated incurred losses described in this paragraph should be distinguished from the possible losses we may incur from counterparties failing to pay their obligations to Mepco. See Note #14 to the Condensed Consolidated Financial Statements included within this report.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allowance for loan losses decreased $0.53 million to $22.04 million at September 30, 2016 from $22.57 million at December 31, 2015 and was equal to 1.37% of total Portfolio Loans at September 30, 2016 compared to 1.49% at December 31, 2015. Two of the four components of the allowance for loan losses outlined above declined in the first nine months of 2016. The allowance for loan losses related to specific loans decreased $0.61 million in 2016 due primarily to a $7.0 million decline in the balance of individually impaired loans as well as charge-offs. The allowance for loan losses related to other adversely rated commercial loans decreased $0.49 million in 2016 primarily due to a decrease in the balance of such loans included in this component to $13.8 million at September 30, 2016 from $27.8 million at December 31, 2015. The allowance for loan losses related to historical losses increased $0.30 million during 2016 due principally to loan growth. The allowance for loan losses related to subjective factors increased $0.27 million during 2016 also primarily due to overall growth of the loan portfolio.</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Deposits and borrowings. </w:t>
      </w:r>
      <w:r>
        <w:rPr>
          <w:rFonts w:ascii="Arial" w:cs="Arial" w:eastAsia="Arial" w:hAnsi="Arial"/>
          <w:sz w:val="17"/>
          <w:szCs w:val="17"/>
          <w:color w:val="auto"/>
        </w:rPr>
        <w:t>Historically, the loyalty of our customer base has allowed us to price deposits competitively, contributing to a net interest margin</w:t>
      </w:r>
      <w:r>
        <w:rPr>
          <w:rFonts w:ascii="Arial" w:cs="Arial" w:eastAsia="Arial" w:hAnsi="Arial"/>
          <w:sz w:val="17"/>
          <w:szCs w:val="17"/>
          <w:b w:val="1"/>
          <w:bCs w:val="1"/>
          <w:color w:val="auto"/>
        </w:rPr>
        <w:t xml:space="preserve"> </w:t>
      </w:r>
      <w:r>
        <w:rPr>
          <w:rFonts w:ascii="Arial" w:cs="Arial" w:eastAsia="Arial" w:hAnsi="Arial"/>
          <w:sz w:val="17"/>
          <w:szCs w:val="17"/>
          <w:color w:val="auto"/>
        </w:rPr>
        <w:t>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8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Deposits totaled $2.21 billion and $2.09 billion at September 30, 2016 and December 31, 2015, respectively. The $121.0 million increase in deposits during the first nine months of 2016 is due to growth in checking, savings and time deposit account balances. Reciprocal deposits totaled $46.6 million and $50.2 million at September 30, 2016 and December 31, 2015, respectively. These deposits represent demand, money market and time deposits from our customers that have been placed through Promontory Interfinancial Network’s Insured Cash Sweep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service and Certificate of Deposit Account Registry Service</w:t>
      </w:r>
      <w:r>
        <w:rPr>
          <w:rFonts w:ascii="Arial" w:cs="Arial" w:eastAsia="Arial" w:hAnsi="Arial"/>
          <w:sz w:val="30"/>
          <w:szCs w:val="30"/>
          <w:color w:val="auto"/>
          <w:vertAlign w:val="superscript"/>
        </w:rPr>
        <w:t>®</w:t>
      </w:r>
      <w:r>
        <w:rPr>
          <w:rFonts w:ascii="Arial" w:cs="Arial" w:eastAsia="Arial" w:hAnsi="Arial"/>
          <w:sz w:val="18"/>
          <w:szCs w:val="18"/>
          <w:color w:val="auto"/>
        </w:rPr>
        <w:t>. These services allow our customers to access multi-million dollar FDIC deposit insurance on deposit balances greater than the standard FDIC insurance maximum.</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September 30, 2016, we had approximately $572.4 million of uninsured deposits. A reduction in core deposits would likely increase our need to rely on wholesale funding sources.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5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borrowings, comprised almost entirely of advances from the Federal Home Loan Bank (the “FHLB”), totaled $11.5 million and $12.0 million at September 30, 2016 and December 31, 2015, respectively.</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above, we utilize wholesale funding, including FHLB borrowings and Brokered CDs to augment our core deposits and fund a portion of our assets. At September 30, 2016, our use of such wholesale funding sources (including reciprocal deposits) amounted to approximately $58.2 million, or 2.6%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historically employed derivative financial instruments to manage our exposure to changes in interest rates. We discontinued the active use of derivative financial instruments during 2008. We began to again utilize interest-rate swaps in 2014, relating to our commercial lending activities. During the first nine months of 2016 and 2015, we entered into $23.0 million and $16.6 million (aggregate notional amounts), respectively, of interest rate swaps with commercial loan customers, which were offset with interest rate swaps that the Bank entered into with a broker-dealer. We recorded $0.4 million and $0.3 million of fee income related to these transactions during each of the first nine month periods of 2016 and 2015, respectively.</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a federal funds purchased borrowing facility with another commercial bank, and access to the capital markets (for Brokered CDs).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At September 30, 2016, we had $324.1 million of time deposits that mature in the next 12 months. Historically, a majority of these maturing time deposits are renewed by our customers. Additionally, $1.74 billion of our deposits at September 30, 2016,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short-term assets with maturities less than 30 days and loans held for sale) to total assets, short-term liability dependence and basic surplus (defined as quick assets compared to short-term liabilities). Policy limits have been established for our various liquidity measurements and are monitored on a monthly basis. In addition, we also prepare cash flow forecasts that include a variety of different scenarios.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our ability to issue Brokered CDs and our improved financial metrics.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$11.5 million as of September 30, 2016 provides sufficient liquidity resources at the parent company to meet operating expenses, to make interest payments on the subordinated debentures and to pay a cash dividend on our common stock for the foreseeable future.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Capitalization</w:t>
            </w:r>
          </w:p>
        </w:tc>
        <w:tc>
          <w:tcPr>
            <w:tcW w:w="2840" w:type="dxa"/>
            <w:vAlign w:val="bottom"/>
          </w:tcPr>
          <w:p>
            <w:pPr>
              <w:spacing w:after="0"/>
              <w:rPr>
                <w:sz w:val="20"/>
                <w:szCs w:val="20"/>
                <w:color w:val="auto"/>
              </w:rPr>
            </w:pPr>
          </w:p>
        </w:tc>
        <w:tc>
          <w:tcPr>
            <w:tcW w:w="1280" w:type="dxa"/>
            <w:vAlign w:val="bottom"/>
            <w:gridSpan w:val="3"/>
            <w:vMerge w:val="restart"/>
          </w:tcPr>
          <w:p>
            <w:pPr>
              <w:jc w:val="right"/>
              <w:ind w:right="115"/>
              <w:spacing w:after="0"/>
              <w:rPr>
                <w:sz w:val="20"/>
                <w:szCs w:val="20"/>
                <w:color w:val="auto"/>
              </w:rPr>
            </w:pPr>
            <w:r>
              <w:rPr>
                <w:rFonts w:ascii="Arial" w:cs="Arial" w:eastAsia="Arial" w:hAnsi="Arial"/>
                <w:sz w:val="18"/>
                <w:szCs w:val="18"/>
                <w:color w:val="auto"/>
                <w:w w:val="89"/>
              </w:rPr>
              <w:t>September 30,</w:t>
            </w:r>
          </w:p>
        </w:tc>
        <w:tc>
          <w:tcPr>
            <w:tcW w:w="80" w:type="dxa"/>
            <w:vAlign w:val="bottom"/>
          </w:tcPr>
          <w:p>
            <w:pPr>
              <w:spacing w:after="0"/>
              <w:rPr>
                <w:sz w:val="20"/>
                <w:szCs w:val="20"/>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08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Amount not qualifying as regulatory capital</w:t>
            </w:r>
          </w:p>
        </w:tc>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 qualifying as regulatory capital</w:t>
            </w:r>
          </w:p>
        </w:tc>
        <w:tc>
          <w:tcPr>
            <w:tcW w:w="2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Shareholders’ equity</w:t>
            </w: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(69,386)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84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250,902</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251,092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capitalization</w:t>
            </w:r>
          </w:p>
        </w:tc>
        <w:tc>
          <w:tcPr>
            <w:tcW w:w="2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285,402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have three special purpose entities with $34.5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September 30, 2016 and December 31, 2015.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Common shareholders’ equity decreased slightly to $250.9 million at September 30, 2016 from $251.1 million at December 31, 2015 due primarily to share repurchases and dividends paid that were partially offset by our net income in the first nine months of 2016 and a decline in our accumulated other comprehensive loss.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resumed a quarterly cash dividend on our common stock of six cents per share in May 2014 and continued to pay regular quarterly dividends at that amount through August 2015. In October 2016 and 2015, our Board of Directors increased the quarterly cash dividend on our common stock to ten cents and eight cents per share, respectively.</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past several years, the Bank had negative “undivided profits” (i.e. a retained deficit). Under Michigan banking regulations, the Bank was not permitted to pay a dividend when it had a retained deficit. We can request regulatory approval for a return of capital from the Bank to the parent company. During the first quarter of 2016, we requested regulatory approval for an $18.0 million return of capital from the Bank to the parent company. This return of capital request was approved by our banking regulators on February 24, 2016 and the Bank returned $18.0 million of capital to the parent company on February 25, 2016. In the second quarter of 2016, the Bank returned to a positive retained earnings position. At September 30, 2016, the Bank had retained earnings of $8.7 million. In October 2016, the Bank paid a $5.0 million dividend to the parent company. Also see Note #11 to the Condensed Consolidated Financial Statements included within this report.</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21, 2016, our Board of Directors authorized a share repurchase plan. Under the terms of the 2016 share repurchase plan, we are authorized to buy back up to 5% of our outstanding common stock. The repurchase plan is authorized to last through December 31, 2016. We intend and expect to accomplish the repurchases through open market transactions, though we could effect repurchases through other means, such as privately negotiated transactions. The timing and amount of any share repurchases will depend on a variety of factors, including, among others, securities law restrictions, the trading price of our common stock, other regulatory requirements, potential alternative uses for capital, and our financial performance. The repurchase program does not obligate us to acquire any particular amount of common stock, and it may be modified or suspended at any time at our discretion. On April 26, 2016 our Board of Directors authorized a $5.0 million expansion of this repurchase plan. Through October 31, 2016, we repurchased 1,153,136 shares of our common stock pursuant to this plan at an average price of $14.62 per share leaving $4.4 million remaining under this repurchase plan.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September 30, 2016 and December 31, 2015, our Bank (and holding company) continued to meet the requirements to be considered “well-capitalized” under federal regulatory standards (also see Note #11 to the Condensed Consolidated Financial Statements included within this report).</w:t>
      </w:r>
    </w:p>
    <w:p>
      <w:pPr>
        <w:spacing w:after="0" w:line="17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financial instruments, including caps on adjustable-rate loans as well as borrowers’ rights to prepay fixed-rate loans, also create interest-rate risk.</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Market Value</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gridSpan w:val="3"/>
          </w:tcPr>
          <w:p>
            <w:pPr>
              <w:spacing w:after="0"/>
              <w:rPr>
                <w:sz w:val="20"/>
                <w:szCs w:val="20"/>
                <w:color w:val="auto"/>
              </w:rPr>
            </w:pPr>
            <w:r>
              <w:rPr>
                <w:rFonts w:ascii="Arial" w:cs="Arial" w:eastAsia="Arial" w:hAnsi="Arial"/>
                <w:sz w:val="18"/>
                <w:szCs w:val="18"/>
                <w:color w:val="auto"/>
              </w:rPr>
              <w:t>Change in 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Of Portfolio</w:t>
            </w:r>
          </w:p>
        </w:tc>
        <w:tc>
          <w:tcPr>
            <w:tcW w:w="1420" w:type="dxa"/>
            <w:vAlign w:val="bottom"/>
            <w:gridSpan w:val="2"/>
          </w:tcPr>
          <w:p>
            <w:pPr>
              <w:jc w:val="right"/>
              <w:ind w:right="49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Net Interest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Rates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Equity(1)</w:t>
            </w:r>
          </w:p>
        </w:tc>
        <w:tc>
          <w:tcPr>
            <w:tcW w:w="1420" w:type="dxa"/>
            <w:vAlign w:val="bottom"/>
            <w:gridSpan w:val="2"/>
          </w:tcPr>
          <w:p>
            <w:pPr>
              <w:jc w:val="right"/>
              <w:ind w:right="47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Income(2)</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71"/>
              </w:rPr>
              <w:t>in</w:t>
            </w:r>
          </w:p>
        </w:tc>
        <w:tc>
          <w:tcPr>
            <w:tcW w:w="11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September 30, 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vMerge w:val="continue"/>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387,000</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100 basis point rise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372,400</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347,100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100 basis point decline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314,500</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74,700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419,600</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100 basis point rise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407,300</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78,700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100 basis point decline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356,500</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72,000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89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340" w:hanging="332"/>
        <w:spacing w:after="0" w:line="256"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ind w:left="340" w:hanging="332"/>
        <w:spacing w:after="0" w:line="290"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Accounting standards update. </w:t>
      </w:r>
      <w:r>
        <w:rPr>
          <w:rFonts w:ascii="Arial" w:cs="Arial" w:eastAsia="Arial" w:hAnsi="Arial"/>
          <w:sz w:val="18"/>
          <w:szCs w:val="18"/>
          <w:color w:val="auto"/>
        </w:rPr>
        <w:t>See Note #2 to the Condensed Consolidated Financial Statements included elsewhere in this report for details on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accounting pronouncements and their impact on our financial statements.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Fair valuation of financial instruments. </w:t>
      </w:r>
      <w:r>
        <w:rPr>
          <w:rFonts w:ascii="Arial" w:cs="Arial" w:eastAsia="Arial" w:hAnsi="Arial"/>
          <w:sz w:val="18"/>
          <w:szCs w:val="18"/>
          <w:color w:val="auto"/>
        </w:rPr>
        <w:t>Financial Accounting Standards Board (“FASB”) Accounting Standards Codification (“ASC”) topic 820 -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Trading securities, securities available-for-sale, loans held for sale, and derivatives are financial instruments recorded at fair value on a recurring basis. Additionally, from time to time, we may be required to record at fair value other financial assets on a nonrecurring basis, such as loans held for investment, capitalized mortgage loan servicing rights and certain other assets. These nonrecurring fair value adjustments typically involve application of lower of cost or market accounting or write-downs of individual assets. See Note #12 to the Condensed Consolidated Financial Statements included within this report for a complete discussion on our use of fair valuation of financial instruments and the related measurement techniques.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ITIGATION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approximately $1.0 million. However, because of a number of factors, including the fact that certain of these litigation matters are still in their early stages, this maximum amount may change in the future.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or vehicle service contract counterparty receivables).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allowance for loan losses, capitalized mortgage loan servicing rights, vehicle service contract payment plan counterparty contingencies, and income taxes are deemed critical since they involve the use of estimates and require significant management judgments. Application of assumptions different than those that we have used could result in material changes in our consolidated financial position or results of operations. During the first quarter of 2016, we dropped the assessment of other than temporary impairment of securities available for sale as a critical accounting policy as we do not believe that this assessment will have a material impact on our consolidated financial position or results of operations. There have been no other material changes to our critical accounting policies as disclosed in our Annual Report on Form 10-K for the year ended December 31,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applicable disclosures set forth in “Management’s Discussion and Analysis of Financial Condition and Results of Operations” in Item 2 under the caption “Asset/liability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5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September 30, 2016, have concluded that, as of such date, our disclosure controls and procedures were effective.</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During the quarter ended September 30, 2016, there were no changes in our internal control over financial reporting that materially affected, or are reasonably likely to materially affect, our internal control over financial reporting.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Risk Factors of our Annual Report on Form 10-K for the year ended December 31, 2015.</w:t>
      </w:r>
    </w:p>
    <w:p>
      <w:pPr>
        <w:spacing w:after="0" w:line="1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third quarter of 2016, the Company issued 652 shares of common stock to non-employee directors on a current basis and 1,325 shares of common stock to the trust for distribution to directors on a deferred basis. The shares were issued on July 1, 2016, at a price of $14.51 per share, representing aggregate fees of $0.03 million.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repurchases of common stock for the three-months ended September 30,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w w:val="92"/>
              </w:rPr>
              <w:t>Total Number of</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Period</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w w:val="83"/>
              </w:rPr>
              <w:t>Shares Purchased</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Paid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1"/>
              </w:rPr>
              <w:t>Under the Plan(1)</w:t>
            </w:r>
          </w:p>
        </w:tc>
      </w:tr>
      <w:tr>
        <w:trPr>
          <w:trHeight w:val="216"/>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2016</w:t>
            </w: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93,271</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14.41</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93,271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August 2016</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2016</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93,271</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14.41</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93,271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Plus an additional $4.4 million.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252" w:lineRule="exact"/>
        <w:rPr>
          <w:sz w:val="20"/>
          <w:szCs w:val="20"/>
          <w:color w:val="auto"/>
        </w:rPr>
      </w:pPr>
    </w:p>
    <w:p>
      <w:pPr>
        <w:ind w:left="660" w:hanging="341"/>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23" w:lineRule="exact"/>
        <w:rPr>
          <w:rFonts w:ascii="Arial" w:cs="Arial" w:eastAsia="Arial" w:hAnsi="Arial"/>
          <w:sz w:val="18"/>
          <w:szCs w:val="18"/>
          <w:color w:val="auto"/>
        </w:rPr>
      </w:pPr>
    </w:p>
    <w:p>
      <w:pPr>
        <w:ind w:left="1140" w:hanging="486"/>
        <w:spacing w:after="0" w:line="250" w:lineRule="auto"/>
        <w:rPr>
          <w:rFonts w:ascii="Arial" w:cs="Arial" w:eastAsia="Arial" w:hAnsi="Arial"/>
          <w:sz w:val="18"/>
          <w:szCs w:val="18"/>
          <w:color w:val="0000EE"/>
        </w:rPr>
      </w:pPr>
      <w:hyperlink w:anchor="page92">
        <w:r>
          <w:rPr>
            <w:rFonts w:ascii="Arial" w:cs="Arial" w:eastAsia="Arial" w:hAnsi="Arial"/>
            <w:sz w:val="18"/>
            <w:szCs w:val="18"/>
            <w:u w:val="single" w:color="auto"/>
            <w:color w:val="0000EE"/>
          </w:rPr>
          <w:t>31.1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1140" w:hanging="486"/>
        <w:spacing w:after="0" w:line="250" w:lineRule="auto"/>
        <w:rPr>
          <w:rFonts w:ascii="Arial" w:cs="Arial" w:eastAsia="Arial" w:hAnsi="Arial"/>
          <w:sz w:val="18"/>
          <w:szCs w:val="18"/>
          <w:color w:val="0000EE"/>
        </w:rPr>
      </w:pPr>
      <w:hyperlink w:anchor="page93">
        <w:r>
          <w:rPr>
            <w:rFonts w:ascii="Arial" w:cs="Arial" w:eastAsia="Arial" w:hAnsi="Arial"/>
            <w:sz w:val="18"/>
            <w:szCs w:val="18"/>
            <w:u w:val="single" w:color="auto"/>
            <w:color w:val="0000EE"/>
          </w:rPr>
          <w:t>31.2</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Financial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1140" w:hanging="486"/>
        <w:spacing w:after="0" w:line="250" w:lineRule="auto"/>
        <w:rPr>
          <w:rFonts w:ascii="Arial" w:cs="Arial" w:eastAsia="Arial" w:hAnsi="Arial"/>
          <w:sz w:val="18"/>
          <w:szCs w:val="18"/>
          <w:color w:val="0000EE"/>
        </w:rPr>
      </w:pPr>
      <w:hyperlink w:anchor="page94">
        <w:r>
          <w:rPr>
            <w:rFonts w:ascii="Arial" w:cs="Arial" w:eastAsia="Arial" w:hAnsi="Arial"/>
            <w:sz w:val="18"/>
            <w:szCs w:val="18"/>
            <w:u w:val="single" w:color="auto"/>
            <w:color w:val="0000EE"/>
          </w:rPr>
          <w:t>32.1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906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660"/>
        <w:spacing w:after="0"/>
        <w:rPr>
          <w:rFonts w:ascii="Arial" w:cs="Arial" w:eastAsia="Arial" w:hAnsi="Arial"/>
          <w:sz w:val="17"/>
          <w:szCs w:val="17"/>
          <w:color w:val="0000EE"/>
        </w:rPr>
      </w:pPr>
      <w:hyperlink w:anchor="page95">
        <w:r>
          <w:rPr>
            <w:rFonts w:ascii="Arial" w:cs="Arial" w:eastAsia="Arial" w:hAnsi="Arial"/>
            <w:sz w:val="17"/>
            <w:szCs w:val="17"/>
            <w:u w:val="single" w:color="auto"/>
            <w:color w:val="0000EE"/>
          </w:rPr>
          <w:t>32.2</w:t>
        </w:r>
        <w:r>
          <w:rPr>
            <w:rFonts w:ascii="Arial" w:cs="Arial" w:eastAsia="Arial" w:hAnsi="Arial"/>
            <w:sz w:val="17"/>
            <w:szCs w:val="17"/>
            <w:color w:val="0000EE"/>
          </w:rPr>
          <w:t xml:space="preserve">  </w:t>
        </w:r>
      </w:hyperlink>
      <w:r>
        <w:rPr>
          <w:rFonts w:ascii="Arial" w:cs="Arial" w:eastAsia="Arial" w:hAnsi="Arial"/>
          <w:sz w:val="17"/>
          <w:szCs w:val="17"/>
          <w:color w:val="000000"/>
        </w:rPr>
        <w:t>Certificate</w:t>
      </w:r>
      <w:r>
        <w:rPr>
          <w:rFonts w:ascii="Arial" w:cs="Arial" w:eastAsia="Arial" w:hAnsi="Arial"/>
          <w:sz w:val="17"/>
          <w:szCs w:val="17"/>
          <w:color w:val="0000EE"/>
        </w:rPr>
        <w:t xml:space="preserve"> </w:t>
      </w:r>
      <w:r>
        <w:rPr>
          <w:rFonts w:ascii="Arial" w:cs="Arial" w:eastAsia="Arial" w:hAnsi="Arial"/>
          <w:sz w:val="17"/>
          <w:szCs w:val="17"/>
          <w:color w:val="000000"/>
        </w:rPr>
        <w:t>of the Chief Financial Officer of Independent Bank Corporation pursuant to Section 906 of the Sarbanes-Oxley Act of 2002 (18</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-946785</wp:posOffset>
            </wp:positionV>
            <wp:extent cx="72466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35" w:lineRule="exact"/>
        <w:rPr>
          <w:rFonts w:ascii="Arial" w:cs="Arial" w:eastAsia="Arial" w:hAnsi="Arial"/>
          <w:sz w:val="18"/>
          <w:szCs w:val="18"/>
          <w:color w:val="0000EE"/>
        </w:rPr>
      </w:pPr>
    </w:p>
    <w:p>
      <w:pPr>
        <w:ind w:left="1020" w:hanging="36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CAL XBRL Taxonomy Extension Calculation Linkbase Document</w:t>
      </w:r>
    </w:p>
    <w:p>
      <w:pPr>
        <w:spacing w:after="0" w:line="23" w:lineRule="exact"/>
        <w:rPr>
          <w:rFonts w:ascii="Arial" w:cs="Arial" w:eastAsia="Arial" w:hAnsi="Arial"/>
          <w:sz w:val="18"/>
          <w:szCs w:val="18"/>
          <w:color w:val="auto"/>
        </w:rPr>
      </w:pPr>
    </w:p>
    <w:p>
      <w:pPr>
        <w:ind w:left="1020" w:hanging="36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 XBRL Taxonomy Extension Definition Linkbase Document</w:t>
      </w:r>
    </w:p>
    <w:p>
      <w:pPr>
        <w:spacing w:after="0" w:line="9" w:lineRule="exact"/>
        <w:rPr>
          <w:rFonts w:ascii="Arial" w:cs="Arial" w:eastAsia="Arial" w:hAnsi="Arial"/>
          <w:sz w:val="18"/>
          <w:szCs w:val="18"/>
          <w:color w:val="auto"/>
        </w:rPr>
      </w:pPr>
    </w:p>
    <w:p>
      <w:pPr>
        <w:ind w:left="1020" w:hanging="36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LAB XBRL Taxonomy Extension Label Linkbase Document</w:t>
      </w:r>
    </w:p>
    <w:p>
      <w:pPr>
        <w:spacing w:after="0" w:line="9" w:lineRule="exact"/>
        <w:rPr>
          <w:rFonts w:ascii="Arial" w:cs="Arial" w:eastAsia="Arial" w:hAnsi="Arial"/>
          <w:sz w:val="18"/>
          <w:szCs w:val="18"/>
          <w:color w:val="auto"/>
        </w:rPr>
      </w:pPr>
    </w:p>
    <w:p>
      <w:pPr>
        <w:ind w:left="1020" w:hanging="36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 XBRL Taxonomy Extension Presentation Linkbase Document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rFonts w:ascii="Arial" w:cs="Arial" w:eastAsia="Arial" w:hAnsi="Arial"/>
          <w:sz w:val="18"/>
          <w:szCs w:val="18"/>
          <w:color w:val="0000EE"/>
        </w:rPr>
      </w:pPr>
    </w:p>
    <w:p>
      <w:pPr>
        <w:spacing w:after="0" w:line="203"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980" w:val="left"/>
          <w:tab w:leader="none" w:pos="574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70237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23735" cy="17145"/>
                    </a:xfrm>
                    <a:prstGeom prst="rect">
                      <a:avLst/>
                    </a:prstGeom>
                    <a:noFill/>
                  </pic:spPr>
                </pic:pic>
              </a:graphicData>
            </a:graphic>
          </wp:anchor>
        </w:drawing>
      </w:r>
    </w:p>
    <w:p>
      <w:pPr>
        <w:spacing w:after="0" w:line="3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Robert N. Shuster, Principal Financial Officer</w:t>
      </w:r>
    </w:p>
    <w:p>
      <w:pPr>
        <w:spacing w:after="0" w:line="225" w:lineRule="exact"/>
        <w:rPr>
          <w:sz w:val="20"/>
          <w:szCs w:val="20"/>
          <w:color w:val="auto"/>
        </w:rPr>
      </w:pPr>
    </w:p>
    <w:p>
      <w:pPr>
        <w:spacing w:after="0"/>
        <w:tabs>
          <w:tab w:leader="none" w:pos="980" w:val="left"/>
          <w:tab w:leader="none" w:pos="5740" w:val="left"/>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702373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23735" cy="17145"/>
                    </a:xfrm>
                    <a:prstGeom prst="rect">
                      <a:avLst/>
                    </a:prstGeom>
                    <a:noFill/>
                  </pic:spPr>
                </pic:pic>
              </a:graphicData>
            </a:graphic>
          </wp:anchor>
        </w:drawing>
      </w:r>
    </w:p>
    <w:p>
      <w:pPr>
        <w:spacing w:after="0" w:line="3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James J. Twarozynski, Principal Accounting Officer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William B. Kessel, certify that:</w:t>
      </w:r>
    </w:p>
    <w:p>
      <w:pPr>
        <w:spacing w:after="0" w:line="252"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6980" w:type="dxa"/>
            <w:vAlign w:val="bottom"/>
          </w:tcPr>
          <w:p>
            <w:pPr>
              <w:spacing w:after="0"/>
              <w:rPr>
                <w:sz w:val="20"/>
                <w:szCs w:val="20"/>
                <w:color w:val="auto"/>
              </w:rPr>
            </w:pPr>
            <w:r>
              <w:rPr>
                <w:rFonts w:ascii="Arial" w:cs="Arial" w:eastAsia="Arial" w:hAnsi="Arial"/>
                <w:sz w:val="18"/>
                <w:szCs w:val="18"/>
                <w:color w:val="auto"/>
              </w:rPr>
              <w:t>Date: November 3, 2016</w:t>
            </w:r>
          </w:p>
        </w:tc>
        <w:tc>
          <w:tcPr>
            <w:tcW w:w="4440" w:type="dxa"/>
            <w:vAlign w:val="bottom"/>
            <w:gridSpan w:val="2"/>
          </w:tcPr>
          <w:p>
            <w:pPr>
              <w:spacing w:after="0"/>
              <w:rPr>
                <w:sz w:val="20"/>
                <w:szCs w:val="20"/>
                <w:color w:val="auto"/>
              </w:rPr>
            </w:pPr>
            <w:r>
              <w:rPr>
                <w:rFonts w:ascii="Arial" w:cs="Arial" w:eastAsia="Arial" w:hAnsi="Arial"/>
                <w:sz w:val="18"/>
                <w:szCs w:val="18"/>
                <w:color w:val="auto"/>
              </w:rPr>
              <w:t>/s/ William B. Kessel</w:t>
            </w:r>
          </w:p>
        </w:tc>
      </w:tr>
      <w:tr>
        <w:trPr>
          <w:trHeight w:val="20"/>
        </w:trPr>
        <w:tc>
          <w:tcPr>
            <w:tcW w:w="69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22"/>
        </w:trPr>
        <w:tc>
          <w:tcPr>
            <w:tcW w:w="698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William B. Kessel</w:t>
            </w:r>
          </w:p>
        </w:tc>
      </w:tr>
      <w:tr>
        <w:trPr>
          <w:trHeight w:val="230"/>
        </w:trPr>
        <w:tc>
          <w:tcPr>
            <w:tcW w:w="698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69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N. Shuster, certify that:</w:t>
      </w:r>
    </w:p>
    <w:p>
      <w:pPr>
        <w:spacing w:after="0" w:line="252"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6980" w:type="dxa"/>
            <w:vAlign w:val="bottom"/>
          </w:tcPr>
          <w:p>
            <w:pPr>
              <w:spacing w:after="0"/>
              <w:rPr>
                <w:sz w:val="20"/>
                <w:szCs w:val="20"/>
                <w:color w:val="auto"/>
              </w:rPr>
            </w:pPr>
            <w:r>
              <w:rPr>
                <w:rFonts w:ascii="Arial" w:cs="Arial" w:eastAsia="Arial" w:hAnsi="Arial"/>
                <w:sz w:val="18"/>
                <w:szCs w:val="18"/>
                <w:color w:val="auto"/>
              </w:rPr>
              <w:t>Date: November 3, 2016</w:t>
            </w:r>
          </w:p>
        </w:tc>
        <w:tc>
          <w:tcPr>
            <w:tcW w:w="4440" w:type="dxa"/>
            <w:vAlign w:val="bottom"/>
            <w:gridSpan w:val="2"/>
          </w:tcPr>
          <w:p>
            <w:pPr>
              <w:spacing w:after="0"/>
              <w:rPr>
                <w:sz w:val="20"/>
                <w:szCs w:val="20"/>
                <w:color w:val="auto"/>
              </w:rPr>
            </w:pPr>
            <w:r>
              <w:rPr>
                <w:rFonts w:ascii="Arial" w:cs="Arial" w:eastAsia="Arial" w:hAnsi="Arial"/>
                <w:sz w:val="18"/>
                <w:szCs w:val="18"/>
                <w:color w:val="auto"/>
              </w:rPr>
              <w:t>/s/ Robert N. Shuster</w:t>
            </w:r>
          </w:p>
        </w:tc>
      </w:tr>
      <w:tr>
        <w:trPr>
          <w:trHeight w:val="20"/>
        </w:trPr>
        <w:tc>
          <w:tcPr>
            <w:tcW w:w="6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22"/>
        </w:trPr>
        <w:tc>
          <w:tcPr>
            <w:tcW w:w="698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Robert N. Shuster</w:t>
            </w:r>
          </w:p>
        </w:tc>
      </w:tr>
      <w:tr>
        <w:trPr>
          <w:trHeight w:val="230"/>
        </w:trPr>
        <w:tc>
          <w:tcPr>
            <w:tcW w:w="698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r>
      <w:tr>
        <w:trPr>
          <w:trHeight w:val="601"/>
        </w:trPr>
        <w:tc>
          <w:tcPr>
            <w:tcW w:w="69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William B. Kessel, President and Chief Executive Officer of Independent Bank Corporation, certify, to the best of my knowledge and belief, pursuant to Section 906 of the Sarbanes-Oxley Act of 2002 (18 U.S.C. 1350) that:</w:t>
      </w:r>
    </w:p>
    <w:p>
      <w:pPr>
        <w:spacing w:after="0" w:line="197" w:lineRule="exact"/>
        <w:rPr>
          <w:sz w:val="20"/>
          <w:szCs w:val="20"/>
          <w:color w:val="auto"/>
        </w:rPr>
      </w:pPr>
    </w:p>
    <w:p>
      <w:pPr>
        <w:ind w:right="20" w:firstLine="656"/>
        <w:spacing w:after="0" w:line="277" w:lineRule="auto"/>
        <w:tabs>
          <w:tab w:leader="none" w:pos="137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2016,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right="200" w:firstLine="656"/>
        <w:spacing w:after="0" w:line="277" w:lineRule="auto"/>
        <w:tabs>
          <w:tab w:leader="none" w:pos="13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September 30, 2016, fairly presents, in all material respects, the financial condition and results of operations of Independent Bank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5620" w:type="dxa"/>
            <w:vAlign w:val="bottom"/>
            <w:gridSpan w:val="3"/>
          </w:tcPr>
          <w:p>
            <w:pPr>
              <w:ind w:left="2500"/>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4360" w:type="dxa"/>
            <w:vAlign w:val="bottom"/>
          </w:tcPr>
          <w:p>
            <w:pPr>
              <w:spacing w:after="0"/>
              <w:rPr>
                <w:sz w:val="20"/>
                <w:szCs w:val="20"/>
                <w:color w:val="auto"/>
              </w:rPr>
            </w:pPr>
            <w:r>
              <w:rPr>
                <w:rFonts w:ascii="Arial" w:cs="Arial" w:eastAsia="Arial" w:hAnsi="Arial"/>
                <w:sz w:val="18"/>
                <w:szCs w:val="18"/>
                <w:color w:val="auto"/>
              </w:rPr>
              <w:t>Date: November 3, 2016</w:t>
            </w:r>
          </w:p>
        </w:tc>
        <w:tc>
          <w:tcPr>
            <w:tcW w:w="25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 William B. Kessel</w:t>
            </w:r>
          </w:p>
        </w:tc>
      </w:tr>
      <w:tr>
        <w:trPr>
          <w:trHeight w:val="20"/>
        </w:trPr>
        <w:tc>
          <w:tcPr>
            <w:tcW w:w="4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2"/>
        </w:trPr>
        <w:tc>
          <w:tcPr>
            <w:tcW w:w="4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120" w:type="dxa"/>
            <w:vAlign w:val="bottom"/>
            <w:gridSpan w:val="2"/>
          </w:tcPr>
          <w:p>
            <w:pPr>
              <w:ind w:left="340"/>
              <w:spacing w:after="0"/>
              <w:rPr>
                <w:sz w:val="20"/>
                <w:szCs w:val="20"/>
                <w:color w:val="auto"/>
              </w:rPr>
            </w:pPr>
            <w:r>
              <w:rPr>
                <w:rFonts w:ascii="Arial" w:cs="Arial" w:eastAsia="Arial" w:hAnsi="Arial"/>
                <w:sz w:val="18"/>
                <w:szCs w:val="18"/>
                <w:color w:val="auto"/>
              </w:rPr>
              <w:t>William B. Kessel</w:t>
            </w:r>
          </w:p>
        </w:tc>
      </w:tr>
      <w:tr>
        <w:trPr>
          <w:trHeight w:val="230"/>
        </w:trPr>
        <w:tc>
          <w:tcPr>
            <w:tcW w:w="4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120" w:type="dxa"/>
            <w:vAlign w:val="bottom"/>
            <w:gridSpan w:val="2"/>
          </w:tcPr>
          <w:p>
            <w:pPr>
              <w:ind w:left="340"/>
              <w:spacing w:after="0"/>
              <w:rPr>
                <w:sz w:val="20"/>
                <w:szCs w:val="20"/>
                <w:color w:val="auto"/>
              </w:rPr>
            </w:pPr>
            <w:r>
              <w:rPr>
                <w:rFonts w:ascii="Arial" w:cs="Arial" w:eastAsia="Arial" w:hAnsi="Arial"/>
                <w:sz w:val="18"/>
                <w:szCs w:val="18"/>
                <w:color w:val="auto"/>
                <w:w w:val="92"/>
              </w:rPr>
              <w:t>President and Chief Executive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Robert N. Shuster, Chief Financial Officer of Independent Bank Corporation, certify, to the best of my knowledge and belief, pursuant to Section 906 of the Sarbanes-Oxley Act of 2002 (18 U.S.C. 1350) that:</w:t>
      </w:r>
    </w:p>
    <w:p>
      <w:pPr>
        <w:spacing w:after="0" w:line="224" w:lineRule="exact"/>
        <w:rPr>
          <w:sz w:val="20"/>
          <w:szCs w:val="20"/>
          <w:color w:val="auto"/>
        </w:rPr>
      </w:pPr>
    </w:p>
    <w:p>
      <w:pPr>
        <w:ind w:firstLine="656"/>
        <w:spacing w:after="0" w:line="277" w:lineRule="auto"/>
        <w:tabs>
          <w:tab w:leader="none" w:pos="14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2016, which this statement accompanies, fully complies with requirements of Section 13(a) or 15(d) of the Securities Exchange Act of 1934 and;</w:t>
      </w:r>
    </w:p>
    <w:p>
      <w:pPr>
        <w:spacing w:after="0" w:line="224" w:lineRule="exact"/>
        <w:rPr>
          <w:rFonts w:ascii="Arial" w:cs="Arial" w:eastAsia="Arial" w:hAnsi="Arial"/>
          <w:sz w:val="18"/>
          <w:szCs w:val="18"/>
          <w:color w:val="auto"/>
        </w:rPr>
      </w:pPr>
    </w:p>
    <w:p>
      <w:pPr>
        <w:ind w:right="20" w:firstLine="656"/>
        <w:spacing w:after="0" w:line="277" w:lineRule="auto"/>
        <w:tabs>
          <w:tab w:leader="none" w:pos="14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September 30, 2016, fairly presents, in all material respects, the financial condition and results of operations of Independent Bank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95"/>
              </w:rPr>
              <w:t>INDEPENDENT BANK CORPORATION</w:t>
            </w:r>
          </w:p>
        </w:tc>
      </w:tr>
      <w:tr>
        <w:trPr>
          <w:trHeight w:val="392"/>
        </w:trPr>
        <w:tc>
          <w:tcPr>
            <w:tcW w:w="6980" w:type="dxa"/>
            <w:vAlign w:val="bottom"/>
          </w:tcPr>
          <w:p>
            <w:pPr>
              <w:spacing w:after="0"/>
              <w:rPr>
                <w:sz w:val="20"/>
                <w:szCs w:val="20"/>
                <w:color w:val="auto"/>
              </w:rPr>
            </w:pPr>
            <w:r>
              <w:rPr>
                <w:rFonts w:ascii="Arial" w:cs="Arial" w:eastAsia="Arial" w:hAnsi="Arial"/>
                <w:sz w:val="18"/>
                <w:szCs w:val="18"/>
                <w:color w:val="auto"/>
              </w:rPr>
              <w:t>Date: November 3, 2016</w:t>
            </w:r>
          </w:p>
        </w:tc>
        <w:tc>
          <w:tcPr>
            <w:tcW w:w="3100" w:type="dxa"/>
            <w:vAlign w:val="bottom"/>
            <w:gridSpan w:val="2"/>
          </w:tcPr>
          <w:p>
            <w:pPr>
              <w:spacing w:after="0"/>
              <w:rPr>
                <w:sz w:val="20"/>
                <w:szCs w:val="20"/>
                <w:color w:val="auto"/>
              </w:rPr>
            </w:pPr>
            <w:r>
              <w:rPr>
                <w:rFonts w:ascii="Arial" w:cs="Arial" w:eastAsia="Arial" w:hAnsi="Arial"/>
                <w:sz w:val="18"/>
                <w:szCs w:val="18"/>
                <w:color w:val="auto"/>
              </w:rPr>
              <w:t>/s/ Robert N. Shuster</w:t>
            </w:r>
          </w:p>
        </w:tc>
      </w:tr>
      <w:tr>
        <w:trPr>
          <w:trHeight w:val="20"/>
        </w:trPr>
        <w:tc>
          <w:tcPr>
            <w:tcW w:w="6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2"/>
        </w:trPr>
        <w:tc>
          <w:tcPr>
            <w:tcW w:w="6980" w:type="dxa"/>
            <w:vAlign w:val="bottom"/>
          </w:tcPr>
          <w:p>
            <w:pPr>
              <w:spacing w:after="0"/>
              <w:rPr>
                <w:sz w:val="19"/>
                <w:szCs w:val="19"/>
                <w:color w:val="auto"/>
              </w:rPr>
            </w:pPr>
          </w:p>
        </w:tc>
        <w:tc>
          <w:tcPr>
            <w:tcW w:w="3100" w:type="dxa"/>
            <w:vAlign w:val="bottom"/>
            <w:gridSpan w:val="2"/>
          </w:tcPr>
          <w:p>
            <w:pPr>
              <w:ind w:left="340"/>
              <w:spacing w:after="0"/>
              <w:rPr>
                <w:sz w:val="20"/>
                <w:szCs w:val="20"/>
                <w:color w:val="auto"/>
              </w:rPr>
            </w:pPr>
            <w:r>
              <w:rPr>
                <w:rFonts w:ascii="Arial" w:cs="Arial" w:eastAsia="Arial" w:hAnsi="Arial"/>
                <w:sz w:val="18"/>
                <w:szCs w:val="18"/>
                <w:color w:val="auto"/>
              </w:rPr>
              <w:t>Robert N. Shuster</w:t>
            </w:r>
          </w:p>
        </w:tc>
      </w:tr>
      <w:tr>
        <w:trPr>
          <w:trHeight w:val="230"/>
        </w:trPr>
        <w:tc>
          <w:tcPr>
            <w:tcW w:w="6980" w:type="dxa"/>
            <w:vAlign w:val="bottom"/>
          </w:tcPr>
          <w:p>
            <w:pPr>
              <w:spacing w:after="0"/>
              <w:rPr>
                <w:sz w:val="20"/>
                <w:szCs w:val="20"/>
                <w:color w:val="auto"/>
              </w:rPr>
            </w:pPr>
          </w:p>
        </w:tc>
        <w:tc>
          <w:tcPr>
            <w:tcW w:w="310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2"/>
    </w:lvl>
  </w:abstractNum>
  <w:abstractNum w:abstractNumId="3">
    <w:nsid w:val="79838CB2"/>
    <w:multiLevelType w:val="hybridMultilevel"/>
    <w:lvl w:ilvl="0">
      <w:lvlJc w:val="left"/>
      <w:lvlText w:val="%1."/>
      <w:numFmt w:val="decimal"/>
      <w:start w:val="4"/>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5"/>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6"/>
    </w:lvl>
  </w:abstractNum>
  <w:abstractNum w:abstractNumId="12">
    <w:nsid w:val="3A95F874"/>
    <w:multiLevelType w:val="hybridMultilevel"/>
    <w:lvl w:ilvl="0">
      <w:lvlJc w:val="left"/>
      <w:lvlText w:val="%1."/>
      <w:numFmt w:val="decimal"/>
      <w:start w:val="7"/>
    </w:lvl>
  </w:abstractNum>
  <w:abstractNum w:abstractNumId="13">
    <w:nsid w:val="8138641"/>
    <w:multiLevelType w:val="hybridMultilevel"/>
    <w:lvl w:ilvl="0">
      <w:lvlJc w:val="left"/>
      <w:lvlText w:val="%1."/>
      <w:numFmt w:val="decimal"/>
      <w:start w:val="9"/>
    </w:lvl>
  </w:abstractNum>
  <w:abstractNum w:abstractNumId="14">
    <w:nsid w:val="1E7FF521"/>
    <w:multiLevelType w:val="hybridMultilevel"/>
    <w:lvl w:ilvl="0">
      <w:lvlJc w:val="left"/>
      <w:lvlText w:val="%1."/>
      <w:numFmt w:val="decimal"/>
      <w:start w:val="10"/>
    </w:lvl>
  </w:abstractNum>
  <w:abstractNum w:abstractNumId="15">
    <w:nsid w:val="7C3DBD3D"/>
    <w:multiLevelType w:val="hybridMultilevel"/>
    <w:lvl w:ilvl="0">
      <w:lvlJc w:val="left"/>
      <w:lvlText w:val="%1."/>
      <w:numFmt w:val="decimal"/>
      <w:start w:val="1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3"/>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4"/>
    </w:lvl>
  </w:abstractNum>
  <w:abstractNum w:abstractNumId="23">
    <w:nsid w:val="5577F8E1"/>
    <w:multiLevelType w:val="hybridMultilevel"/>
    <w:lvl w:ilvl="0">
      <w:lvlJc w:val="left"/>
      <w:lvlText w:val="$"/>
      <w:numFmt w:val="bullet"/>
      <w:start w:val="1"/>
    </w:lvl>
    <w:lvl w:ilvl="1">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lvl w:ilvl="1">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lvl w:ilvl="1">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lvl w:ilvl="1">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decimal"/>
      <w:start w:val="101"/>
    </w:lvl>
  </w:abstractNum>
  <w:abstractNum w:abstractNumId="39">
    <w:nsid w:val="2A487CB0"/>
    <w:multiLevelType w:val="hybridMultilevel"/>
    <w:lvl w:ilvl="0">
      <w:lvlJc w:val="left"/>
      <w:lvlText w:val="%1."/>
      <w:numFmt w:val="decimal"/>
      <w:start w:val="101"/>
    </w:lvl>
  </w:abstractNum>
  <w:abstractNum w:abstractNumId="40">
    <w:nsid w:val="1D4ED43B"/>
    <w:multiLevelType w:val="hybridMultilevel"/>
    <w:lvl w:ilvl="0">
      <w:lvlJc w:val="left"/>
      <w:lvlText w:val="%1."/>
      <w:numFmt w:val="decimal"/>
      <w:start w:val="101"/>
    </w:lvl>
  </w:abstractNum>
  <w:abstractNum w:abstractNumId="41">
    <w:nsid w:val="725A06FB"/>
    <w:multiLevelType w:val="hybridMultilevel"/>
    <w:lvl w:ilvl="0">
      <w:lvlJc w:val="left"/>
      <w:lvlText w:val="%1."/>
      <w:numFmt w:val="decimal"/>
      <w:start w:val="10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2020-01-21T18:13:27Z</dcterms:created>
  <dcterms:modified xsi:type="dcterms:W3CDTF">2020-01-21T18:13:27Z</dcterms:modified>
</cp:coreProperties>
</file>