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June 30,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20,709,510 as of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June 30, 2025 and December 31, 2024</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 and Six-month periods ended June 30, 2025 and 2024</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0000FF"/>
            </w:tcBorders>
            <w:gridSpan w:val="1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 and Six-month periods ended June 30, 2025 and 2024</w:t>
            </w:r>
          </w:p>
        </w:tc>
        <w:tc>
          <w:tcPr>
            <w:tcW w:w="6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Pr>
          <w:p>
            <w:pPr>
              <w:spacing w:after="0"/>
              <w:rPr>
                <w:sz w:val="16"/>
                <w:szCs w:val="16"/>
                <w:color w:val="auto"/>
              </w:rPr>
            </w:pPr>
          </w:p>
        </w:tc>
        <w:tc>
          <w:tcPr>
            <w:tcW w:w="9260" w:type="dxa"/>
            <w:vAlign w:val="bottom"/>
            <w:gridSpan w:val="15"/>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Six-month periods ended June 30, 2025 and 2024</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 and Six-month periods ended June 30, 2025 and 2024</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400" w:type="dxa"/>
            <w:vAlign w:val="bottom"/>
            <w:tcBorders>
              <w:top w:val="single" w:sz="8" w:color="0000FF"/>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860" w:type="dxa"/>
            <w:vAlign w:val="bottom"/>
            <w:tcBorders>
              <w:top w:val="single" w:sz="8" w:color="CCEEFF"/>
            </w:tcBorders>
            <w:gridSpan w:val="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8-68</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69-87</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88</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88</w:t>
            </w:r>
          </w:p>
        </w:tc>
      </w:tr>
      <w:tr>
        <w:trPr>
          <w:trHeight w:val="258"/>
        </w:trPr>
        <w:tc>
          <w:tcPr>
            <w:tcW w:w="1020" w:type="dxa"/>
            <w:vAlign w:val="bottom"/>
            <w:tcBorders>
              <w:top w:val="single" w:sz="8" w:color="CCEE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7"/>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89</w:t>
            </w:r>
          </w:p>
        </w:tc>
      </w:tr>
      <w:tr>
        <w:trPr>
          <w:trHeight w:val="32"/>
        </w:trPr>
        <w:tc>
          <w:tcPr>
            <w:tcW w:w="10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90</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2024,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 Item 1.</w:t>
            </w:r>
          </w:p>
        </w:tc>
        <w:tc>
          <w:tcPr>
            <w:tcW w:w="5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3"/>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791"/>
              <w:spacing w:after="0"/>
              <w:rPr>
                <w:sz w:val="20"/>
                <w:szCs w:val="20"/>
                <w:color w:val="auto"/>
              </w:rPr>
            </w:pPr>
            <w:r>
              <w:rPr>
                <w:rFonts w:ascii="Times New Roman" w:cs="Times New Roman" w:eastAsia="Times New Roman" w:hAnsi="Times New Roman"/>
                <w:sz w:val="14"/>
                <w:szCs w:val="14"/>
                <w:color w:val="auto"/>
                <w:w w:val="97"/>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2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gridSpan w:val="4"/>
          </w:tcPr>
          <w:p>
            <w:pPr>
              <w:jc w:val="center"/>
              <w:ind w:right="231"/>
              <w:spacing w:after="0" w:line="129" w:lineRule="exact"/>
              <w:rPr>
                <w:sz w:val="20"/>
                <w:szCs w:val="20"/>
                <w:color w:val="auto"/>
              </w:rPr>
            </w:pPr>
            <w:r>
              <w:rPr>
                <w:rFonts w:ascii="Times New Roman" w:cs="Times New Roman" w:eastAsia="Times New Roman" w:hAnsi="Times New Roman"/>
                <w:sz w:val="14"/>
                <w:szCs w:val="14"/>
                <w:color w:val="auto"/>
                <w:w w:val="98"/>
              </w:rPr>
              <w:t>(In thousands, except share</w:t>
            </w:r>
          </w:p>
        </w:tc>
      </w:tr>
      <w:tr>
        <w:trPr>
          <w:trHeight w:val="178"/>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center"/>
              <w:ind w:left="811"/>
              <w:spacing w:after="0"/>
              <w:rPr>
                <w:sz w:val="20"/>
                <w:szCs w:val="20"/>
                <w:color w:val="auto"/>
              </w:rPr>
            </w:pPr>
            <w:r>
              <w:rPr>
                <w:rFonts w:ascii="Times New Roman" w:cs="Times New Roman" w:eastAsia="Times New Roman" w:hAnsi="Times New Roman"/>
                <w:sz w:val="14"/>
                <w:szCs w:val="14"/>
                <w:color w:val="auto"/>
                <w:w w:val="99"/>
              </w:rPr>
              <w:t>amounts)</w:t>
            </w:r>
          </w:p>
        </w:tc>
        <w:tc>
          <w:tcPr>
            <w:tcW w:w="1160" w:type="dxa"/>
            <w:vAlign w:val="bottom"/>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62,898</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559,182</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$293,658 at June 30, 2025 and $301,860 at December 31, 2024 )</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329,302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339,436</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2,068,081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1,528,360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1,516,726</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567,926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Loans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4,164,367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4,038,825</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(61,157)</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(59,379)</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Net Loans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4,103,210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3,979,446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37,492</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145,724</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147,547</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5,418,519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1,007,976</w:t>
            </w:r>
          </w:p>
        </w:tc>
        <w:tc>
          <w:tcPr>
            <w:tcW w:w="8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1,013,647</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1,995,314</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911,814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907,031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628,285</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121,642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109,811</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4,659,359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4,654,088</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102,008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45,009</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39,586</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108,448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104,939</w:t>
            </w:r>
          </w:p>
        </w:tc>
      </w:tr>
      <w:tr>
        <w:trPr>
          <w:trHeight w:val="179"/>
        </w:trPr>
        <w:tc>
          <w:tcPr>
            <w:tcW w:w="28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4,949,269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4,883,418</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68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81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20,715,650 shares at June 30, 2025 and 20,895,714</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4"/>
        </w:trPr>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shares at December 31, 2024</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227,484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205,853</w:t>
            </w:r>
          </w:p>
        </w:tc>
      </w:tr>
      <w:tr>
        <w:trPr>
          <w:trHeight w:val="197"/>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2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469,250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454,686</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5,418,519</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260" w:type="dxa"/>
            <w:vAlign w:val="bottom"/>
          </w:tcPr>
          <w:p>
            <w:pPr>
              <w:spacing w:after="0"/>
              <w:rPr>
                <w:sz w:val="17"/>
                <w:szCs w:val="17"/>
                <w:color w:val="auto"/>
              </w:rPr>
            </w:pPr>
          </w:p>
        </w:tc>
        <w:tc>
          <w:tcPr>
            <w:tcW w:w="2240" w:type="dxa"/>
            <w:vAlign w:val="bottom"/>
            <w:gridSpan w:val="4"/>
          </w:tcPr>
          <w:p>
            <w:pPr>
              <w:jc w:val="right"/>
              <w:ind w:right="343"/>
              <w:spacing w:after="0"/>
              <w:rPr>
                <w:sz w:val="20"/>
                <w:szCs w:val="20"/>
                <w:color w:val="auto"/>
              </w:rPr>
            </w:pPr>
            <w:r>
              <w:rPr>
                <w:rFonts w:ascii="Times New Roman" w:cs="Times New Roman" w:eastAsia="Times New Roman" w:hAnsi="Times New Roman"/>
                <w:sz w:val="15"/>
                <w:szCs w:val="15"/>
                <w:color w:val="auto"/>
              </w:rPr>
              <w:t>Six months ended June 30,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rPr>
              <w:t>2024</w:t>
            </w:r>
          </w:p>
        </w:tc>
        <w:tc>
          <w:tcPr>
            <w:tcW w:w="0" w:type="dxa"/>
            <w:vAlign w:val="bottom"/>
          </w:tcPr>
          <w:p>
            <w:pPr>
              <w:spacing w:after="0"/>
              <w:rPr>
                <w:sz w:val="1"/>
                <w:szCs w:val="1"/>
                <w:color w:val="auto"/>
              </w:rPr>
            </w:pPr>
          </w:p>
        </w:tc>
      </w:tr>
      <w:tr>
        <w:trPr>
          <w:trHeight w:val="199"/>
        </w:trPr>
        <w:tc>
          <w:tcPr>
            <w:tcW w:w="6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(Unaudited)</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(Unaudited)</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auto"/>
              </w:rPr>
              <w:t>(In thousands, except per share amounts)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and fees on loans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59,535</w:t>
            </w:r>
          </w:p>
        </w:tc>
        <w:tc>
          <w:tcPr>
            <w:tcW w:w="46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111,829</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on securities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Taxable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9,964</w:t>
            </w:r>
          </w:p>
        </w:tc>
        <w:tc>
          <w:tcPr>
            <w:tcW w:w="0" w:type="dxa"/>
            <w:vAlign w:val="bottom"/>
          </w:tcPr>
          <w:p>
            <w:pPr>
              <w:spacing w:after="0"/>
              <w:rPr>
                <w:sz w:val="1"/>
                <w:szCs w:val="1"/>
                <w:color w:val="auto"/>
              </w:rPr>
            </w:pPr>
          </w:p>
        </w:tc>
      </w:tr>
      <w:tr>
        <w:trPr>
          <w:trHeight w:val="203"/>
        </w:trPr>
        <w:tc>
          <w:tcPr>
            <w:tcW w:w="61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Tax-exempt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6,791</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2,880</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Total Interest Income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66,878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66,338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131,464</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Deposits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22,876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45,686</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borrowings and subordinated debt and debentures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4,235</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Total Interest Expense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22,263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24,992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49,921</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Net Interest Income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44,615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81,543</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Net Interest Income After Provision for Credit Losses</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41,327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86,079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80,780</w:t>
            </w: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 Income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Interchange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6,552</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Service charges on deposit accounts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5,809</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Net gains (losses) on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Mortgage loans</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2,697</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Equity securities at fair value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2,693</w:t>
            </w:r>
          </w:p>
        </w:tc>
        <w:tc>
          <w:tcPr>
            <w:tcW w:w="0" w:type="dxa"/>
            <w:vAlign w:val="bottom"/>
          </w:tcPr>
          <w:p>
            <w:pPr>
              <w:spacing w:after="0"/>
              <w:rPr>
                <w:sz w:val="1"/>
                <w:szCs w:val="1"/>
                <w:color w:val="auto"/>
              </w:rPr>
            </w:pPr>
          </w:p>
        </w:tc>
      </w:tr>
      <w:tr>
        <w:trPr>
          <w:trHeight w:val="203"/>
        </w:trPr>
        <w:tc>
          <w:tcPr>
            <w:tcW w:w="61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Mortgage loan servicing,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5,435</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Total Non-interest Income</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15,172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27,733</w:t>
            </w: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 Expense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Compensation and employee benefits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42,021</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Data processing</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6,512</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Occupancy,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3,960</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Interchange expense</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2,224</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Advertising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Loan and collection</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FDIC deposit insurance</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1,477</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Communications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w:t>
            </w:r>
          </w:p>
        </w:tc>
        <w:tc>
          <w:tcPr>
            <w:tcW w:w="0" w:type="dxa"/>
            <w:vAlign w:val="bottom"/>
          </w:tcPr>
          <w:p>
            <w:pPr>
              <w:spacing w:after="0"/>
              <w:rPr>
                <w:sz w:val="1"/>
                <w:szCs w:val="1"/>
                <w:color w:val="auto"/>
              </w:rPr>
            </w:pPr>
          </w:p>
        </w:tc>
      </w:tr>
      <w:tr>
        <w:trPr>
          <w:trHeight w:val="203"/>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Legal and professional</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rPr>
              <w:t>Total Non-interest Expense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33,762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33,333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65,526</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Income Before Income Tax</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20,678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39,804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42,987</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8,468</w:t>
            </w:r>
          </w:p>
        </w:tc>
        <w:tc>
          <w:tcPr>
            <w:tcW w:w="0" w:type="dxa"/>
            <w:vAlign w:val="bottom"/>
          </w:tcPr>
          <w:p>
            <w:pPr>
              <w:spacing w:after="0"/>
              <w:rPr>
                <w:sz w:val="1"/>
                <w:szCs w:val="1"/>
                <w:color w:val="auto"/>
              </w:rPr>
            </w:pPr>
          </w:p>
        </w:tc>
      </w:tr>
      <w:tr>
        <w:trPr>
          <w:trHeight w:val="222"/>
        </w:trPr>
        <w:tc>
          <w:tcPr>
            <w:tcW w:w="6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16,877</w:t>
            </w:r>
          </w:p>
        </w:tc>
        <w:tc>
          <w:tcPr>
            <w:tcW w:w="46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34,519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Basic</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Diluted</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460" w:type="dxa"/>
            <w:vAlign w:val="bottom"/>
            <w:gridSpan w:val="2"/>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0.88</w:t>
            </w:r>
          </w:p>
        </w:tc>
        <w:tc>
          <w:tcPr>
            <w:tcW w:w="8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5"/>
                <w:szCs w:val="15"/>
                <w:color w:val="auto"/>
              </w:rPr>
            </w:pP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tcPr>
          <w:p>
            <w:pPr>
              <w:spacing w:after="0"/>
              <w:rPr>
                <w:sz w:val="17"/>
                <w:szCs w:val="17"/>
                <w:color w:val="auto"/>
              </w:rPr>
            </w:pPr>
          </w:p>
        </w:tc>
        <w:tc>
          <w:tcPr>
            <w:tcW w:w="2260" w:type="dxa"/>
            <w:vAlign w:val="bottom"/>
            <w:gridSpan w:val="4"/>
          </w:tcPr>
          <w:p>
            <w:pPr>
              <w:jc w:val="right"/>
              <w:ind w:right="55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June 30,</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June 30,</w:t>
            </w:r>
          </w:p>
        </w:tc>
        <w:tc>
          <w:tcPr>
            <w:tcW w:w="880" w:type="dxa"/>
            <w:vAlign w:val="bottom"/>
          </w:tcPr>
          <w:p>
            <w:pPr>
              <w:spacing w:after="0"/>
              <w:rPr>
                <w:sz w:val="19"/>
                <w:szCs w:val="19"/>
                <w:color w:val="auto"/>
              </w:rPr>
            </w:pPr>
          </w:p>
        </w:tc>
      </w:tr>
      <w:tr>
        <w:trPr>
          <w:trHeight w:val="245"/>
        </w:trPr>
        <w:tc>
          <w:tcPr>
            <w:tcW w:w="6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r>
      <w:tr>
        <w:trPr>
          <w:trHeight w:val="216"/>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(Unaudited - In thousands)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4"/>
        </w:trPr>
        <w:tc>
          <w:tcPr>
            <w:tcW w:w="6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34,519</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w:t>
            </w:r>
          </w:p>
        </w:tc>
      </w:tr>
      <w:tr>
        <w:trPr>
          <w:trHeight w:val="258"/>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r>
      <w:tr>
        <w:trPr>
          <w:trHeight w:val="258"/>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(gains) losses included in earnings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196"/>
        </w:trPr>
        <w:tc>
          <w:tcPr>
            <w:tcW w:w="61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w:t>
            </w:r>
          </w:p>
        </w:tc>
      </w:tr>
      <w:tr>
        <w:trPr>
          <w:trHeight w:val="219"/>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w:t>
            </w:r>
          </w:p>
        </w:tc>
      </w:tr>
      <w:tr>
        <w:trPr>
          <w:trHeight w:val="199"/>
        </w:trPr>
        <w:tc>
          <w:tcPr>
            <w:tcW w:w="6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8"/>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58"/>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w:t>
            </w:r>
          </w:p>
        </w:tc>
      </w:tr>
      <w:tr>
        <w:trPr>
          <w:trHeight w:val="258"/>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r>
      <w:tr>
        <w:trPr>
          <w:trHeight w:val="21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w:t>
            </w: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4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Six months ended June 30,</w:t>
            </w:r>
          </w:p>
        </w:tc>
        <w:tc>
          <w:tcPr>
            <w:tcW w:w="58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Borders>
              <w:bottom w:val="single" w:sz="8" w:color="auto"/>
            </w:tcBorders>
          </w:tcPr>
          <w:p>
            <w:pPr>
              <w:spacing w:after="0"/>
              <w:rPr>
                <w:sz w:val="15"/>
                <w:szCs w:val="15"/>
                <w:color w:val="auto"/>
              </w:rPr>
            </w:pPr>
          </w:p>
        </w:tc>
      </w:tr>
      <w:tr>
        <w:trPr>
          <w:trHeight w:val="186"/>
        </w:trPr>
        <w:tc>
          <w:tcPr>
            <w:tcW w:w="8180" w:type="dxa"/>
            <w:vAlign w:val="bottom"/>
          </w:tcPr>
          <w:p>
            <w:pPr>
              <w:spacing w:after="0"/>
              <w:rPr>
                <w:sz w:val="16"/>
                <w:szCs w:val="16"/>
                <w:color w:val="auto"/>
              </w:rPr>
            </w:pPr>
          </w:p>
        </w:tc>
        <w:tc>
          <w:tcPr>
            <w:tcW w:w="248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color w:val="auto"/>
              </w:rPr>
              <w:t>(Unaudited - In thousands)</w:t>
            </w:r>
          </w:p>
        </w:tc>
        <w:tc>
          <w:tcPr>
            <w:tcW w:w="580" w:type="dxa"/>
            <w:vAlign w:val="bottom"/>
          </w:tcPr>
          <w:p>
            <w:pPr>
              <w:spacing w:after="0"/>
              <w:rPr>
                <w:sz w:val="16"/>
                <w:szCs w:val="16"/>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34,519</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9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166,445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167,091</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(167,561)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(168,399)</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depreciation, amortization of intangible assets and premiums and accretion of discounts on securities and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securities available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18,201</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50,668</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29,580</w:t>
            </w: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(Used in) Investing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26,356</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49,241</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9,391</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(139,380)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(70,623)</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(67,304)</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34,545</w:t>
            </w: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(Used in)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total deposits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(8,551)</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197,000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(140,000)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42,913</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(19,558)</w:t>
            </w:r>
          </w:p>
        </w:tc>
      </w:tr>
      <w:tr>
        <w:trPr>
          <w:trHeight w:val="179"/>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26,277</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44,567</w:t>
            </w: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93"/>
        </w:trPr>
        <w:tc>
          <w:tcPr>
            <w:tcW w:w="8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146,159</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214,348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44,130</w:t>
            </w:r>
          </w:p>
        </w:tc>
        <w:tc>
          <w:tcPr>
            <w:tcW w:w="80" w:type="dxa"/>
            <w:vAlign w:val="bottom"/>
          </w:tcPr>
          <w:p>
            <w:pPr>
              <w:spacing w:after="0"/>
              <w:rPr>
                <w:sz w:val="16"/>
                <w:szCs w:val="16"/>
                <w:color w:val="auto"/>
              </w:rPr>
            </w:pPr>
          </w:p>
        </w:tc>
        <w:tc>
          <w:tcPr>
            <w:tcW w:w="900" w:type="dxa"/>
            <w:vAlign w:val="bottom"/>
          </w:tcPr>
          <w:p>
            <w:pPr>
              <w:jc w:val="right"/>
              <w:ind w:right="75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52,681</w:t>
            </w: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7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securities held to maturity not yet settled</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April 1, 2025</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467,277</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June 30, 2025</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16,877</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251,183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860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2025</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311,653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227,484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(69,887)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469,250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April 1, 2024</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170,100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(71,629)</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415,570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June 30, 2024</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29"/>
        </w:trPr>
        <w:tc>
          <w:tcPr>
            <w:tcW w:w="49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267 shares of</w:t>
            </w:r>
          </w:p>
        </w:tc>
        <w:tc>
          <w:tcPr>
            <w:tcW w:w="2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9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2025</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six months ended June 30, 2025</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$0.52 per share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(10,836)</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252,276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103,677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34,258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2025</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469,250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six months ended June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$0.48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39,950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interim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interim condensed consolidated financial statements should be read in conjunction with the audited consolidated financial statements and notes for the year ended December 31, 2024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interim condensed consolidated financial statements contain all the adjustments necessary to present fairly our consolidated financial condition as of June 30, 2025 and December 31, 2024, and the results of operations for the three and six-month periods ended June 30, 2025 and 2024. The results of operations for the three and six-month periods ended June 30, 2025, are not necessarily indicative of the results to be expected for the full year. Certain reclassifications have been made in the prior period interim condensed consolidated financial statements to conform to the current period presentation. Our critical accounting policies include the determination of the allowance for credit losses (“ACL”) and the valuation of capitalized mortgage loan servicing rights. Refer to our 2024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17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annual reporting periods beginning after December 15, 2024, with early adoption permitted. The adoption of this ASU on January 1, 2025, did not have a material impact on our interim Condensed Consolidated Financial Statements.</w:t>
      </w:r>
    </w:p>
    <w:p>
      <w:pPr>
        <w:spacing w:after="0" w:line="14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consolidated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8,647</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71,796</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44,929</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276,746</w:t>
            </w: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61,333</w:t>
            </w:r>
          </w:p>
        </w:tc>
        <w:tc>
          <w:tcPr>
            <w:tcW w:w="0" w:type="dxa"/>
            <w:vAlign w:val="bottom"/>
          </w:tcPr>
          <w:p>
            <w:pPr>
              <w:spacing w:after="0"/>
              <w:rPr>
                <w:sz w:val="1"/>
                <w:szCs w:val="1"/>
                <w:color w:val="auto"/>
              </w:rPr>
            </w:pPr>
          </w:p>
        </w:tc>
      </w:tr>
      <w:tr>
        <w:trPr>
          <w:trHeight w:val="21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509,511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71,137</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70,035</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38,516</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0" w:type="dxa"/>
            <w:vAlign w:val="bottom"/>
          </w:tcPr>
          <w:p>
            <w:pPr>
              <w:spacing w:after="0"/>
              <w:rPr>
                <w:sz w:val="1"/>
                <w:szCs w:val="1"/>
                <w:color w:val="auto"/>
              </w:rPr>
            </w:pPr>
          </w:p>
        </w:tc>
      </w:tr>
      <w:tr>
        <w:trPr>
          <w:trHeight w:val="258"/>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0" w:type="dxa"/>
            <w:vAlign w:val="bottom"/>
          </w:tcPr>
          <w:p>
            <w:pPr>
              <w:spacing w:after="0"/>
              <w:rPr>
                <w:sz w:val="1"/>
                <w:szCs w:val="1"/>
                <w:color w:val="auto"/>
              </w:rPr>
            </w:pPr>
          </w:p>
        </w:tc>
      </w:tr>
      <w:tr>
        <w:trPr>
          <w:trHeight w:val="258"/>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20,332</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7,051</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137,146</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329,302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343,978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50,331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293,658</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84,738</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142,151</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42,696</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355,739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2680" w:type="dxa"/>
        <w:tblCellMar>
          <w:top w:w="0" w:type="dxa"/>
          <w:left w:w="0" w:type="dxa"/>
          <w:bottom w:w="0" w:type="dxa"/>
          <w:right w:w="0" w:type="dxa"/>
        </w:tblCellMar>
      </w:tblPr>
      <w:tr>
        <w:trPr>
          <w:trHeight w:val="223"/>
        </w:trPr>
        <w:tc>
          <w:tcPr>
            <w:tcW w:w="28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88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Twelve Months or More</w:t>
            </w:r>
          </w:p>
        </w:tc>
        <w:tc>
          <w:tcPr>
            <w:tcW w:w="1140" w:type="dxa"/>
            <w:vAlign w:val="bottom"/>
          </w:tcPr>
          <w:p>
            <w:pPr>
              <w:spacing w:after="0"/>
              <w:rPr>
                <w:sz w:val="19"/>
                <w:szCs w:val="19"/>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r>
      <w:tr>
        <w:trPr>
          <w:trHeight w:val="160"/>
        </w:trPr>
        <w:tc>
          <w:tcPr>
            <w:tcW w:w="13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left="234"/>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r>
      <w:tr>
        <w:trPr>
          <w:trHeight w:val="232"/>
        </w:trPr>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9"/>
              </w:rPr>
              <w:t>Losses</w:t>
            </w:r>
          </w:p>
        </w:tc>
        <w:tc>
          <w:tcPr>
            <w:tcW w:w="1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Losses</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w:t>
            </w:r>
          </w:p>
        </w:tc>
        <w:tc>
          <w:tcPr>
            <w:tcW w:w="166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0</wp:posOffset>
            </wp:positionV>
            <wp:extent cx="5443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7"/>
          <w:szCs w:val="17"/>
          <w:color w:val="auto"/>
        </w:rPr>
        <w:t>(In thousands)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26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16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0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0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7"/>
          <w:szCs w:val="17"/>
          <w:color w:val="auto"/>
        </w:rPr>
        <w:t>U.S. agency</w:t>
      </w:r>
      <w:r>
        <w:rPr>
          <w:sz w:val="20"/>
          <w:szCs w:val="20"/>
          <w:color w:val="auto"/>
        </w:rPr>
        <w:tab/>
      </w:r>
      <w:r>
        <w:rPr>
          <w:rFonts w:ascii="Times New Roman" w:cs="Times New Roman" w:eastAsia="Times New Roman" w:hAnsi="Times New Roman"/>
          <w:sz w:val="17"/>
          <w:szCs w:val="17"/>
          <w:color w:val="auto"/>
        </w:rPr>
        <w:t>$</w:t>
      </w:r>
    </w:p>
    <w:p>
      <w:pPr>
        <w:spacing w:after="0" w:line="62" w:lineRule="exact"/>
        <w:rPr>
          <w:sz w:val="20"/>
          <w:szCs w:val="20"/>
          <w:color w:val="auto"/>
        </w:rPr>
      </w:pPr>
    </w:p>
    <w:p>
      <w:pPr>
        <w:ind w:left="320" w:right="260" w:hanging="154"/>
        <w:spacing w:after="0" w:line="284" w:lineRule="auto"/>
        <w:rPr>
          <w:sz w:val="20"/>
          <w:szCs w:val="20"/>
          <w:color w:val="auto"/>
        </w:rPr>
      </w:pPr>
      <w:r>
        <w:rPr>
          <w:rFonts w:ascii="Times New Roman" w:cs="Times New Roman" w:eastAsia="Times New Roman" w:hAnsi="Times New Roman"/>
          <w:sz w:val="17"/>
          <w:szCs w:val="17"/>
          <w:color w:val="auto"/>
        </w:rPr>
        <w:t>U.S. agency residential mortgage-backed</w:t>
      </w:r>
    </w:p>
    <w:p>
      <w:pPr>
        <w:spacing w:after="0" w:line="1" w:lineRule="exact"/>
        <w:rPr>
          <w:sz w:val="20"/>
          <w:szCs w:val="20"/>
          <w:color w:val="auto"/>
        </w:rPr>
      </w:pPr>
    </w:p>
    <w:p>
      <w:pPr>
        <w:ind w:left="320" w:right="160" w:hanging="154"/>
        <w:spacing w:after="0" w:line="284"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500"/>
        <w:spacing w:after="0" w:line="316" w:lineRule="auto"/>
        <w:rPr>
          <w:sz w:val="20"/>
          <w:szCs w:val="20"/>
          <w:color w:val="auto"/>
        </w:rPr>
      </w:pPr>
      <w:r>
        <w:rPr>
          <w:rFonts w:ascii="Times New Roman" w:cs="Times New Roman" w:eastAsia="Times New Roman" w:hAnsi="Times New Roman"/>
          <w:sz w:val="17"/>
          <w:szCs w:val="17"/>
          <w:color w:val="auto"/>
        </w:rPr>
        <w:t>Private label mortgage-backed Other asset backed</w:t>
      </w:r>
    </w:p>
    <w:p>
      <w:pPr>
        <w:spacing w:after="0" w:line="1" w:lineRule="exact"/>
        <w:rPr>
          <w:sz w:val="20"/>
          <w:szCs w:val="20"/>
          <w:color w:val="auto"/>
        </w:rPr>
      </w:pPr>
    </w:p>
    <w:p>
      <w:pPr>
        <w:ind w:left="320" w:right="300" w:hanging="154"/>
        <w:spacing w:after="0" w:line="284" w:lineRule="auto"/>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Times New Roman" w:cs="Times New Roman" w:eastAsia="Times New Roman" w:hAnsi="Times New Roman"/>
          <w:sz w:val="17"/>
          <w:szCs w:val="17"/>
          <w:color w:val="auto"/>
        </w:rPr>
        <w:t>Total</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1,271</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8,516</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7,252</w:t>
            </w:r>
          </w:p>
        </w:tc>
        <w:tc>
          <w:tcPr>
            <w:tcW w:w="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43,557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5,063</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327</w:t>
            </w:r>
          </w:p>
        </w:tc>
        <w:tc>
          <w:tcPr>
            <w:tcW w:w="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276,417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276,744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49,821</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1,492</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59,841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w:t>
            </w:r>
          </w:p>
        </w:tc>
      </w:tr>
      <w:tr>
        <w:trPr>
          <w:trHeight w:val="25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8"/>
              </w:rPr>
              <w:t>15,405</w:t>
            </w: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474,778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65,847</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490,183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65,940</w:t>
            </w:r>
          </w:p>
        </w:tc>
      </w:tr>
      <w:tr>
        <w:trPr>
          <w:trHeight w:val="20"/>
        </w:trPr>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1"/>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324</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c>
          <w:tcPr>
            <w:tcW w:w="8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7,889</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w:t>
            </w:r>
          </w:p>
        </w:tc>
        <w:tc>
          <w:tcPr>
            <w:tcW w:w="6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61,366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9,499</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2,551</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3,984</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464"/>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221</w:t>
            </w:r>
          </w:p>
        </w:tc>
        <w:tc>
          <w:tcPr>
            <w:tcW w:w="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288,570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288,791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42,097</w:t>
            </w:r>
          </w:p>
        </w:tc>
      </w:tr>
      <w:tr>
        <w:trPr>
          <w:trHeight w:val="258"/>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1,473</w:t>
            </w:r>
          </w:p>
        </w:tc>
        <w:tc>
          <w:tcPr>
            <w:tcW w:w="6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w:t>
            </w:r>
          </w:p>
        </w:tc>
      </w:tr>
      <w:tr>
        <w:trPr>
          <w:trHeight w:val="257"/>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8,700</w:t>
            </w: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531,888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62,697</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540,588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62,749</w:t>
            </w:r>
          </w:p>
        </w:tc>
      </w:tr>
      <w:tr>
        <w:trPr>
          <w:trHeight w:val="20"/>
        </w:trPr>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-3593465</wp:posOffset>
            </wp:positionV>
            <wp:extent cx="7138670"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-3134995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-2676525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-2021205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-1718310</wp:posOffset>
            </wp:positionV>
            <wp:extent cx="7138670"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-1129030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-801370</wp:posOffset>
            </wp:positionV>
            <wp:extent cx="7138670" cy="294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-342900</wp:posOffset>
            </wp:positionV>
            <wp:extent cx="7138670" cy="34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34353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-2348865</wp:posOffset>
            </wp:positionV>
            <wp:extent cx="713867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00"/>
            <w:col w:w="7760"/>
          </w:cols>
          <w:pgMar w:left="320" w:top="119" w:right="339" w:bottom="1440" w:gutter="0" w:footer="0" w:header="0"/>
          <w:type w:val="continuous"/>
        </w:sectPr>
      </w:pP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2025 and December 31, 2024. Accrued interest receivable on securities AFS totaled $3.7 million and $3.9 million at June 30, 2025 and December 31, 2024, respectively,</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is excluded from the estimate of credit losses and is included in accrued income and other assets in the interim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June 30, 2025, we had 30 U.S. agency, 94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June 30, 2025, we had 55 private label mortgage backed, 43 other asset backed, and 66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June 30, 2025, we had 304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June 30, 2025,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2025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interim Condensed Consolidated Statements of Operations related to securities AFS during the three and six month periods ended June 30, 2025 and 2024,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$1.7 million and $1.7 million at June 30, 2025 and December 31, 2024, respectively and is excluded from the estimate of credit losses and is included in accrued income and other assets in the interim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June 30, 2025 and December 31, 2024, there were no past due principal and interest payments associated with these securities. At those same dates an allowance for credit losses of $133,000 and $132,000,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25,126</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118,000</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35,099</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18,145</w:t>
            </w:r>
          </w:p>
        </w:tc>
      </w:tr>
      <w:tr>
        <w:trPr>
          <w:trHeight w:val="237"/>
        </w:trPr>
        <w:tc>
          <w:tcPr>
            <w:tcW w:w="3500" w:type="dxa"/>
            <w:vAlign w:val="bottom"/>
            <w:tcBorders>
              <w:top w:val="single" w:sz="8" w:color="CCEEFF"/>
              <w:bottom w:val="single" w:sz="8" w:color="CCEEFF"/>
            </w:tcBorders>
            <w:shd w:val="clear" w:color="auto" w:fill="CCEEFF"/>
          </w:tcPr>
          <w:p>
            <w:pPr>
              <w:jc w:val="center"/>
              <w:ind w:right="2194"/>
              <w:spacing w:after="0"/>
              <w:rPr>
                <w:sz w:val="20"/>
                <w:szCs w:val="20"/>
                <w:color w:val="auto"/>
              </w:rPr>
            </w:pPr>
            <w:r>
              <w:rPr>
                <w:rFonts w:ascii="Times New Roman" w:cs="Times New Roman" w:eastAsia="Times New Roman" w:hAnsi="Times New Roman"/>
                <w:sz w:val="17"/>
                <w:szCs w:val="17"/>
                <w:color w:val="auto"/>
                <w:w w:val="94"/>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205,304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101,112</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8,478</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36,697</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210,573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June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six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Obligations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auto"/>
                <w:w w:val="98"/>
              </w:rPr>
              <w:t>of States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auto"/>
              </w:rPr>
              <w:t>and Political</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Subdivisions</w:t>
            </w: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June 30, 2025, by contractual maturity,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AFS</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Borders>
              <w:bottom w:val="single" w:sz="8" w:color="auto"/>
            </w:tcBorders>
          </w:tcPr>
          <w:p>
            <w:pPr>
              <w:spacing w:after="0"/>
              <w:rPr>
                <w:sz w:val="19"/>
                <w:szCs w:val="19"/>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Pr>
          <w:p>
            <w:pPr>
              <w:spacing w:after="0"/>
              <w:rPr>
                <w:sz w:val="13"/>
                <w:szCs w:val="13"/>
                <w:color w:val="auto"/>
              </w:rPr>
            </w:pPr>
          </w:p>
        </w:tc>
        <w:tc>
          <w:tcPr>
            <w:tcW w:w="98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20" w:type="dxa"/>
            <w:vAlign w:val="bottom"/>
          </w:tcPr>
          <w:p>
            <w:pPr>
              <w:spacing w:after="0"/>
              <w:rPr>
                <w:sz w:val="13"/>
                <w:szCs w:val="13"/>
                <w:color w:val="auto"/>
              </w:rPr>
            </w:pPr>
          </w:p>
        </w:tc>
        <w:tc>
          <w:tcPr>
            <w:tcW w:w="960" w:type="dxa"/>
            <w:vAlign w:val="bottom"/>
          </w:tcPr>
          <w:p>
            <w:pPr>
              <w:jc w:val="right"/>
              <w:ind w:right="514"/>
              <w:spacing w:after="0" w:line="161" w:lineRule="exact"/>
              <w:rPr>
                <w:sz w:val="20"/>
                <w:szCs w:val="20"/>
                <w:color w:val="auto"/>
              </w:rPr>
            </w:pPr>
            <w:r>
              <w:rPr>
                <w:rFonts w:ascii="Times New Roman" w:cs="Times New Roman" w:eastAsia="Times New Roman" w:hAnsi="Times New Roman"/>
                <w:sz w:val="17"/>
                <w:szCs w:val="17"/>
                <w:color w:val="auto"/>
              </w:rPr>
              <w:t>Fair</w:t>
            </w:r>
          </w:p>
        </w:tc>
      </w:tr>
      <w:tr>
        <w:trPr>
          <w:trHeight w:val="228"/>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6"/>
              </w:rPr>
              <w:t>Cost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(In thousands)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48,268</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83,408</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71,204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57,463</w:t>
            </w:r>
          </w:p>
        </w:tc>
      </w:tr>
      <w:tr>
        <w:trPr>
          <w:trHeight w:val="212"/>
        </w:trPr>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227,553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200,376</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82,524</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7,051</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575,101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509,511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343,978</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293,658</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six month periods ending June 30,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26,356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37</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2024</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37,273</w:t>
            </w: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bl>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second quarter of 2024 we acquired certain securities classified as equity securities at fair value consisting of Visa Inc. Class C common stock. These securities were all sold during the second and third quarters of 2024. During both the three and six months ended June 30, 2024, we recognized gains on these equity securities of $2.7 million, that are included in net gains on equity securities at fair value in the interim Condensed Consolidated Statements of Operations. We had no equity securities at fair value during the same periods in 2025.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ACL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portfolio segment for the three months ended June 30,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60,035</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61,157</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56,313</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six months ended June 30,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59,379</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25,890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61,157</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zero and $0.005 million of government guaranteed loans at June 30, 2025 and December 31, 2024, respectively.</w:t>
      </w:r>
    </w:p>
    <w:p>
      <w:pPr>
        <w:ind w:left="320" w:hanging="317"/>
        <w:spacing w:after="0" w:line="266" w:lineRule="auto"/>
        <w:tabs>
          <w:tab w:leader="none" w:pos="3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$2.249 million and $1.785 million of government guaranteed loans at June 30, 2025 and December 31, 2024,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specific allocations of the ACL.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Collateral Type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6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Estate</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Other (1)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58"/>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700" w:right="2520" w:hanging="5697"/>
        <w:spacing w:after="0" w:line="698" w:lineRule="auto"/>
        <w:tabs>
          <w:tab w:leader="none" w:pos="2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industrial loan collateral generally includes machinery and equipment, accounts receivable, and inventory.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1,101,053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1,101,053</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967,028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967,028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882,760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886,296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296,990</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169,143</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145,835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147,621</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28,310</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271,595</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204,978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206,045</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89,817</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90,286</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4,151,240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4,164,367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1,001,197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1,001,329</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936,035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875,551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292,893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299,142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176,621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176,950</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133,947</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264,341</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224,537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95,857</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4,025,926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13,352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June 30, 2025 there were no loans modified to a borrower experiencing financial difficulty.</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six months ended June 30, 2025 there were two mortgage - 1-4 family owner occupied - non-jumbo loans modified to borrowers experiencing financial difficulty totaling $0.11 million (0.1% of the total loan class). Both of the loan modifications to borrowers experiencing financial difficulty during the six months ended June 30, 2025 related to term extensions and added a weighted average 11.5 years to the life of the loans. One of the loans modified during the six months ended June 30, 2025 also received a 4.75% interest rate reduction. Both of the loans modified during the six months ended June 30, 2025 were on non-accrual status.</w:t>
      </w:r>
    </w:p>
    <w:p>
      <w:pPr>
        <w:spacing w:after="0" w:line="3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June 30, 2024 there were two mortgage - 1-4 family owner occupied - non-jumbo loans modified to borrowers experiencing financial difficulty totaling $0.13 million (0.1% of the total loan class). Both of the modifications during the three months ended June 30, 2024 related to term extensions and added a weighted average 12.6 years to the life of the loans.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2024 there were four mortgage - 1-4 family owner occupied - non-jumbo loans, one mortgage 1-4 family - 2nd lien loan, and one installment - other loan modified to borrowers experiencing financial difficulty totaling $0.43 million (0.1% of the total loan class), $0.07 million (0.1% of the total loan class), and $0.01 million (0.1% of the total loan class), respectively. All of the loan modifications to borrowers experiencing financial difficulty during the six months ended June 30, 2024 related to term extensions and added a weighted average 7.7 years to the life of the loans. All of the loans modified during the six months ended June 30, 2024 were on non-accrual status.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2025, none of the loans that were modified to borrowers experiencing financial difficulty within the past 12 months have subsequently defaulted.</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5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June 30,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282,440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1,063,265</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27,019</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10,769</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86,538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156,275</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209,394</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161,609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72,819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185,589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55,234</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927,458</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23,327</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157,599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224,839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178,289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191,579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55,234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967,028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1,990,723</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50,346</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27,012</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2,068,081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2024</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2020</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183,261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955,973</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13,570</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1,001,329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153,321</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75,053</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166,966</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72,879</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896,732</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38,486</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169,328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936,035</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1,852,705</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70,218</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June 30,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4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157,365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460,804</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64,049</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886,296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48,645</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121,343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107,778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24,252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296,990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92,703</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28,602</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201"/>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6"/>
        </w:trPr>
        <w:tc>
          <w:tcPr>
            <w:tcW w:w="3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169,143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15,310</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14,810</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59,229</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82,015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64,654</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265,064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755,741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303,723</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129,786</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22,022</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1,528,360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472,315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333,112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875,551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119,072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68,860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31,345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47,561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299,142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94,634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48,867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176,950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12,245</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14,301</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133,947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58,852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17,208</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1,516,726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149,157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62,252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271,595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102,415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60,480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61,086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42,289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90,286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82,680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285,023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134,750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93"/>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78,646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120,477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110,584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117,131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567,926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color w:val="auto"/>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147,355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55,347</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14,847</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45,533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49,513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264,341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111,161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15,634</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67,126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224,537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780" w:type="dxa"/>
            <w:vAlign w:val="bottom"/>
          </w:tcPr>
          <w:p>
            <w:pPr>
              <w:jc w:val="center"/>
              <w:ind w:right="143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294,811</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136,169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47,056</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94"/>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3"/>
        </w:trPr>
        <w:tc>
          <w:tcPr>
            <w:tcW w:w="2780" w:type="dxa"/>
            <w:vAlign w:val="bottom"/>
          </w:tcPr>
          <w:p>
            <w:pPr>
              <w:jc w:val="center"/>
              <w:ind w:right="147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89,458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134,165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122,919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584,735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net on our interim Condensed Consolidated Statements of Financial Condition totaled $0.4 million and $0.9 million at June 30, 2025 and December 31, 2024, respectively. Retail mortgage loans secured by residential real estate properties for which formal foreclosure proceedings are in process according to local requirements totaled $2.7 million and $2.0 million at June 30,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six month periods ended June 30, 2025, we sold $6.7 million and $15.4 million, respectively, of portfolio residential mortgage loans servicing</w:t>
      </w:r>
    </w:p>
    <w:p>
      <w:pPr>
        <w:spacing w:after="0" w:line="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 xml:space="preserve">retained and recognized a gain on sale of $0.08 million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$0.30 million, respectively. During the three and six month periods ended June 30, 2024, we sold $1.4 million and $8.1 million, respectively, of portfolio residential mortgage loans servicing retained and recognized a gain on sale of $0.02 million and $0.13 million, respectively. These transactions were done primarily for asset/liability management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17, 2024, our Board of Directors authorized a share repurchase plan (the “Repurchase Plan”) to buy back up to 1,100,000 shares of our outstanding common stock through December 31, 2025.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and six month periods ended June 30, 2025 we repurchased 251,183 and 252,276 shares of common stock, respectively for an aggregate purchase price of $7.32 million and $7.36 million, respectively. During the six month period ended June 30, 2024 there were no shares of common stock repurchased.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140" w:type="dxa"/>
            <w:vAlign w:val="bottom"/>
            <w:gridSpan w:val="6"/>
          </w:tcPr>
          <w:p>
            <w:pPr>
              <w:ind w:left="80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Pr>
          <w:p>
            <w:pPr>
              <w:spacing w:after="0"/>
              <w:rPr>
                <w:sz w:val="17"/>
                <w:szCs w:val="17"/>
                <w:color w:val="auto"/>
              </w:rPr>
            </w:pPr>
          </w:p>
        </w:tc>
        <w:tc>
          <w:tcPr>
            <w:tcW w:w="254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June 30,</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June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gridSpan w:val="5"/>
          </w:tcPr>
          <w:p>
            <w:pPr>
              <w:ind w:left="400"/>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16,877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32,467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20,889</w:t>
            </w:r>
          </w:p>
        </w:tc>
        <w:tc>
          <w:tcPr>
            <w:tcW w:w="0" w:type="dxa"/>
            <w:vAlign w:val="bottom"/>
          </w:tcPr>
          <w:p>
            <w:pPr>
              <w:spacing w:after="0"/>
              <w:rPr>
                <w:sz w:val="1"/>
                <w:szCs w:val="1"/>
                <w:color w:val="auto"/>
              </w:rPr>
            </w:pPr>
          </w:p>
        </w:tc>
      </w:tr>
      <w:tr>
        <w:trPr>
          <w:trHeight w:val="177"/>
        </w:trPr>
        <w:tc>
          <w:tcPr>
            <w:tcW w:w="504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Stock units for deferred compensation plan for non-employee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Performance share units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Effect of stock options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320"/>
              <w:spacing w:after="0" w:line="157" w:lineRule="exact"/>
              <w:rPr>
                <w:sz w:val="20"/>
                <w:szCs w:val="20"/>
                <w:color w:val="auto"/>
              </w:rPr>
            </w:pPr>
            <w:r>
              <w:rPr>
                <w:rFonts w:ascii="Times New Roman" w:cs="Times New Roman" w:eastAsia="Times New Roman" w:hAnsi="Times New Roman"/>
                <w:sz w:val="17"/>
                <w:szCs w:val="17"/>
                <w:color w:val="auto"/>
              </w:rPr>
              <w:t>Weighted average shares outstanding for calculation of diluted</w:t>
            </w:r>
          </w:p>
        </w:tc>
        <w:tc>
          <w:tcPr>
            <w:tcW w:w="9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20,946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21,092</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earnings per share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(1)</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and six month periods ended June 30, 2025 and 2024, respectively.</w:t>
      </w: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are required to record derivatives on our interim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June 30, 2025</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5,446</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422,311</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2.9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606,325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606,325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1,279,862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13,265</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442,512</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cap agreements - short-term funding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2"/>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3,954</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538,053</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1,108,683</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interim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interim Condensed Consolidated Statements of Financial Condition to reflect the then current fair values of both the Fair Value Hedge – Portfolio Loans and the hedged items. The related gains or losses are reported in interest income – interest and fees on loans in our interim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9"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interim Condensed Consolidated Statements of Financial Condition. The hedged items (fixed rate securities available for sale) are also recorded at fair value which offsets the adjustment to the Fair Value Hedge – AFS Securities. On an ongoing basis, we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adjust our interim Condensed Consolidated Statements of Financial Condition to reflect the then current fair value of both the Fair Value Hedge – AFS Securities and the hedged item. The related gains or losses are reported in interest income – interest on securities – tax-exempt in our interim Condensed Consolidated Statements of Operations.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first quarter of 2024, we had entered into a pay-variable interest rate swap, whereby the counterparty owned the right to cancel the trade, to protect a portion of the fair value of a certain Federal Home Loan Bank ("FHLB") advance (‘‘Fair Value Hedge – FHLB Advance’’). As a result, changes in the fair value of the pay-variable interest rate swap was expected to offset changes in the fair value of the fixed rate FHLB advance due to fluctuations in interest rates. We recorded the fair value of the Fair Value Hedge – FHLB Advance in accrued income and other assets and accrued expenses and other liabilities on our interim Condensed Consolidated Statements of Financial Condition. The hedged item (a fixed rate FHLB advance callable at our option) was also recorded at fair value which offset the adjustment to the Fair Value Hedge – FHLB Advance. On an ongoing basis, we adjusted our interim Condensed Consolidated Statements of Financial Condition to reflect the then current fair values of both the Fair Value Hedge – FHLB Advance and the hedged item. The related gains or losses were reported in interest expense – other borrowings and subordinated debt and debentures in our interim Condensed Consolidated Statements of Operations. During the second quarter of 2024, the Fair Value Hedge - FHLB Advance was canceled. The fair value at the cancel date was zero.</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interim Condensed Consolidated Statements of Financial Condition. The changes in the fair value of Cash Flow Hedge - Portfolio Loans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136"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have entered into an interest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interim Condensed Consolidated Statements of Financial Condition. The changes in the fair value of Cash Flow Hedge - Short-term Funding Liabilities are recorded in accumulated other comprehensive loss and are reclassified into the line item in our interim Condensed Consolidated Statements of Operations in which the hedged items are recorded in the same period the hedged items affect earnings.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Cash Flow Hedges, it is anticipated that as of June 30, 2025, $1.5 million will be reclassified from accumulated other comprehensive loss as a reduction to earnings over the next twelve months. The maximum term of any Cash Flow Hedge at June 30, 2025 is 3.7 years.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interim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interim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interim Condensed Consolidated Statements of Operations. All of the interest rate swap agreements - commercial with no hedge designation in the table above relate to this program.</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interim Condensed Consolidated Statements of Financial Condition for the periods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20" w:type="dxa"/>
            <w:vAlign w:val="bottom"/>
          </w:tcPr>
          <w:p>
            <w:pPr>
              <w:spacing w:after="0"/>
              <w:rPr>
                <w:sz w:val="14"/>
                <w:szCs w:val="14"/>
                <w:color w:val="auto"/>
              </w:rPr>
            </w:pPr>
          </w:p>
        </w:tc>
        <w:tc>
          <w:tcPr>
            <w:tcW w:w="1380" w:type="dxa"/>
            <w:vAlign w:val="bottom"/>
            <w:gridSpan w:val="3"/>
          </w:tcPr>
          <w:p>
            <w:pPr>
              <w:ind w:left="780"/>
              <w:spacing w:after="0" w:line="170" w:lineRule="exact"/>
              <w:rPr>
                <w:sz w:val="20"/>
                <w:szCs w:val="20"/>
                <w:color w:val="auto"/>
              </w:rPr>
            </w:pPr>
            <w:r>
              <w:rPr>
                <w:rFonts w:ascii="Times New Roman" w:cs="Times New Roman" w:eastAsia="Times New Roman" w:hAnsi="Times New Roman"/>
                <w:sz w:val="17"/>
                <w:szCs w:val="17"/>
                <w:color w:val="auto"/>
              </w:rPr>
              <w:t>June 30,</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right"/>
              <w:ind w:right="474"/>
              <w:spacing w:after="0" w:line="170"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4"/>
                <w:szCs w:val="14"/>
                <w:color w:val="auto"/>
              </w:rPr>
            </w:pPr>
          </w:p>
        </w:tc>
        <w:tc>
          <w:tcPr>
            <w:tcW w:w="1380" w:type="dxa"/>
            <w:vAlign w:val="bottom"/>
            <w:gridSpan w:val="3"/>
          </w:tcPr>
          <w:p>
            <w:pPr>
              <w:ind w:left="760"/>
              <w:spacing w:after="0" w:line="170" w:lineRule="exact"/>
              <w:rPr>
                <w:sz w:val="20"/>
                <w:szCs w:val="20"/>
                <w:color w:val="auto"/>
              </w:rPr>
            </w:pPr>
            <w:r>
              <w:rPr>
                <w:rFonts w:ascii="Times New Roman" w:cs="Times New Roman" w:eastAsia="Times New Roman" w:hAnsi="Times New Roman"/>
                <w:sz w:val="17"/>
                <w:szCs w:val="17"/>
                <w:color w:val="auto"/>
              </w:rPr>
              <w:t>June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580"/>
              <w:spacing w:after="0" w:line="170"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9"/>
              </w:rPr>
              <w:t>2025</w:t>
            </w: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9"/>
              </w:rPr>
              <w:t>2024</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520" w:type="dxa"/>
            <w:vAlign w:val="bottom"/>
          </w:tcPr>
          <w:p>
            <w:pPr>
              <w:spacing w:after="0"/>
              <w:rPr>
                <w:sz w:val="14"/>
                <w:szCs w:val="14"/>
                <w:color w:val="auto"/>
              </w:rPr>
            </w:pPr>
          </w:p>
        </w:tc>
        <w:tc>
          <w:tcPr>
            <w:tcW w:w="880" w:type="dxa"/>
            <w:vAlign w:val="bottom"/>
          </w:tcPr>
          <w:p>
            <w:pPr>
              <w:jc w:val="center"/>
              <w:ind w:left="54"/>
              <w:spacing w:after="0" w:line="170"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70"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70"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70"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880" w:type="dxa"/>
            <w:vAlign w:val="bottom"/>
          </w:tcPr>
          <w:p>
            <w:pPr>
              <w:jc w:val="center"/>
              <w:ind w:left="5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72"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8"/>
              </w:rPr>
              <w:t>Value</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8"/>
              </w:rPr>
              <w:t>Value</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5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77"/>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8,456</w:t>
            </w:r>
          </w:p>
        </w:tc>
        <w:tc>
          <w:tcPr>
            <w:tcW w:w="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10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9,999</w:t>
            </w:r>
          </w:p>
        </w:tc>
        <w:tc>
          <w:tcPr>
            <w:tcW w:w="1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18,826</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18,273</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34,191</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effect of derivative financial instruments on the interim Condensed Consolidated Statements of Operations follows: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32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3"/>
              <w:spacing w:after="0"/>
              <w:rPr>
                <w:sz w:val="20"/>
                <w:szCs w:val="20"/>
                <w:color w:val="auto"/>
              </w:rPr>
            </w:pPr>
            <w:r>
              <w:rPr>
                <w:rFonts w:ascii="Times New Roman" w:cs="Times New Roman" w:eastAsia="Times New Roman" w:hAnsi="Times New Roman"/>
                <w:sz w:val="15"/>
                <w:szCs w:val="15"/>
                <w:color w:val="auto"/>
              </w:rPr>
              <w:t>Loss Reclassified from</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left="423"/>
              <w:spacing w:after="0" w:line="155" w:lineRule="exact"/>
              <w:rPr>
                <w:sz w:val="20"/>
                <w:szCs w:val="20"/>
                <w:color w:val="auto"/>
              </w:rPr>
            </w:pPr>
            <w:r>
              <w:rPr>
                <w:rFonts w:ascii="Times New Roman" w:cs="Times New Roman" w:eastAsia="Times New Roman" w:hAnsi="Times New Roman"/>
                <w:sz w:val="15"/>
                <w:szCs w:val="15"/>
                <w:color w:val="auto"/>
                <w:w w:val="99"/>
              </w:rPr>
              <w:t>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3"/>
              <w:spacing w:after="0"/>
              <w:rPr>
                <w:sz w:val="20"/>
                <w:szCs w:val="20"/>
                <w:color w:val="auto"/>
              </w:rPr>
            </w:pPr>
            <w:r>
              <w:rPr>
                <w:rFonts w:ascii="Times New Roman" w:cs="Times New Roman" w:eastAsia="Times New Roman" w:hAnsi="Times New Roman"/>
                <w:sz w:val="15"/>
                <w:szCs w:val="15"/>
                <w:color w:val="auto"/>
              </w:rPr>
              <w:t>(loss) (Effective Portion)</w:t>
            </w:r>
          </w:p>
        </w:tc>
        <w:tc>
          <w:tcPr>
            <w:tcW w:w="180" w:type="dxa"/>
            <w:vAlign w:val="bottom"/>
          </w:tcPr>
          <w:p>
            <w:pPr>
              <w:spacing w:after="0"/>
              <w:rPr>
                <w:sz w:val="17"/>
                <w:szCs w:val="17"/>
                <w:color w:val="auto"/>
              </w:rPr>
            </w:pPr>
          </w:p>
        </w:tc>
        <w:tc>
          <w:tcPr>
            <w:tcW w:w="1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color w:val="auto"/>
              </w:rPr>
              <w:t>Location of Loss</w:t>
            </w:r>
          </w:p>
        </w:tc>
        <w:tc>
          <w:tcPr>
            <w:tcW w:w="1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vMerge w:val="restart"/>
          </w:tcPr>
          <w:p>
            <w:pPr>
              <w:jc w:val="center"/>
              <w:ind w:right="3"/>
              <w:spacing w:after="0"/>
              <w:rPr>
                <w:sz w:val="20"/>
                <w:szCs w:val="20"/>
                <w:color w:val="auto"/>
              </w:rPr>
            </w:pPr>
            <w:r>
              <w:rPr>
                <w:rFonts w:ascii="Times New Roman" w:cs="Times New Roman" w:eastAsia="Times New Roman" w:hAnsi="Times New Roman"/>
                <w:sz w:val="15"/>
                <w:szCs w:val="15"/>
                <w:color w:val="auto"/>
              </w:rPr>
              <w:t>Three Month</w:t>
            </w:r>
          </w:p>
        </w:tc>
        <w:tc>
          <w:tcPr>
            <w:tcW w:w="180" w:type="dxa"/>
            <w:vAlign w:val="bottom"/>
          </w:tcPr>
          <w:p>
            <w:pPr>
              <w:spacing w:after="0"/>
              <w:rPr>
                <w:sz w:val="13"/>
                <w:szCs w:val="13"/>
                <w:color w:val="auto"/>
              </w:rPr>
            </w:pPr>
          </w:p>
        </w:tc>
        <w:tc>
          <w:tcPr>
            <w:tcW w:w="16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00" w:type="dxa"/>
            <w:vAlign w:val="bottom"/>
          </w:tcPr>
          <w:p>
            <w:pPr>
              <w:spacing w:after="0"/>
              <w:rPr>
                <w:sz w:val="13"/>
                <w:szCs w:val="13"/>
                <w:color w:val="auto"/>
              </w:rPr>
            </w:pPr>
          </w:p>
        </w:tc>
        <w:tc>
          <w:tcPr>
            <w:tcW w:w="166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Three Month</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0" w:type="dxa"/>
            <w:vAlign w:val="bottom"/>
          </w:tcPr>
          <w:p>
            <w:pPr>
              <w:spacing w:after="0"/>
              <w:rPr>
                <w:sz w:val="1"/>
                <w:szCs w:val="1"/>
                <w:color w:val="auto"/>
              </w:rPr>
            </w:pPr>
          </w:p>
        </w:tc>
      </w:tr>
      <w:tr>
        <w:trPr>
          <w:trHeight w:val="103"/>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1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03"/>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vMerge w:val="restart"/>
          </w:tcPr>
          <w:p>
            <w:pPr>
              <w:jc w:val="center"/>
              <w:ind w:left="403"/>
              <w:spacing w:after="0"/>
              <w:rPr>
                <w:sz w:val="20"/>
                <w:szCs w:val="20"/>
                <w:color w:val="auto"/>
              </w:rPr>
            </w:pPr>
            <w:r>
              <w:rPr>
                <w:rFonts w:ascii="Times New Roman" w:cs="Times New Roman" w:eastAsia="Times New Roman" w:hAnsi="Times New Roman"/>
                <w:sz w:val="15"/>
                <w:szCs w:val="15"/>
                <w:color w:val="auto"/>
              </w:rPr>
              <w:t>June 30,</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3"/>
            <w:vMerge w:val="restart"/>
          </w:tcPr>
          <w:p>
            <w:pPr>
              <w:jc w:val="center"/>
              <w:ind w:left="403"/>
              <w:spacing w:after="0"/>
              <w:rPr>
                <w:sz w:val="20"/>
                <w:szCs w:val="20"/>
                <w:color w:val="auto"/>
              </w:rPr>
            </w:pPr>
            <w:r>
              <w:rPr>
                <w:rFonts w:ascii="Times New Roman" w:cs="Times New Roman" w:eastAsia="Times New Roman" w:hAnsi="Times New Roman"/>
                <w:sz w:val="15"/>
                <w:szCs w:val="15"/>
                <w:color w:val="auto"/>
              </w:rPr>
              <w:t>June 30,</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2"/>
            <w:vMerge w:val="restart"/>
          </w:tcPr>
          <w:p>
            <w:pPr>
              <w:jc w:val="center"/>
              <w:ind w:right="16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38"/>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2025</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Portion)</w:t>
            </w: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Fair Value Hedges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 - commercial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155"/>
        </w:trPr>
        <w:tc>
          <w:tcPr>
            <w:tcW w:w="232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agreements - securities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available for sale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Installment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Mortgage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0" w:type="dxa"/>
            <w:vAlign w:val="bottom"/>
          </w:tcPr>
          <w:p>
            <w:pPr>
              <w:spacing w:after="0"/>
              <w:rPr>
                <w:sz w:val="1"/>
                <w:szCs w:val="1"/>
                <w:color w:val="auto"/>
              </w:rPr>
            </w:pPr>
          </w:p>
        </w:tc>
      </w:tr>
      <w:tr>
        <w:trPr>
          <w:trHeight w:val="155"/>
        </w:trPr>
        <w:tc>
          <w:tcPr>
            <w:tcW w:w="232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agreements - FHLB Advance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160"/>
              <w:spacing w:after="0" w:line="155" w:lineRule="exact"/>
              <w:rPr>
                <w:sz w:val="20"/>
                <w:szCs w:val="20"/>
                <w:color w:val="auto"/>
              </w:rPr>
            </w:pPr>
            <w:r>
              <w:rPr>
                <w:rFonts w:ascii="Times New Roman" w:cs="Times New Roman" w:eastAsia="Times New Roman" w:hAnsi="Times New Roman"/>
                <w:sz w:val="15"/>
                <w:szCs w:val="15"/>
                <w:color w:val="auto"/>
              </w:rPr>
              <w:t>subordinated debt</w:t>
            </w: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and debentures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auto"/>
              </w:rPr>
              <w:t>(85)</w:t>
            </w:r>
          </w:p>
        </w:tc>
        <w:tc>
          <w:tcPr>
            <w:tcW w:w="16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4"/>
                <w:szCs w:val="14"/>
                <w:color w:val="auto"/>
              </w:rPr>
            </w:pPr>
          </w:p>
        </w:tc>
        <w:tc>
          <w:tcPr>
            <w:tcW w:w="164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6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205"/>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5"/>
                <w:szCs w:val="15"/>
                <w:color w:val="auto"/>
              </w:rPr>
              <w:t>(85)</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 Hedges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rPr>
              <w:t>385</w:t>
            </w:r>
          </w:p>
        </w:tc>
        <w:tc>
          <w:tcPr>
            <w:tcW w:w="16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80" w:type="dxa"/>
            <w:vAlign w:val="bottom"/>
          </w:tcPr>
          <w:p>
            <w:pPr>
              <w:spacing w:after="0"/>
              <w:rPr>
                <w:sz w:val="14"/>
                <w:szCs w:val="14"/>
                <w:color w:val="auto"/>
              </w:rPr>
            </w:pPr>
          </w:p>
        </w:tc>
        <w:tc>
          <w:tcPr>
            <w:tcW w:w="164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60" w:type="dxa"/>
            <w:vAlign w:val="bottom"/>
          </w:tcPr>
          <w:p>
            <w:pPr>
              <w:spacing w:after="0"/>
              <w:rPr>
                <w:sz w:val="14"/>
                <w:szCs w:val="14"/>
                <w:color w:val="auto"/>
              </w:rPr>
            </w:pPr>
          </w:p>
        </w:tc>
        <w:tc>
          <w:tcPr>
            <w:tcW w:w="22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w:t>
            </w:r>
          </w:p>
        </w:tc>
        <w:tc>
          <w:tcPr>
            <w:tcW w:w="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00" w:type="dxa"/>
            <w:vAlign w:val="bottom"/>
          </w:tcPr>
          <w:p>
            <w:pPr>
              <w:spacing w:after="0"/>
              <w:rPr>
                <w:sz w:val="14"/>
                <w:szCs w:val="14"/>
                <w:color w:val="auto"/>
              </w:rPr>
            </w:pP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auto"/>
              </w:rPr>
              <w:t>(69)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short-term funding liabilities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316</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 hedge designation</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Rate-lock mortgage loan</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commitments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mortgage loans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32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3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-4072890</wp:posOffset>
            </wp:positionV>
            <wp:extent cx="7138670" cy="13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-3712210</wp:posOffset>
            </wp:positionV>
            <wp:extent cx="7138670" cy="327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-3155950</wp:posOffset>
            </wp:positionV>
            <wp:extent cx="7138670" cy="229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-2500630</wp:posOffset>
            </wp:positionV>
            <wp:extent cx="7138670" cy="229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-2115820</wp:posOffset>
            </wp:positionV>
            <wp:extent cx="7138670" cy="163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-1821180</wp:posOffset>
            </wp:positionV>
            <wp:extent cx="7138670" cy="229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-1362710</wp:posOffset>
            </wp:positionV>
            <wp:extent cx="7138670" cy="155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-1043940</wp:posOffset>
            </wp:positionV>
            <wp:extent cx="7138670" cy="1308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7138670" cy="229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138670" cy="229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Gain (Loss)</w:t>
      </w:r>
    </w:p>
    <w:p>
      <w:pPr>
        <w:jc w:val="center"/>
        <w:spacing w:after="0" w:line="215" w:lineRule="auto"/>
        <w:rPr>
          <w:sz w:val="20"/>
          <w:szCs w:val="20"/>
          <w:color w:val="auto"/>
        </w:rPr>
      </w:pPr>
      <w:r>
        <w:rPr>
          <w:rFonts w:ascii="Times New Roman" w:cs="Times New Roman" w:eastAsia="Times New Roman" w:hAnsi="Times New Roman"/>
          <w:sz w:val="15"/>
          <w:szCs w:val="15"/>
          <w:color w:val="auto"/>
        </w:rPr>
        <w:t>Recognized</w:t>
      </w:r>
    </w:p>
    <w:p>
      <w:pPr>
        <w:jc w:val="center"/>
        <w:spacing w:after="0"/>
        <w:rPr>
          <w:sz w:val="20"/>
          <w:szCs w:val="20"/>
          <w:color w:val="auto"/>
        </w:rPr>
      </w:pPr>
      <w:r>
        <w:rPr>
          <w:rFonts w:ascii="Times New Roman" w:cs="Times New Roman" w:eastAsia="Times New Roman" w:hAnsi="Times New Roman"/>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0807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Three Month</w:t>
      </w:r>
    </w:p>
    <w:p>
      <w:pPr>
        <w:jc w:val="center"/>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spacing w:after="0"/>
        <w:rPr>
          <w:sz w:val="20"/>
          <w:szCs w:val="20"/>
          <w:color w:val="auto"/>
        </w:rPr>
      </w:pPr>
      <w:r>
        <w:rPr>
          <w:rFonts w:ascii="Times New Roman" w:cs="Times New Roman" w:eastAsia="Times New Roman" w:hAnsi="Times New Roman"/>
          <w:sz w:val="15"/>
          <w:szCs w:val="15"/>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0807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49" w:lineRule="exact"/>
        <w:rPr>
          <w:sz w:val="20"/>
          <w:szCs w:val="20"/>
          <w:color w:val="auto"/>
        </w:rPr>
      </w:pPr>
    </w:p>
    <w:p>
      <w:pPr>
        <w:ind w:left="260"/>
        <w:spacing w:after="0"/>
        <w:tabs>
          <w:tab w:leader="none" w:pos="1140" w:val="left"/>
        </w:tabs>
        <w:rPr>
          <w:sz w:val="20"/>
          <w:szCs w:val="20"/>
          <w:color w:val="auto"/>
        </w:rPr>
      </w:pPr>
      <w:r>
        <w:rPr>
          <w:rFonts w:ascii="Times New Roman" w:cs="Times New Roman" w:eastAsia="Times New Roman" w:hAnsi="Times New Roman"/>
          <w:sz w:val="15"/>
          <w:szCs w:val="15"/>
          <w:color w:val="auto"/>
        </w:rPr>
        <w:t>2025</w:t>
      </w:r>
      <w:r>
        <w:rPr>
          <w:sz w:val="20"/>
          <w:szCs w:val="20"/>
          <w:color w:val="auto"/>
        </w:rPr>
        <w:tab/>
      </w:r>
      <w:r>
        <w:rPr>
          <w:rFonts w:ascii="Times New Roman" w:cs="Times New Roman" w:eastAsia="Times New Roman" w:hAnsi="Times New Roman"/>
          <w:sz w:val="15"/>
          <w:szCs w:val="15"/>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0807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(In thousands)</w:t>
      </w:r>
    </w:p>
    <w:p>
      <w:pPr>
        <w:spacing w:after="0" w:line="395" w:lineRule="exact"/>
        <w:rPr>
          <w:sz w:val="20"/>
          <w:szCs w:val="20"/>
          <w:color w:val="auto"/>
        </w:rPr>
      </w:pPr>
    </w:p>
    <w:p>
      <w:pPr>
        <w:ind w:left="20"/>
        <w:spacing w:after="0"/>
        <w:tabs>
          <w:tab w:leader="none" w:pos="520" w:val="left"/>
          <w:tab w:leader="none" w:pos="148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(62)  $</w:t>
      </w:r>
      <w:r>
        <w:rPr>
          <w:sz w:val="20"/>
          <w:szCs w:val="20"/>
          <w:color w:val="auto"/>
        </w:rPr>
        <w:tab/>
      </w:r>
      <w:r>
        <w:rPr>
          <w:rFonts w:ascii="Times New Roman" w:cs="Times New Roman" w:eastAsia="Times New Roman" w:hAnsi="Times New Roman"/>
          <w:sz w:val="15"/>
          <w:szCs w:val="15"/>
          <w:color w:val="auto"/>
        </w:rPr>
        <w:t>(5)</w:t>
      </w:r>
    </w:p>
    <w:p>
      <w:pPr>
        <w:spacing w:after="0" w:line="343" w:lineRule="exact"/>
        <w:rPr>
          <w:sz w:val="20"/>
          <w:szCs w:val="20"/>
          <w:color w:val="auto"/>
        </w:rPr>
      </w:pPr>
    </w:p>
    <w:p>
      <w:pPr>
        <w:ind w:left="360"/>
        <w:spacing w:after="0"/>
        <w:tabs>
          <w:tab w:leader="none" w:pos="1320" w:val="left"/>
        </w:tabs>
        <w:rPr>
          <w:sz w:val="20"/>
          <w:szCs w:val="20"/>
          <w:color w:val="auto"/>
        </w:rPr>
      </w:pPr>
      <w:r>
        <w:rPr>
          <w:rFonts w:ascii="Times New Roman" w:cs="Times New Roman" w:eastAsia="Times New Roman" w:hAnsi="Times New Roman"/>
          <w:sz w:val="15"/>
          <w:szCs w:val="15"/>
          <w:color w:val="auto"/>
        </w:rPr>
        <w:t>(1,797)</w:t>
      </w:r>
      <w:r>
        <w:rPr>
          <w:sz w:val="20"/>
          <w:szCs w:val="20"/>
          <w:color w:val="auto"/>
        </w:rPr>
        <w:tab/>
      </w:r>
      <w:r>
        <w:rPr>
          <w:rFonts w:ascii="Times New Roman" w:cs="Times New Roman" w:eastAsia="Times New Roman" w:hAnsi="Times New Roman"/>
          <w:sz w:val="15"/>
          <w:szCs w:val="15"/>
          <w:color w:val="auto"/>
        </w:rPr>
        <w:t>(694)</w:t>
      </w:r>
    </w:p>
    <w:p>
      <w:pPr>
        <w:spacing w:after="0" w:line="188" w:lineRule="exact"/>
        <w:rPr>
          <w:sz w:val="20"/>
          <w:szCs w:val="20"/>
          <w:color w:val="auto"/>
        </w:rPr>
      </w:pPr>
    </w:p>
    <w:p>
      <w:pPr>
        <w:ind w:left="1400" w:hanging="933"/>
        <w:spacing w:after="0"/>
        <w:tabs>
          <w:tab w:leader="none" w:pos="14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220</w:t>
      </w:r>
    </w:p>
    <w:p>
      <w:pPr>
        <w:spacing w:after="0" w:line="188" w:lineRule="exact"/>
        <w:rPr>
          <w:sz w:val="20"/>
          <w:szCs w:val="20"/>
          <w:color w:val="auto"/>
        </w:rPr>
      </w:pPr>
    </w:p>
    <w:p>
      <w:pPr>
        <w:ind w:left="1400" w:hanging="933"/>
        <w:spacing w:after="0"/>
        <w:tabs>
          <w:tab w:leader="none" w:pos="14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290</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364"/>
        </w:trPr>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9"/>
        </w:trPr>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8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787"/>
        </w:trPr>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364"/>
        </w:trPr>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787"/>
        </w:trPr>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r>
    </w:tbl>
    <w:p>
      <w:pPr>
        <w:spacing w:after="0" w:line="161" w:lineRule="exact"/>
        <w:rPr>
          <w:sz w:val="20"/>
          <w:szCs w:val="20"/>
          <w:color w:val="auto"/>
        </w:rPr>
      </w:pPr>
    </w:p>
    <w:p>
      <w:pPr>
        <w:ind w:left="1400" w:hanging="933"/>
        <w:spacing w:after="0"/>
        <w:tabs>
          <w:tab w:leader="none" w:pos="14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197</w:t>
      </w:r>
    </w:p>
    <w:p>
      <w:pPr>
        <w:spacing w:after="0" w:line="188" w:lineRule="exact"/>
        <w:rPr>
          <w:rFonts w:ascii="Times New Roman" w:cs="Times New Roman" w:eastAsia="Times New Roman" w:hAnsi="Times New Roman"/>
          <w:sz w:val="15"/>
          <w:szCs w:val="15"/>
          <w:color w:val="auto"/>
        </w:rPr>
      </w:pPr>
    </w:p>
    <w:p>
      <w:pPr>
        <w:ind w:left="3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(5,593)579</w:t>
      </w:r>
    </w:p>
    <w:p>
      <w:pPr>
        <w:spacing w:after="0" w:line="188" w:lineRule="exact"/>
        <w:rPr>
          <w:sz w:val="20"/>
          <w:szCs w:val="20"/>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5"/>
          <w:szCs w:val="15"/>
          <w:color w:val="auto"/>
        </w:rPr>
        <w:t>5,593</w:t>
      </w:r>
      <w:r>
        <w:rPr>
          <w:sz w:val="20"/>
          <w:szCs w:val="20"/>
          <w:color w:val="auto"/>
        </w:rPr>
        <w:tab/>
      </w:r>
      <w:r>
        <w:rPr>
          <w:rFonts w:ascii="Times New Roman" w:cs="Times New Roman" w:eastAsia="Times New Roman" w:hAnsi="Times New Roman"/>
          <w:sz w:val="15"/>
          <w:szCs w:val="15"/>
          <w:color w:val="auto"/>
        </w:rPr>
        <w:t>(579)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080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520" w:val="left"/>
          <w:tab w:leader="none" w:pos="14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(98)  $</w:t>
      </w:r>
      <w:r>
        <w:rPr>
          <w:sz w:val="20"/>
          <w:szCs w:val="20"/>
          <w:color w:val="auto"/>
        </w:rPr>
        <w:tab/>
      </w: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08077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0770" cy="33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160"/>
            <w:col w:w="1700"/>
          </w:cols>
          <w:pgMar w:left="320" w:top="11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50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left="42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23"/>
              <w:spacing w:after="0"/>
              <w:rPr>
                <w:sz w:val="20"/>
                <w:szCs w:val="20"/>
                <w:color w:val="auto"/>
              </w:rPr>
            </w:pPr>
            <w:r>
              <w:rPr>
                <w:rFonts w:ascii="Times New Roman" w:cs="Times New Roman" w:eastAsia="Times New Roman" w:hAnsi="Times New Roman"/>
                <w:sz w:val="15"/>
                <w:szCs w:val="15"/>
                <w:color w:val="auto"/>
              </w:rPr>
              <w:t>(loss) (Effective Portion)</w:t>
            </w:r>
          </w:p>
        </w:tc>
        <w:tc>
          <w:tcPr>
            <w:tcW w:w="80" w:type="dxa"/>
            <w:vAlign w:val="bottom"/>
          </w:tcPr>
          <w:p>
            <w:pPr>
              <w:spacing w:after="0"/>
              <w:rPr>
                <w:sz w:val="17"/>
                <w:szCs w:val="17"/>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Location of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Six Month</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Six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restart"/>
          </w:tcPr>
          <w:p>
            <w:pPr>
              <w:jc w:val="center"/>
              <w:ind w:left="423"/>
              <w:spacing w:after="0"/>
              <w:rPr>
                <w:sz w:val="20"/>
                <w:szCs w:val="20"/>
                <w:color w:val="auto"/>
              </w:rPr>
            </w:pPr>
            <w:r>
              <w:rPr>
                <w:rFonts w:ascii="Times New Roman" w:cs="Times New Roman" w:eastAsia="Times New Roman" w:hAnsi="Times New Roman"/>
                <w:sz w:val="15"/>
                <w:szCs w:val="15"/>
                <w:color w:val="auto"/>
              </w:rPr>
              <w:t>June 30,</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left="403"/>
              <w:spacing w:after="0"/>
              <w:rPr>
                <w:sz w:val="20"/>
                <w:szCs w:val="20"/>
                <w:color w:val="auto"/>
              </w:rPr>
            </w:pPr>
            <w:r>
              <w:rPr>
                <w:rFonts w:ascii="Times New Roman" w:cs="Times New Roman" w:eastAsia="Times New Roman" w:hAnsi="Times New Roman"/>
                <w:sz w:val="15"/>
                <w:szCs w:val="15"/>
                <w:color w:val="auto"/>
                <w:w w:val="99"/>
              </w:rPr>
              <w:t>June 30,</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2025</w:t>
            </w: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405"/>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Fair Value Hedges</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 -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155"/>
        </w:trPr>
        <w:tc>
          <w:tcPr>
            <w:tcW w:w="250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 sale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installment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mortgage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expense - other</w:t>
            </w:r>
          </w:p>
        </w:tc>
        <w:tc>
          <w:tcPr>
            <w:tcW w:w="0" w:type="dxa"/>
            <w:vAlign w:val="bottom"/>
          </w:tcPr>
          <w:p>
            <w:pPr>
              <w:spacing w:after="0"/>
              <w:rPr>
                <w:sz w:val="1"/>
                <w:szCs w:val="1"/>
                <w:color w:val="auto"/>
              </w:rPr>
            </w:pPr>
          </w:p>
        </w:tc>
      </w:tr>
      <w:tr>
        <w:trPr>
          <w:trHeight w:val="155"/>
        </w:trPr>
        <w:tc>
          <w:tcPr>
            <w:tcW w:w="250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agreements - FHLB Advance</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color w:val="auto"/>
              </w:rPr>
              <w:t>borrowings and</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color w:val="auto"/>
              </w:rPr>
              <w:t>subordinated debt and</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debentures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Pr>
          <w:p>
            <w:pPr>
              <w:spacing w:after="0"/>
              <w:rPr>
                <w:sz w:val="14"/>
                <w:szCs w:val="14"/>
                <w:color w:val="auto"/>
              </w:rPr>
            </w:pPr>
          </w:p>
        </w:tc>
        <w:tc>
          <w:tcPr>
            <w:tcW w:w="24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60" w:type="dxa"/>
            <w:vAlign w:val="bottom"/>
          </w:tcPr>
          <w:p>
            <w:pPr>
              <w:spacing w:after="0"/>
              <w:rPr>
                <w:sz w:val="14"/>
                <w:szCs w:val="14"/>
                <w:color w:val="auto"/>
              </w:rPr>
            </w:pPr>
          </w:p>
        </w:tc>
        <w:tc>
          <w:tcPr>
            <w:tcW w:w="2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205"/>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securities available for sale</w:t>
            </w: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 Hedges</w:t>
            </w: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1,137</w:t>
            </w:r>
          </w:p>
        </w:tc>
        <w:tc>
          <w:tcPr>
            <w:tcW w:w="80" w:type="dxa"/>
            <w:vAlign w:val="bottom"/>
          </w:tcPr>
          <w:p>
            <w:pPr>
              <w:spacing w:after="0"/>
              <w:rPr>
                <w:sz w:val="14"/>
                <w:szCs w:val="14"/>
                <w:color w:val="auto"/>
              </w:rPr>
            </w:pPr>
          </w:p>
        </w:tc>
        <w:tc>
          <w:tcPr>
            <w:tcW w:w="24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8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60" w:type="dxa"/>
            <w:vAlign w:val="bottom"/>
          </w:tcPr>
          <w:p>
            <w:pPr>
              <w:spacing w:after="0"/>
              <w:rPr>
                <w:sz w:val="14"/>
                <w:szCs w:val="14"/>
                <w:color w:val="auto"/>
              </w:rPr>
            </w:pPr>
          </w:p>
        </w:tc>
        <w:tc>
          <w:tcPr>
            <w:tcW w:w="2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w:t>
            </w: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 short-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term funding liabilities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 hedge designation</w:t>
            </w: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Rate-lock mortgage loan</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commitments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mortgage loans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-4072890</wp:posOffset>
            </wp:positionV>
            <wp:extent cx="7138670" cy="130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-3712210</wp:posOffset>
            </wp:positionV>
            <wp:extent cx="7138670" cy="327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-3155950</wp:posOffset>
            </wp:positionV>
            <wp:extent cx="7138670" cy="229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-2500630</wp:posOffset>
            </wp:positionV>
            <wp:extent cx="7138670" cy="229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-2115820</wp:posOffset>
            </wp:positionV>
            <wp:extent cx="7138670" cy="163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-1821180</wp:posOffset>
            </wp:positionV>
            <wp:extent cx="7138670" cy="229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-1362710</wp:posOffset>
            </wp:positionV>
            <wp:extent cx="7138670" cy="155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-1043940</wp:posOffset>
            </wp:positionV>
            <wp:extent cx="7138670" cy="1308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7138670" cy="229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138670" cy="229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Gain (Loss)</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Recognized</w:t>
      </w:r>
    </w:p>
    <w:p>
      <w:pPr>
        <w:jc w:val="center"/>
        <w:ind w:right="-19"/>
        <w:spacing w:after="0"/>
        <w:rPr>
          <w:sz w:val="20"/>
          <w:szCs w:val="20"/>
          <w:color w:val="auto"/>
        </w:rPr>
      </w:pPr>
      <w:r>
        <w:rPr>
          <w:rFonts w:ascii="Times New Roman" w:cs="Times New Roman" w:eastAsia="Times New Roman" w:hAnsi="Times New Roman"/>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Six Month</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ind w:right="-19"/>
        <w:spacing w:after="0"/>
        <w:rPr>
          <w:sz w:val="20"/>
          <w:szCs w:val="20"/>
          <w:color w:val="auto"/>
        </w:rPr>
      </w:pPr>
      <w:r>
        <w:rPr>
          <w:rFonts w:ascii="Times New Roman" w:cs="Times New Roman" w:eastAsia="Times New Roman" w:hAnsi="Times New Roman"/>
          <w:sz w:val="15"/>
          <w:szCs w:val="15"/>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1180" w:val="left"/>
        </w:tabs>
        <w:rPr>
          <w:sz w:val="20"/>
          <w:szCs w:val="20"/>
          <w:color w:val="auto"/>
        </w:rPr>
      </w:pPr>
      <w:r>
        <w:rPr>
          <w:rFonts w:ascii="Times New Roman" w:cs="Times New Roman" w:eastAsia="Times New Roman" w:hAnsi="Times New Roman"/>
          <w:sz w:val="15"/>
          <w:szCs w:val="15"/>
          <w:color w:val="auto"/>
        </w:rPr>
        <w:t>2025</w:t>
      </w:r>
      <w:r>
        <w:rPr>
          <w:sz w:val="20"/>
          <w:szCs w:val="20"/>
          <w:color w:val="auto"/>
        </w:rPr>
        <w:tab/>
      </w:r>
      <w:r>
        <w:rPr>
          <w:rFonts w:ascii="Times New Roman" w:cs="Times New Roman" w:eastAsia="Times New Roman" w:hAnsi="Times New Roman"/>
          <w:sz w:val="15"/>
          <w:szCs w:val="15"/>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1296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 thousands)</w:t>
      </w:r>
    </w:p>
    <w:p>
      <w:pPr>
        <w:spacing w:after="0" w:line="395" w:lineRule="exact"/>
        <w:rPr>
          <w:sz w:val="20"/>
          <w:szCs w:val="20"/>
          <w:color w:val="auto"/>
        </w:rPr>
      </w:pPr>
    </w:p>
    <w:p>
      <w:pPr>
        <w:ind w:left="20"/>
        <w:spacing w:after="0"/>
        <w:tabs>
          <w:tab w:leader="none" w:pos="480" w:val="left"/>
          <w:tab w:leader="none" w:pos="15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(147)  $</w:t>
      </w:r>
      <w:r>
        <w:rPr>
          <w:sz w:val="20"/>
          <w:szCs w:val="20"/>
          <w:color w:val="auto"/>
        </w:rPr>
        <w:tab/>
      </w:r>
      <w:r>
        <w:rPr>
          <w:rFonts w:ascii="Times New Roman" w:cs="Times New Roman" w:eastAsia="Times New Roman" w:hAnsi="Times New Roman"/>
          <w:sz w:val="15"/>
          <w:szCs w:val="15"/>
          <w:color w:val="auto"/>
        </w:rPr>
        <w:t>74</w:t>
      </w:r>
    </w:p>
    <w:p>
      <w:pPr>
        <w:spacing w:after="0" w:line="343" w:lineRule="exact"/>
        <w:rPr>
          <w:sz w:val="20"/>
          <w:szCs w:val="20"/>
          <w:color w:val="auto"/>
        </w:rPr>
      </w:pPr>
    </w:p>
    <w:p>
      <w:pPr>
        <w:ind w:left="380"/>
        <w:spacing w:after="0"/>
        <w:tabs>
          <w:tab w:leader="none" w:pos="1460" w:val="left"/>
        </w:tabs>
        <w:rPr>
          <w:sz w:val="20"/>
          <w:szCs w:val="20"/>
          <w:color w:val="auto"/>
        </w:rPr>
      </w:pPr>
      <w:r>
        <w:rPr>
          <w:rFonts w:ascii="Times New Roman" w:cs="Times New Roman" w:eastAsia="Times New Roman" w:hAnsi="Times New Roman"/>
          <w:sz w:val="15"/>
          <w:szCs w:val="15"/>
          <w:color w:val="auto"/>
        </w:rPr>
        <w:t>(4,172)</w:t>
      </w:r>
      <w:r>
        <w:rPr>
          <w:sz w:val="20"/>
          <w:szCs w:val="20"/>
          <w:color w:val="auto"/>
        </w:rPr>
        <w:tab/>
      </w:r>
      <w:r>
        <w:rPr>
          <w:rFonts w:ascii="Times New Roman" w:cs="Times New Roman" w:eastAsia="Times New Roman" w:hAnsi="Times New Roman"/>
          <w:sz w:val="15"/>
          <w:szCs w:val="15"/>
          <w:color w:val="auto"/>
        </w:rPr>
        <w:t>854</w:t>
      </w:r>
    </w:p>
    <w:p>
      <w:pPr>
        <w:spacing w:after="0" w:line="188" w:lineRule="exact"/>
        <w:rPr>
          <w:sz w:val="20"/>
          <w:szCs w:val="20"/>
          <w:color w:val="auto"/>
        </w:rPr>
      </w:pPr>
    </w:p>
    <w:p>
      <w:pPr>
        <w:ind w:left="1380" w:hanging="884"/>
        <w:spacing w:after="0"/>
        <w:tabs>
          <w:tab w:leader="none" w:pos="13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1,908</w:t>
      </w:r>
    </w:p>
    <w:p>
      <w:pPr>
        <w:spacing w:after="0" w:line="188"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5"/>
          <w:szCs w:val="15"/>
          <w:color w:val="auto"/>
        </w:rPr>
        <w:t>(1,464)</w:t>
      </w:r>
      <w:r>
        <w:rPr>
          <w:sz w:val="20"/>
          <w:szCs w:val="20"/>
          <w:color w:val="auto"/>
        </w:rPr>
        <w:tab/>
      </w:r>
      <w:r>
        <w:rPr>
          <w:rFonts w:ascii="Times New Roman" w:cs="Times New Roman" w:eastAsia="Times New Roman" w:hAnsi="Times New Roman"/>
          <w:sz w:val="15"/>
          <w:szCs w:val="15"/>
          <w:color w:val="auto"/>
        </w:rPr>
        <w:t>2,292</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64"/>
        </w:trPr>
        <w:tc>
          <w:tcPr>
            <w:tcW w:w="2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99"/>
        </w:trPr>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(6,762)</w:t>
            </w: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5,166</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787"/>
        </w:trPr>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8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r>
      <w:tr>
        <w:trPr>
          <w:trHeight w:val="364"/>
        </w:trPr>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(505)</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787"/>
        </w:trPr>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bl>
    <w:p>
      <w:pPr>
        <w:spacing w:after="0" w:line="161" w:lineRule="exact"/>
        <w:rPr>
          <w:sz w:val="20"/>
          <w:szCs w:val="20"/>
          <w:color w:val="auto"/>
        </w:rPr>
      </w:pPr>
    </w:p>
    <w:p>
      <w:pPr>
        <w:ind w:left="1480" w:hanging="984"/>
        <w:spacing w:after="0"/>
        <w:tabs>
          <w:tab w:leader="none" w:pos="14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426</w:t>
      </w:r>
    </w:p>
    <w:p>
      <w:pPr>
        <w:spacing w:after="0" w:line="188" w:lineRule="exact"/>
        <w:rPr>
          <w:rFonts w:ascii="Times New Roman" w:cs="Times New Roman" w:eastAsia="Times New Roman" w:hAnsi="Times New Roman"/>
          <w:sz w:val="15"/>
          <w:szCs w:val="15"/>
          <w:color w:val="auto"/>
        </w:rPr>
      </w:pP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(14,868)6,549</w:t>
      </w:r>
    </w:p>
    <w:p>
      <w:pPr>
        <w:spacing w:after="0" w:line="188"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5"/>
          <w:szCs w:val="15"/>
          <w:color w:val="auto"/>
        </w:rPr>
        <w:t>14,868</w:t>
      </w:r>
      <w:r>
        <w:rPr>
          <w:sz w:val="20"/>
          <w:szCs w:val="20"/>
          <w:color w:val="auto"/>
        </w:rPr>
        <w:tab/>
      </w:r>
      <w:r>
        <w:rPr>
          <w:rFonts w:ascii="Times New Roman" w:cs="Times New Roman" w:eastAsia="Times New Roman" w:hAnsi="Times New Roman"/>
          <w:sz w:val="15"/>
          <w:szCs w:val="15"/>
          <w:color w:val="auto"/>
        </w:rPr>
        <w:t>(6,549)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1296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620" w:val="left"/>
          <w:tab w:leader="none" w:pos="940" w:val="left"/>
          <w:tab w:leader="none" w:pos="14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77</w:t>
        <w:tab/>
        <w:t>$</w:t>
      </w:r>
      <w:r>
        <w:rPr>
          <w:sz w:val="20"/>
          <w:szCs w:val="20"/>
          <w:color w:val="auto"/>
        </w:rPr>
        <w:tab/>
      </w:r>
      <w:r>
        <w:rPr>
          <w:rFonts w:ascii="Times New Roman" w:cs="Times New Roman" w:eastAsia="Times New Roman" w:hAnsi="Times New Roman"/>
          <w:sz w:val="15"/>
          <w:szCs w:val="15"/>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12966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29665" cy="33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80"/>
            <w:col w:w="178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June 30, 2025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2024</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June 30, 2025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ending December 31, 2025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0.3 million shares of common stock as of June 30, 2025. The non-employee director stock purchase plan permits the issuance of additional share based payments for up to 0.1 million shares of common stock as of June 30, 2025.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58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50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7"/>
                <w:szCs w:val="17"/>
                <w:color w:val="auto"/>
              </w:rPr>
              <w:t>June 30,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Borders>
              <w:bottom w:val="single" w:sz="8" w:color="auto"/>
            </w:tcBorders>
            <w:gridSpan w:val="3"/>
          </w:tcPr>
          <w:p>
            <w:pPr>
              <w:jc w:val="center"/>
              <w:ind w:left="1014"/>
              <w:spacing w:after="0"/>
              <w:rPr>
                <w:sz w:val="20"/>
                <w:szCs w:val="20"/>
                <w:color w:val="auto"/>
              </w:rPr>
            </w:pPr>
            <w:r>
              <w:rPr>
                <w:rFonts w:ascii="Times New Roman" w:cs="Times New Roman" w:eastAsia="Times New Roman" w:hAnsi="Times New Roman"/>
                <w:sz w:val="17"/>
                <w:szCs w:val="17"/>
                <w:color w:val="auto"/>
                <w:w w:val="98"/>
              </w:rPr>
              <w:t>June 30,</w:t>
            </w:r>
          </w:p>
        </w:tc>
        <w:tc>
          <w:tcPr>
            <w:tcW w:w="1080" w:type="dxa"/>
            <w:vAlign w:val="bottom"/>
            <w:tcBorders>
              <w:bottom w:val="single" w:sz="8" w:color="auto"/>
            </w:tcBorders>
          </w:tcPr>
          <w:p>
            <w:pPr>
              <w:spacing w:after="0"/>
              <w:rPr>
                <w:sz w:val="19"/>
                <w:szCs w:val="19"/>
                <w:color w:val="auto"/>
              </w:rPr>
            </w:pPr>
          </w:p>
        </w:tc>
      </w:tr>
      <w:tr>
        <w:trPr>
          <w:trHeight w:val="212"/>
        </w:trPr>
        <w:tc>
          <w:tcPr>
            <w:tcW w:w="50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50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10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53,019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81,355</w:t>
            </w: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60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16,364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six month periods ended June 30, 2025 and 2024 we issued 0.004 million and 0.005 million shares, respectively and expensed their value during those same periods.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$0.6 million and $1.3 million during the three and six month periods ended June 30, 2025, respectively, and was $0.5 million and $1.0 million during the same periods in 2024, respectively. The corresponding tax benefit relating to this expense was $0.1 million and $0.3 million for the three and six month periods ended June 30, 2025, respectively and $0.1 million and $0.2 million for the same periods in 2024. Total expense recognized for non-employee director share based payments was $0.07 million and $0.13 million during the three and six month periods ended June 30, 2025, respectively, and was $0.06 million and $0.13 million during the same periods in 2024, respectively. The corresponding tax benefit relating to this expense was $0.01 million and $0.03 million for the three and six month periods ended June 30, 2025, respectively and $0.01 million and $0.03 million during the same periods in 2024.</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2025, the total expected compensation cost related to non-vested restricted stock and PSUs not yet recognized was $4.1 million. The weighted-average period over which this amount will be recognized is 2.2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81"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June 30,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68"/>
        </w:trPr>
        <w:tc>
          <w:tcPr>
            <w:tcW w:w="818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2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68"/>
        </w:trPr>
        <w:tc>
          <w:tcPr>
            <w:tcW w:w="8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32"/>
        </w:trPr>
        <w:tc>
          <w:tcPr>
            <w:tcW w:w="81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240" w:type="dxa"/>
            <w:vAlign w:val="bottom"/>
          </w:tcPr>
          <w:p>
            <w:pPr>
              <w:spacing w:after="0"/>
              <w:rPr>
                <w:sz w:val="20"/>
                <w:szCs w:val="20"/>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27.47</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263,514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61"/>
        </w:trPr>
        <w:tc>
          <w:tcPr>
            <w:tcW w:w="5040" w:type="dxa"/>
            <w:vAlign w:val="bottom"/>
          </w:tcPr>
          <w:p>
            <w:pPr>
              <w:spacing w:after="0"/>
              <w:rPr>
                <w:sz w:val="24"/>
                <w:szCs w:val="24"/>
                <w:color w:val="auto"/>
              </w:rPr>
            </w:pPr>
          </w:p>
        </w:tc>
        <w:tc>
          <w:tcPr>
            <w:tcW w:w="26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3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8"/>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June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7"/>
                <w:szCs w:val="17"/>
                <w:color w:val="auto"/>
              </w:rPr>
              <w:t>June 30,</w:t>
            </w:r>
          </w:p>
        </w:tc>
        <w:tc>
          <w:tcPr>
            <w:tcW w:w="960" w:type="dxa"/>
            <w:vAlign w:val="bottom"/>
            <w:tcBorders>
              <w:bottom w:val="single" w:sz="8" w:color="auto"/>
            </w:tcBorders>
          </w:tcPr>
          <w:p>
            <w:pPr>
              <w:spacing w:after="0"/>
              <w:rPr>
                <w:sz w:val="19"/>
                <w:szCs w:val="19"/>
                <w:color w:val="auto"/>
              </w:rPr>
            </w:pPr>
          </w:p>
        </w:tc>
      </w:tr>
      <w:tr>
        <w:trPr>
          <w:trHeight w:val="217"/>
        </w:trPr>
        <w:tc>
          <w:tcPr>
            <w:tcW w:w="5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0"/>
        </w:trPr>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1"/>
        </w:trPr>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Borders>
              <w:top w:val="single" w:sz="8" w:color="auto"/>
              <w:bottom w:val="single" w:sz="8" w:color="auto"/>
            </w:tcBorders>
          </w:tcPr>
          <w:p>
            <w:pPr>
              <w:jc w:val="right"/>
              <w:ind w:right="7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ind w:left="2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8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ind w:left="9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36"/>
        </w:trPr>
        <w:tc>
          <w:tcPr>
            <w:tcW w:w="504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Income Tax</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Income tax expense was $3.8 million and $4.6 million during the three month periods ended June 30, 2025 and 2024, respectively and $7.3 million and $8.5 million during the six months ended June 30, 2025 and 2024,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2025 include reductions of $0.01 million and $0.30 million, respectively, of income tax expense related to the impact of the excess value of stock awards that vested and stock options that were exercised as compared to the initial fair values that were expensed. These amounts during the same periods in 2024 were both $0.109 million.</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2025, June 30, 2024 and December 31, 2024 that the realization of substantially all of our deferred tax assets continues to be more likely than not.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June 30, 2025 and December 31, 2024, we had approximately $0.2 million, respectively, of gross unrecognized tax benefits. We do not expect the total amount of unrecognized tax benefits to significantly increase or decrease during the remainder of 2025.</w:t>
      </w:r>
    </w:p>
    <w:p>
      <w:pPr>
        <w:spacing w:after="0" w:line="125" w:lineRule="exact"/>
        <w:rPr>
          <w:sz w:val="20"/>
          <w:szCs w:val="20"/>
          <w:color w:val="auto"/>
        </w:rPr>
      </w:pPr>
    </w:p>
    <w:p>
      <w:pPr>
        <w:ind w:left="380" w:hanging="377"/>
        <w:spacing w:after="0"/>
        <w:tabs>
          <w:tab w:leader="none" w:pos="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2025, the Bank had positive undivided profits of $236.3 million. It is not our intent to have dividends paid in amounts that would reduce the capital of our Bank to levels below those which we consider prudent or that would not be in accordance with guidelines of regulatory authorities.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2025 and December 31, 2024,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629,972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354,803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582,441</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354,204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442,755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542,401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266,102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526,962</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265,653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354,204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503,795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199,577</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526,962</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199,240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287,790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542,401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215,510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526,962</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215,217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269,022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622,444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350,113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567,254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436,668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262,585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262,001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349,335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489,044</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196,939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196,501</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283,834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527,616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214,332</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512,546</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214,112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267,640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3280" w:firstLine="20"/>
        <w:spacing w:after="0" w:line="413" w:lineRule="auto"/>
        <w:tabs>
          <w:tab w:leader="none" w:pos="58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June 30, 2025 and December 31, 2024.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800"/>
              <w:spacing w:after="0"/>
              <w:rPr>
                <w:sz w:val="20"/>
                <w:szCs w:val="20"/>
                <w:color w:val="auto"/>
              </w:rPr>
            </w:pPr>
            <w:r>
              <w:rPr>
                <w:rFonts w:ascii="Times New Roman" w:cs="Times New Roman" w:eastAsia="Times New Roman" w:hAnsi="Times New Roman"/>
                <w:sz w:val="17"/>
                <w:szCs w:val="17"/>
                <w:color w:val="auto"/>
              </w:rPr>
              <w:t>Consolidated</w:t>
            </w:r>
          </w:p>
        </w:tc>
        <w:tc>
          <w:tcPr>
            <w:tcW w:w="460" w:type="dxa"/>
            <w:vAlign w:val="bottom"/>
          </w:tcPr>
          <w:p>
            <w:pPr>
              <w:spacing w:after="0"/>
              <w:rPr>
                <w:sz w:val="24"/>
                <w:szCs w:val="24"/>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80"/>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line="161" w:lineRule="exact"/>
              <w:rPr>
                <w:sz w:val="20"/>
                <w:szCs w:val="20"/>
                <w:color w:val="auto"/>
              </w:rPr>
            </w:pPr>
            <w:r>
              <w:rPr>
                <w:rFonts w:ascii="Times New Roman" w:cs="Times New Roman" w:eastAsia="Times New Roman" w:hAnsi="Times New Roman"/>
                <w:sz w:val="17"/>
                <w:szCs w:val="17"/>
                <w:color w:val="auto"/>
              </w:rPr>
              <w:t>June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478,188</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 for regulatory purposes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64,089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64,146</w:t>
            </w:r>
          </w:p>
        </w:tc>
      </w:tr>
      <w:tr>
        <w:trPr>
          <w:trHeight w:val="245"/>
        </w:trPr>
        <w:tc>
          <w:tcPr>
            <w:tcW w:w="5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(29,544)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r>
      <w:tr>
        <w:trPr>
          <w:trHeight w:val="21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526,962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542,401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527,616</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526,962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512,546</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55,571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54,828</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55,479</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54,708</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629,972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622,444</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582,441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567,254</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hanging="377"/>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4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primarily include agency securities, private label mortgage-backed securities, other asset backed securities, obligations of states and political subdivisions, trust preferred securities, corporate securities and foreign government securities.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interim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ind w:left="19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ind w:left="19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540" w:type="dxa"/>
            <w:vAlign w:val="bottom"/>
          </w:tcPr>
          <w:p>
            <w:pPr>
              <w:spacing w:after="0"/>
              <w:rPr>
                <w:sz w:val="14"/>
                <w:szCs w:val="14"/>
                <w:color w:val="auto"/>
              </w:rPr>
            </w:pPr>
          </w:p>
        </w:tc>
        <w:tc>
          <w:tcPr>
            <w:tcW w:w="112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260" w:type="dxa"/>
            <w:vAlign w:val="bottom"/>
          </w:tcPr>
          <w:p>
            <w:pPr>
              <w:spacing w:after="0"/>
              <w:rPr>
                <w:sz w:val="14"/>
                <w:szCs w:val="14"/>
                <w:color w:val="auto"/>
              </w:rPr>
            </w:pP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000" w:type="dxa"/>
            <w:vAlign w:val="bottom"/>
          </w:tcPr>
          <w:p>
            <w:pPr>
              <w:jc w:val="center"/>
              <w:ind w:left="19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5"/>
                <w:szCs w:val="15"/>
                <w:color w:val="auto"/>
              </w:rPr>
            </w:pPr>
          </w:p>
        </w:tc>
        <w:tc>
          <w:tcPr>
            <w:tcW w:w="112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26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10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8,647</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8,647</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71,796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71,796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11,166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44,929</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33,917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276,746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276,746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61,333</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977</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12,492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32,053</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34,191</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20,754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4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12,627</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601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61</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194</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431</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125</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allocations of the ACL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8,159</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8,159</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71,137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71,137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11,641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11,641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70,035</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70,035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38,516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38,516</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288,791</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288,791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69,921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69,921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7,643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7,643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46,796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4,205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627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172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individually evaluated loans with specific allocations of the ACL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Changes in Fair Values for the Six</w:t>
      </w:r>
    </w:p>
    <w:p>
      <w:pPr>
        <w:jc w:val="center"/>
        <w:ind w:left="6600"/>
        <w:spacing w:after="0" w:line="205" w:lineRule="auto"/>
        <w:rPr>
          <w:sz w:val="20"/>
          <w:szCs w:val="20"/>
          <w:color w:val="auto"/>
        </w:rPr>
      </w:pPr>
      <w:r>
        <w:rPr>
          <w:rFonts w:ascii="Times New Roman" w:cs="Times New Roman" w:eastAsia="Times New Roman" w:hAnsi="Times New Roman"/>
          <w:sz w:val="17"/>
          <w:szCs w:val="17"/>
          <w:color w:val="auto"/>
        </w:rPr>
        <w:t>Month Periods Ended June 30 for</w:t>
      </w:r>
    </w:p>
    <w:p>
      <w:pPr>
        <w:jc w:val="center"/>
        <w:ind w:left="6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Net Gains (losses)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1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(3,505)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383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interim Condensed Consolidated Statements of Operations based on the contractual amount of interest income earned on these financial assets and dividend income is recorded based on cash dividends received.</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and six month periods ended June 30, 2025 and 2024 relating to assets measured at fair value on a non-recurring basis:</w:t>
      </w:r>
    </w:p>
    <w:p>
      <w:pPr>
        <w:spacing w:after="0" w:line="1" w:lineRule="exact"/>
        <w:rPr>
          <w:sz w:val="20"/>
          <w:szCs w:val="20"/>
          <w:color w:val="auto"/>
        </w:rPr>
      </w:pPr>
    </w:p>
    <w:p>
      <w:pPr>
        <w:jc w:val="both"/>
        <w:ind w:left="620" w:hanging="307"/>
        <w:spacing w:after="0" w:line="256"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$17.8 million, which is net of a valuation allowance of $4.6 million at June 30, 2025, and had a carrying amount of $5.5 million, which is net of a valuation allowance of $2.3 million at December 31, 2024. The provision for credit losses included in our results of operations relating to collateral dependent loans was a net expense (recovery) of $1.1 million and $(0.1) million for the three month periods ending June 30, 2025 and 2024, respectively, and a net expense of $2.3 million and $1.6 million for the six month periods ending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80" w:type="dxa"/>
            <w:vAlign w:val="bottom"/>
            <w:gridSpan w:val="4"/>
          </w:tcPr>
          <w:p>
            <w:pPr>
              <w:jc w:val="center"/>
              <w:ind w:left="454"/>
              <w:spacing w:after="0" w:line="161" w:lineRule="exact"/>
              <w:rPr>
                <w:sz w:val="20"/>
                <w:szCs w:val="20"/>
                <w:color w:val="auto"/>
              </w:rPr>
            </w:pPr>
            <w:r>
              <w:rPr>
                <w:rFonts w:ascii="Times New Roman" w:cs="Times New Roman" w:eastAsia="Times New Roman" w:hAnsi="Times New Roman"/>
                <w:sz w:val="17"/>
                <w:szCs w:val="17"/>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34"/>
              <w:spacing w:after="0" w:line="161" w:lineRule="exact"/>
              <w:rPr>
                <w:sz w:val="20"/>
                <w:szCs w:val="20"/>
                <w:color w:val="auto"/>
              </w:rPr>
            </w:pPr>
            <w:r>
              <w:rPr>
                <w:rFonts w:ascii="Times New Roman" w:cs="Times New Roman" w:eastAsia="Times New Roman" w:hAnsi="Times New Roman"/>
                <w:sz w:val="17"/>
                <w:szCs w:val="17"/>
                <w:color w:val="auto"/>
              </w:rPr>
              <w:t>Six Months Ended</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3"/>
          </w:tcPr>
          <w:p>
            <w:pPr>
              <w:jc w:val="center"/>
              <w:ind w:right="274"/>
              <w:spacing w:after="0"/>
              <w:rPr>
                <w:sz w:val="20"/>
                <w:szCs w:val="20"/>
                <w:color w:val="auto"/>
              </w:rPr>
            </w:pPr>
            <w:r>
              <w:rPr>
                <w:rFonts w:ascii="Times New Roman" w:cs="Times New Roman" w:eastAsia="Times New Roman" w:hAnsi="Times New Roman"/>
                <w:sz w:val="17"/>
                <w:szCs w:val="17"/>
                <w:color w:val="auto"/>
              </w:rPr>
              <w:t>June 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June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gridSpan w:val="3"/>
          </w:tcPr>
          <w:p>
            <w:pPr>
              <w:jc w:val="center"/>
              <w:ind w:right="274"/>
              <w:spacing w:after="0"/>
              <w:rPr>
                <w:sz w:val="20"/>
                <w:szCs w:val="20"/>
                <w:color w:val="auto"/>
              </w:rPr>
            </w:pPr>
            <w:r>
              <w:rPr>
                <w:rFonts w:ascii="Times New Roman" w:cs="Times New Roman" w:eastAsia="Times New Roman" w:hAnsi="Times New Roman"/>
                <w:sz w:val="17"/>
                <w:szCs w:val="17"/>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32,171</w:t>
            </w:r>
          </w:p>
        </w:tc>
        <w:tc>
          <w:tcPr>
            <w:tcW w:w="102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43,577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 - gain on sale(1)</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attributable to the change in unrealized gains (losses) relating to assets</w:t>
            </w:r>
          </w:p>
        </w:tc>
        <w:tc>
          <w:tcPr>
            <w:tcW w:w="900" w:type="dxa"/>
            <w:vAlign w:val="bottom"/>
            <w:vMerge w:val="restart"/>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20" w:type="dxa"/>
            <w:vAlign w:val="bottom"/>
            <w:gridSpan w:val="2"/>
            <w:vMerge w:val="restart"/>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1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liabilities still held at June 30</w:t>
            </w:r>
          </w:p>
        </w:tc>
        <w:tc>
          <w:tcPr>
            <w:tcW w:w="9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7"/>
        <w:spacing w:after="0" w:line="258" w:lineRule="auto"/>
        <w:tabs>
          <w:tab w:leader="none" w:pos="46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$0.7 million relating to this transaction, we are not aware of any issues that will have a material impact on this final payment. While we have a target date of the fourth quarter, 2025, we have until the first quarter, 2026 to receive this final payment. Transaction expenses relating to this sale were approximately $0.2 million and was expensed during the first six months of 2025.</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sectPr>
      </w:pPr>
    </w:p>
    <w:p>
      <w:pPr>
        <w:spacing w:after="0" w:line="16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Asset</w:t>
      </w:r>
    </w:p>
    <w:p>
      <w:pPr>
        <w:ind w:left="266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30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5715</wp:posOffset>
            </wp:positionV>
            <wp:extent cx="9169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jc w:val="center"/>
        <w:ind w:left="230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Unobservable</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Weighted</w:t>
            </w:r>
          </w:p>
        </w:tc>
      </w:tr>
      <w:tr>
        <w:trPr>
          <w:trHeight w:val="232"/>
        </w:trPr>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Inputs</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Range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Average</w:t>
            </w:r>
          </w:p>
        </w:tc>
      </w:tr>
    </w:tbl>
    <w:p>
      <w:pPr>
        <w:spacing w:after="0" w:line="219" w:lineRule="exact"/>
        <w:rPr>
          <w:sz w:val="20"/>
          <w:szCs w:val="20"/>
          <w:color w:val="auto"/>
        </w:rPr>
      </w:pPr>
    </w:p>
    <w:p>
      <w:pPr>
        <w:sectPr>
          <w:pgSz w:w="11900" w:h="16838" w:orient="portrait"/>
          <w:cols w:equalWidth="0" w:num="2">
            <w:col w:w="3300" w:space="320"/>
            <w:col w:w="762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June 30, 2025</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2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32,053</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-244475</wp:posOffset>
            </wp:positionV>
            <wp:extent cx="7138670" cy="254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147955</wp:posOffset>
            </wp:positionV>
            <wp:extent cx="7138670"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426085</wp:posOffset>
            </wp:positionV>
            <wp:extent cx="7138670" cy="1390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 to 18.34%</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9.95 %</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to $817</w:t>
            </w:r>
          </w:p>
        </w:tc>
        <w:tc>
          <w:tcPr>
            <w:tcW w:w="62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to 30</w:t>
            </w:r>
          </w:p>
        </w:tc>
        <w:tc>
          <w:tcPr>
            <w:tcW w:w="620" w:type="dxa"/>
            <w:vAlign w:val="bottom"/>
          </w:tcPr>
          <w:p>
            <w:pPr>
              <w:spacing w:after="0"/>
              <w:rPr>
                <w:sz w:val="19"/>
                <w:szCs w:val="19"/>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3.71 %</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 to 31.32%</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9.37 %</w:t>
            </w:r>
          </w:p>
        </w:tc>
      </w:tr>
    </w:tbl>
    <w:p>
      <w:pPr>
        <w:spacing w:after="0" w:line="1" w:lineRule="exact"/>
        <w:rPr>
          <w:sz w:val="20"/>
          <w:szCs w:val="20"/>
          <w:color w:val="auto"/>
        </w:rPr>
      </w:pPr>
    </w:p>
    <w:p>
      <w:pPr>
        <w:sectPr>
          <w:pgSz w:w="11900" w:h="16838" w:orient="portrait"/>
          <w:cols w:equalWidth="0" w:num="3">
            <w:col w:w="3460" w:space="320"/>
            <w:col w:w="1880" w:space="140"/>
            <w:col w:w="544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2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46,796</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-244475</wp:posOffset>
            </wp:positionV>
            <wp:extent cx="7138670" cy="2540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147955</wp:posOffset>
            </wp:positionV>
            <wp:extent cx="7138670" cy="139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426085</wp:posOffset>
            </wp:positionV>
            <wp:extent cx="7138670" cy="139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10.37 %</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$817</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to 30</w:t>
            </w:r>
          </w:p>
        </w:tc>
        <w:tc>
          <w:tcPr>
            <w:tcW w:w="5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r>
      <w:tr>
        <w:trPr>
          <w:trHeight w:val="22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 to</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r>
    </w:tbl>
    <w:p>
      <w:pPr>
        <w:spacing w:after="0" w:line="200" w:lineRule="exact"/>
        <w:rPr>
          <w:sz w:val="20"/>
          <w:szCs w:val="20"/>
          <w:color w:val="auto"/>
        </w:rPr>
      </w:pPr>
    </w:p>
    <w:p>
      <w:pPr>
        <w:sectPr>
          <w:pgSz w:w="11900" w:h="16838" w:orient="portrait"/>
          <w:cols w:equalWidth="0" w:num="3">
            <w:col w:w="3460" w:space="320"/>
            <w:col w:w="1880" w:space="140"/>
            <w:col w:w="5440"/>
          </w:cols>
          <w:pgMar w:left="320" w:top="11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jc w:val="right"/>
              <w:ind w:right="1300"/>
              <w:spacing w:after="0"/>
              <w:rPr>
                <w:sz w:val="20"/>
                <w:szCs w:val="20"/>
                <w:color w:val="auto"/>
              </w:rPr>
            </w:pPr>
            <w:r>
              <w:rPr>
                <w:rFonts w:ascii="Times New Roman" w:cs="Times New Roman" w:eastAsia="Times New Roman" w:hAnsi="Times New Roman"/>
                <w:sz w:val="17"/>
                <w:szCs w:val="17"/>
                <w:color w:val="auto"/>
                <w:w w:val="98"/>
              </w:rPr>
              <w:t>June 30, 2025</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December 31, 2024</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-2758440</wp:posOffset>
            </wp:positionV>
            <wp:extent cx="7138670" cy="556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-1906905</wp:posOffset>
            </wp:positionV>
            <wp:extent cx="7138670" cy="294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-1448435</wp:posOffset>
            </wp:positionV>
            <wp:extent cx="7138670" cy="155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-1137285</wp:posOffset>
            </wp:positionV>
            <wp:extent cx="7138670" cy="556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-286385</wp:posOffset>
            </wp:positionV>
            <wp:extent cx="7138670" cy="294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22860</wp:posOffset>
            </wp:positionV>
            <wp:extent cx="20059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50.0% to 65.0%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(20.0) to 65.0</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w:t>
            </w:r>
          </w:p>
        </w:tc>
      </w:tr>
      <w:tr>
        <w:trPr>
          <w:trHeight w:val="477"/>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(28.1) to 16.9</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45.0% to 55.0%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5"/>
              </w:rPr>
              <w:t>50.5 %</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(20.0) to 35.0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(1.4)</w:t>
            </w:r>
          </w:p>
        </w:tc>
      </w:tr>
      <w:tr>
        <w:trPr>
          <w:trHeight w:val="464"/>
        </w:trPr>
        <w:tc>
          <w:tcPr>
            <w:tcW w:w="1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(22.0) to 21.7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(0.4)</w:t>
            </w:r>
          </w:p>
        </w:tc>
      </w:tr>
    </w:tbl>
    <w:p>
      <w:pPr>
        <w:spacing w:after="0" w:line="200" w:lineRule="exact"/>
        <w:rPr>
          <w:sz w:val="20"/>
          <w:szCs w:val="20"/>
          <w:color w:val="auto"/>
        </w:rPr>
      </w:pPr>
    </w:p>
    <w:p>
      <w:pPr>
        <w:sectPr>
          <w:pgSz w:w="11900" w:h="16838" w:orient="portrait"/>
          <w:cols w:equalWidth="0" w:num="2">
            <w:col w:w="8000" w:space="720"/>
            <w:col w:w="25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June 30, 2025 and December 31, 2024 certain collateral dependent installment loans totaling approximately $0.58 million and $0.29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Difference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2025</w:t>
            </w:r>
          </w:p>
        </w:tc>
        <w:tc>
          <w:tcPr>
            <w:tcW w:w="3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12,294</w:t>
            </w:r>
          </w:p>
        </w:tc>
      </w:tr>
      <w:tr>
        <w:trPr>
          <w:trHeight w:val="232"/>
        </w:trPr>
        <w:tc>
          <w:tcPr>
            <w:tcW w:w="3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w:t>
            </w:r>
          </w:p>
        </w:tc>
        <w:tc>
          <w:tcPr>
            <w:tcW w:w="2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r>
      <w:tr>
        <w:trPr>
          <w:trHeight w:val="877"/>
        </w:trPr>
        <w:tc>
          <w:tcPr>
            <w:tcW w:w="3600" w:type="dxa"/>
            <w:vAlign w:val="bottom"/>
          </w:tcPr>
          <w:p>
            <w:pPr>
              <w:spacing w:after="0"/>
              <w:rPr>
                <w:sz w:val="24"/>
                <w:szCs w:val="24"/>
                <w:color w:val="auto"/>
              </w:rPr>
            </w:pPr>
          </w:p>
        </w:tc>
        <w:tc>
          <w:tcPr>
            <w:tcW w:w="302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7"/>
                <w:szCs w:val="17"/>
                <w:color w:val="auto"/>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30, 2025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74,354</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74,354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74,354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71,805</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71,805</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71,805</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509,511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509,511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509,511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329,302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293,658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293,658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18,102</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4,115,702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3,946,951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12,492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3,934,459</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19,500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5,454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14,006</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34,191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34,191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34,191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3,807,413</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3,807,413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3,807,413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851,946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849,694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849,694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102,008</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101,632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101,632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39,624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40,471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40,471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39,830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39,585</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39,585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351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3,350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20,754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20,754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20,754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56,984</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56,984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56,984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62,898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62,898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62,898</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559,182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559,182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559,182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339,436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301,860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301,860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16,099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3,987,089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3,772,862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7,643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3,765,219</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19,113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19,113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5,606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13,461</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37,059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37,059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37,059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3,806,185</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3,806,185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3,806,185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847,903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845,534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845,534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45,009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44,996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44,996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39,586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40,412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40,412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39,796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40,235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40,235</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3,109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3,109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374</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2,735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18,623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18,623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18,623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580" w:right="20" w:hanging="560"/>
        <w:spacing w:after="0" w:line="180" w:lineRule="auto"/>
        <w:tabs>
          <w:tab w:leader="none" w:pos="580" w:val="left"/>
        </w:tabs>
        <w:numPr>
          <w:ilvl w:val="0"/>
          <w:numId w:val="2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2"/>
          <w:szCs w:val="12"/>
          <w:color w:val="auto"/>
        </w:rPr>
        <w:t>Deposits with no stated maturity include reciprocal deposits with a recorded book balance of $809.496 million and $797.224 million at June 30, 2025 and December 31, 2024, respectively. Deposits with a stated maturity include reciprocal deposits with a recorded book balance of $102.318 million and $109.807 million at June 30, 2025 and December 31, 2024,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 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securities held to maturity, loans, capitalized mortgage loan servicing rights or deferred tax assets.</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(prior to the completion of the exchange offer), representing cost basis less impairment. In light of the continued uncertainty regarding the likelihood, ultimate timing, and eventual exchange rate for Class B-2 shares into Class A shares, we are carrying the Class B-2 shares at zero at both June 30, 2025 and December 31, 2024, representing cost basis less impairment. However, given the current conversion ratio of 1.5342 Class A shares for every 1 Class B-2 share and the closing price of Visa Class A shares on July 31, 2025 of $345.47 per share, our 6,283 Class B-2 shares would have a current “value” of approximately $3.3 million.</w:t>
      </w:r>
    </w:p>
    <w:p>
      <w:pPr>
        <w:spacing w:after="0" w:line="1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125" w:lineRule="exact"/>
        <w:rPr>
          <w:sz w:val="20"/>
          <w:szCs w:val="20"/>
          <w:color w:val="auto"/>
        </w:rPr>
      </w:pPr>
    </w:p>
    <w:p>
      <w:pPr>
        <w:ind w:right="7240" w:firstLine="3"/>
        <w:spacing w:after="0" w:line="490" w:lineRule="auto"/>
        <w:tabs>
          <w:tab w:leader="none" w:pos="38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three months ended June 30,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(67,083)</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(51,816)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(71,629)</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196"/>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0" w:type="dxa"/>
            <w:vAlign w:val="bottom"/>
          </w:tcPr>
          <w:p>
            <w:pPr>
              <w:spacing w:after="0"/>
              <w:rPr>
                <w:sz w:val="1"/>
                <w:szCs w:val="1"/>
                <w:color w:val="auto"/>
              </w:rPr>
            </w:pPr>
          </w:p>
        </w:tc>
      </w:tr>
      <w:tr>
        <w:trPr>
          <w:trHeight w:val="223"/>
        </w:trPr>
        <w:tc>
          <w:tcPr>
            <w:tcW w:w="4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(70,828)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six months ended June 30,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(69,944)</w:t>
            </w:r>
          </w:p>
        </w:tc>
        <w:tc>
          <w:tcPr>
            <w:tcW w:w="0" w:type="dxa"/>
            <w:vAlign w:val="bottom"/>
          </w:tcPr>
          <w:p>
            <w:pPr>
              <w:spacing w:after="0"/>
              <w:rPr>
                <w:sz w:val="1"/>
                <w:szCs w:val="1"/>
                <w:color w:val="auto"/>
              </w:rPr>
            </w:pPr>
          </w:p>
        </w:tc>
      </w:tr>
      <w:tr>
        <w:trPr>
          <w:trHeight w:val="21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0" w:type="dxa"/>
            <w:vAlign w:val="bottom"/>
          </w:tcPr>
          <w:p>
            <w:pPr>
              <w:spacing w:after="0"/>
              <w:rPr>
                <w:sz w:val="1"/>
                <w:szCs w:val="1"/>
                <w:color w:val="auto"/>
              </w:rPr>
            </w:pPr>
          </w:p>
        </w:tc>
      </w:tr>
      <w:tr>
        <w:trPr>
          <w:trHeight w:val="196"/>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3"/>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(69,887)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(70,828)</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6120" w:hanging="1239"/>
        <w:spacing w:after="0"/>
        <w:tabs>
          <w:tab w:leader="none" w:pos="6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Net gains on securities available for sale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200" w:hanging="1319"/>
        <w:spacing w:after="0"/>
        <w:tabs>
          <w:tab w:leader="none" w:pos="62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507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509</w:t>
      </w:r>
    </w:p>
    <w:p>
      <w:pPr>
        <w:spacing w:after="0" w:line="49" w:lineRule="exact"/>
        <w:rPr>
          <w:sz w:val="20"/>
          <w:szCs w:val="20"/>
          <w:color w:val="auto"/>
        </w:rPr>
      </w:pPr>
    </w:p>
    <w:p>
      <w:pPr>
        <w:ind w:left="6020"/>
        <w:spacing w:after="0"/>
        <w:tabs>
          <w:tab w:leader="none" w:pos="6440" w:val="left"/>
        </w:tabs>
        <w:rPr>
          <w:sz w:val="20"/>
          <w:szCs w:val="20"/>
          <w:color w:val="auto"/>
        </w:rPr>
      </w:pPr>
      <w:r>
        <w:rPr>
          <w:rFonts w:ascii="Times New Roman" w:cs="Times New Roman" w:eastAsia="Times New Roman" w:hAnsi="Times New Roman"/>
          <w:sz w:val="17"/>
          <w:szCs w:val="17"/>
          <w:color w:val="auto"/>
        </w:rPr>
        <w:t>107</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402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(394)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Net losses on securities available for sale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608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020" w:hanging="1139"/>
        <w:spacing w:after="0"/>
        <w:tabs>
          <w:tab w:leader="none" w:pos="6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349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73</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(276)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six months ended June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Interim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(319)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929  Interest income</w:t>
      </w:r>
    </w:p>
    <w:p>
      <w:pPr>
        <w:spacing w:after="0" w:line="49" w:lineRule="exact"/>
        <w:rPr>
          <w:rFonts w:ascii="Times New Roman" w:cs="Times New Roman" w:eastAsia="Times New Roman" w:hAnsi="Times New Roman"/>
          <w:sz w:val="17"/>
          <w:szCs w:val="17"/>
          <w:color w:val="auto"/>
        </w:rPr>
      </w:pPr>
    </w:p>
    <w:p>
      <w:pPr>
        <w:ind w:left="6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933</w:t>
      </w:r>
    </w:p>
    <w:p>
      <w:pPr>
        <w:spacing w:after="0" w:line="49" w:lineRule="exact"/>
        <w:rPr>
          <w:sz w:val="20"/>
          <w:szCs w:val="20"/>
          <w:color w:val="auto"/>
        </w:rPr>
      </w:pPr>
    </w:p>
    <w:p>
      <w:pPr>
        <w:ind w:left="6020"/>
        <w:spacing w:after="0"/>
        <w:tabs>
          <w:tab w:leader="none" w:pos="6440" w:val="left"/>
        </w:tabs>
        <w:rPr>
          <w:sz w:val="20"/>
          <w:szCs w:val="20"/>
          <w:color w:val="auto"/>
        </w:rPr>
      </w:pPr>
      <w:r>
        <w:rPr>
          <w:rFonts w:ascii="Times New Roman" w:cs="Times New Roman" w:eastAsia="Times New Roman" w:hAnsi="Times New Roman"/>
          <w:sz w:val="17"/>
          <w:szCs w:val="17"/>
          <w:color w:val="auto"/>
        </w:rPr>
        <w:t>196</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(990)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(269)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020" w:hanging="1139"/>
        <w:spacing w:after="0"/>
        <w:tabs>
          <w:tab w:leader="none" w:pos="6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615  Interest income</w:t>
      </w:r>
    </w:p>
    <w:p>
      <w:pPr>
        <w:spacing w:after="0" w:line="49" w:lineRule="exact"/>
        <w:rPr>
          <w:rFonts w:ascii="Times New Roman" w:cs="Times New Roman" w:eastAsia="Times New Roman" w:hAnsi="Times New Roman"/>
          <w:sz w:val="17"/>
          <w:szCs w:val="17"/>
          <w:color w:val="auto"/>
        </w:rPr>
      </w:pPr>
    </w:p>
    <w:p>
      <w:pPr>
        <w:ind w:left="6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(699)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7"/>
        <w:spacing w:after="0"/>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losses on securities AFS, mortgage loan servicing, net and bank owned life insurance and were approximately 88.6% and 89.1% of total revenues for the six month periods ending June 30, 2025 and 2024, respectively.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2025 and December 31, 2024, respectively.</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 periods ending June 30, 2025 and 2024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June 30, 2025</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Other</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Deposit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Related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Accounts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Income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Statement of 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39"/>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64"/>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June 30, 2024</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36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and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on Deposit</w:t>
            </w:r>
          </w:p>
        </w:tc>
        <w:tc>
          <w:tcPr>
            <w:tcW w:w="36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Insurance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2"/>
        </w:trPr>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Accounts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51"/>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r>
      <w:tr>
        <w:trPr>
          <w:trHeight w:val="239"/>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51"/>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45"/>
        </w:trPr>
        <w:tc>
          <w:tcPr>
            <w:tcW w:w="3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4"/>
        </w:trPr>
        <w:tc>
          <w:tcPr>
            <w:tcW w:w="3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45"/>
        </w:trPr>
        <w:tc>
          <w:tcPr>
            <w:tcW w:w="54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9"/>
        </w:trPr>
        <w:tc>
          <w:tcPr>
            <w:tcW w:w="3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39"/>
        </w:trPr>
        <w:tc>
          <w:tcPr>
            <w:tcW w:w="3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51"/>
        </w:trPr>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39"/>
        </w:trPr>
        <w:tc>
          <w:tcPr>
            <w:tcW w:w="3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w:t>
            </w:r>
          </w:p>
        </w:tc>
      </w:tr>
      <w:tr>
        <w:trPr>
          <w:trHeight w:val="269"/>
        </w:trPr>
        <w:tc>
          <w:tcPr>
            <w:tcW w:w="3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ending June 30, 2025</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4,301</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r>
      <w:tr>
        <w:trPr>
          <w:trHeight w:val="245"/>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4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3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380" w:type="dxa"/>
            <w:vAlign w:val="bottom"/>
          </w:tcPr>
          <w:p>
            <w:pPr>
              <w:spacing w:after="0"/>
              <w:rPr>
                <w:sz w:val="19"/>
                <w:szCs w:val="19"/>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ending June 30,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51"/>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15,471</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4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interim Condensed Consolidated Statement of Operations:</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interim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June 30, 2025).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9"/>
        </w:trPr>
        <w:tc>
          <w:tcPr>
            <w:tcW w:w="5040" w:type="dxa"/>
            <w:vAlign w:val="bottom"/>
          </w:tcPr>
          <w:p>
            <w:pPr>
              <w:spacing w:after="0"/>
              <w:rPr>
                <w:sz w:val="24"/>
                <w:szCs w:val="24"/>
                <w:color w:val="auto"/>
              </w:rPr>
            </w:pPr>
          </w:p>
        </w:tc>
        <w:tc>
          <w:tcPr>
            <w:tcW w:w="262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3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23"/>
        </w:trPr>
        <w:tc>
          <w:tcPr>
            <w:tcW w:w="5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40" w:type="dxa"/>
            <w:vAlign w:val="bottom"/>
            <w:gridSpan w:val="3"/>
          </w:tcPr>
          <w:p>
            <w:pPr>
              <w:jc w:val="center"/>
              <w:ind w:right="454"/>
              <w:spacing w:after="0"/>
              <w:rPr>
                <w:sz w:val="20"/>
                <w:szCs w:val="20"/>
                <w:color w:val="auto"/>
              </w:rPr>
            </w:pPr>
            <w:r>
              <w:rPr>
                <w:rFonts w:ascii="Times New Roman" w:cs="Times New Roman" w:eastAsia="Times New Roman" w:hAnsi="Times New Roman"/>
                <w:sz w:val="17"/>
                <w:szCs w:val="17"/>
                <w:color w:val="auto"/>
              </w:rPr>
              <w:t>June 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w w:val="98"/>
              </w:rPr>
              <w:t>June 30,</w:t>
            </w:r>
          </w:p>
        </w:tc>
        <w:tc>
          <w:tcPr>
            <w:tcW w:w="960" w:type="dxa"/>
            <w:vAlign w:val="bottom"/>
          </w:tcPr>
          <w:p>
            <w:pPr>
              <w:spacing w:after="0"/>
              <w:rPr>
                <w:sz w:val="19"/>
                <w:szCs w:val="19"/>
                <w:color w:val="auto"/>
              </w:rPr>
            </w:pPr>
          </w:p>
        </w:tc>
      </w:tr>
      <w:tr>
        <w:trPr>
          <w:trHeight w:val="264"/>
        </w:trPr>
        <w:tc>
          <w:tcPr>
            <w:tcW w:w="50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5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center"/>
              <w:ind w:right="45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44"/>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June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9"/>
        </w:trPr>
        <w:tc>
          <w:tcPr>
            <w:tcW w:w="7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5,971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7,003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6,338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interim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interim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June 30, 2025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Six months ending December 31, 2025</w:t>
            </w:r>
          </w:p>
        </w:tc>
        <w:tc>
          <w:tcPr>
            <w:tcW w:w="5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0" w:type="dxa"/>
            <w:vAlign w:val="bottom"/>
          </w:tcPr>
          <w:p>
            <w:pPr>
              <w:spacing w:after="0"/>
              <w:rPr>
                <w:sz w:val="1"/>
                <w:szCs w:val="1"/>
                <w:color w:val="auto"/>
              </w:rPr>
            </w:pPr>
          </w:p>
        </w:tc>
      </w:tr>
      <w:tr>
        <w:trPr>
          <w:trHeight w:val="25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3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5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2,933</w:t>
            </w:r>
          </w:p>
        </w:tc>
        <w:tc>
          <w:tcPr>
            <w:tcW w:w="0" w:type="dxa"/>
            <w:vAlign w:val="bottom"/>
          </w:tcPr>
          <w:p>
            <w:pPr>
              <w:spacing w:after="0"/>
              <w:rPr>
                <w:sz w:val="1"/>
                <w:szCs w:val="1"/>
                <w:color w:val="auto"/>
              </w:rPr>
            </w:pPr>
          </w:p>
        </w:tc>
      </w:tr>
      <w:tr>
        <w:trPr>
          <w:trHeight w:val="244"/>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0" w:type="dxa"/>
            <w:vAlign w:val="bottom"/>
          </w:tcPr>
          <w:p>
            <w:pPr>
              <w:spacing w:after="0"/>
              <w:rPr>
                <w:sz w:val="1"/>
                <w:szCs w:val="1"/>
                <w:color w:val="auto"/>
              </w:rPr>
            </w:pPr>
          </w:p>
        </w:tc>
      </w:tr>
      <w:tr>
        <w:trPr>
          <w:trHeight w:val="265"/>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42" w:lineRule="exact"/>
        <w:rPr>
          <w:sz w:val="20"/>
          <w:szCs w:val="20"/>
          <w:color w:val="auto"/>
        </w:rPr>
      </w:pPr>
    </w:p>
    <w:p>
      <w:pPr>
        <w:ind w:left="380" w:hanging="377"/>
        <w:spacing w:after="0"/>
        <w:tabs>
          <w:tab w:leader="none" w:pos="3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one reportable segment which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interim condensed consolidated financial statements for the three and six month periods ended June 30, 2025 and 2024.</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Three Months Ended June 30,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66,878</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20,462</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21,135</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22,263</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44,615</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44,165</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43,115</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11,169</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11,325</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33,352</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33,762</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20,678</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5,411,119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5,418,519</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gridSpan w:val="8"/>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56,786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8,113</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66,270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66,338</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23,966</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24,992</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42,285</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41,327</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5,410</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21,251</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23,166</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18,528</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5,273,093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5,277,500</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Six Months Ended June 30, 2025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117,303</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13,375</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132,884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133,022</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41,417</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42,602</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44,722</w:t>
            </w:r>
          </w:p>
        </w:tc>
      </w:tr>
      <w:tr>
        <w:trPr>
          <w:trHeight w:val="244"/>
        </w:trPr>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88,300</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r>
      <w:tr>
        <w:trPr>
          <w:trHeight w:val="244"/>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88,061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86,079</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45"/>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w:t>
            </w:r>
          </w:p>
        </w:tc>
      </w:tr>
      <w:tr>
        <w:trPr>
          <w:trHeight w:val="238"/>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21,391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21,749</w:t>
            </w: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41,506</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r>
      <w:tr>
        <w:trPr>
          <w:trHeight w:val="251"/>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r>
      <w:tr>
        <w:trPr>
          <w:trHeight w:val="239"/>
        </w:trPr>
        <w:tc>
          <w:tcPr>
            <w:tcW w:w="5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4,087</w:t>
            </w:r>
          </w:p>
        </w:tc>
      </w:tr>
      <w:tr>
        <w:trPr>
          <w:trHeight w:val="238"/>
        </w:trPr>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68,024</w:t>
            </w:r>
          </w:p>
        </w:tc>
      </w:tr>
      <w:tr>
        <w:trPr>
          <w:trHeight w:val="238"/>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39,804</w:t>
            </w:r>
          </w:p>
        </w:tc>
      </w:tr>
      <w:tr>
        <w:trPr>
          <w:trHeight w:val="245"/>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7,337</w:t>
            </w:r>
          </w:p>
        </w:tc>
      </w:tr>
      <w:tr>
        <w:trPr>
          <w:trHeight w:val="244"/>
        </w:trPr>
        <w:tc>
          <w:tcPr>
            <w:tcW w:w="5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34,173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w:t>
            </w: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45"/>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5,411,119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5,418,519</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2"/>
        </w:trPr>
        <w:tc>
          <w:tcPr>
            <w:tcW w:w="5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Independent Bank</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120"/>
              <w:spacing w:after="0" w:line="212" w:lineRule="exact"/>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111,705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111,829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on securities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16,755</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investments</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131,340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131,464</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45,686</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 and subordinated debt and debentures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Interest Expense</w:t>
            </w:r>
          </w:p>
        </w:tc>
        <w:tc>
          <w:tcPr>
            <w:tcW w:w="18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47,823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49,921</w:t>
            </w:r>
          </w:p>
        </w:tc>
      </w:tr>
      <w:tr>
        <w:trPr>
          <w:trHeight w:val="244"/>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81,543</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r>
      <w:tr>
        <w:trPr>
          <w:trHeight w:val="244"/>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80,780</w:t>
            </w: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income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4,816</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r>
      <w:tr>
        <w:trPr>
          <w:trHeight w:val="238"/>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27,733</w:t>
            </w:r>
          </w:p>
        </w:tc>
      </w:tr>
      <w:tr>
        <w:trPr>
          <w:trHeight w:val="23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42,021</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6,512</w:t>
            </w:r>
          </w:p>
        </w:tc>
      </w:tr>
      <w:tr>
        <w:trPr>
          <w:trHeight w:val="245"/>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0</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w:t>
            </w:r>
          </w:p>
        </w:tc>
      </w:tr>
      <w:tr>
        <w:trPr>
          <w:trHeight w:val="245"/>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Interchange expense</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FDIC deposit insurance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Legal and professional</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and collection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r>
      <w:tr>
        <w:trPr>
          <w:trHeight w:val="251"/>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w:t>
            </w:r>
          </w:p>
        </w:tc>
      </w:tr>
      <w:tr>
        <w:trPr>
          <w:trHeight w:val="239"/>
        </w:trPr>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w:t>
            </w:r>
          </w:p>
        </w:tc>
      </w:tr>
      <w:tr>
        <w:trPr>
          <w:trHeight w:val="238"/>
        </w:trPr>
        <w:tc>
          <w:tcPr>
            <w:tcW w:w="51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64,685</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65,526</w:t>
            </w:r>
          </w:p>
        </w:tc>
      </w:tr>
      <w:tr>
        <w:trPr>
          <w:trHeight w:val="238"/>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Income Tax</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42,987</w:t>
            </w:r>
          </w:p>
        </w:tc>
      </w:tr>
      <w:tr>
        <w:trPr>
          <w:trHeight w:val="245"/>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8,468</w:t>
            </w:r>
          </w:p>
        </w:tc>
      </w:tr>
      <w:tr>
        <w:trPr>
          <w:trHeight w:val="244"/>
        </w:trPr>
        <w:tc>
          <w:tcPr>
            <w:tcW w:w="5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DISCLOSURES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r>
      <w:tr>
        <w:trPr>
          <w:trHeight w:val="245"/>
        </w:trPr>
        <w:tc>
          <w:tcPr>
            <w:tcW w:w="5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45"/>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5,273,093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5,277,500</w:t>
            </w:r>
          </w:p>
        </w:tc>
      </w:tr>
    </w:tbl>
    <w:p>
      <w:pPr>
        <w:spacing w:after="0" w:line="74" w:lineRule="exact"/>
        <w:rPr>
          <w:sz w:val="20"/>
          <w:szCs w:val="20"/>
          <w:color w:val="auto"/>
        </w:rPr>
      </w:pPr>
    </w:p>
    <w:p>
      <w:pPr>
        <w:ind w:left="5700" w:right="5000" w:hanging="5697"/>
        <w:spacing w:after="0" w:line="967" w:lineRule="auto"/>
        <w:tabs>
          <w:tab w:leader="none" w:pos="38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-322580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interim Condensed Consolidated Financial Statements. We also encourage you to read our 2024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significant volatility and uncertainty with U.S. and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conditions, the direct and indirect impacts of potential changes to U.S. trade policies, recessionary concerns, uncertainty regarding future interest rates, foreign currency exchange rate fluctuations, the continuation of the Russia-Ukraine war, ongoing and potentially increasing conflict in the Middle East, and potential governmental responses to these events, continue to create significant economic uncertainty. In addition, pursuit of various initiatives announced by the Trump administration may create some degree of volatility in our customers’ businesses, regulation of the financial services industry, and the markets in which we operate. 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other intangibles, goodwill, securities available for sale ("AFS"), securities held to maturity ("HTM"), loans, capitalized mortgage loan servicing rights or deferred tax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second quarter of 2025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$16.9 million and $18.5 million during the three months ended June 30, 2025 and 2024, respectively. The decrease in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results as compared to 2024 is due primarily to a prior year $2.7 million gain on Visa Inc. common stock, a $1.1 million unfavorable change in the fair value due to price of capitalized mortgage loan servicing rights and a $1.5 million increase in the provision for credit losses that were partially offset by a $3.3 million increase in net interest income.</w:t>
      </w:r>
    </w:p>
    <w:p>
      <w:pPr>
        <w:spacing w:after="0" w:line="1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recorded net income of $32.5 million and $34.5 million during the six months ended June 30, 2025 and 2024, respectively. The decrease in 2025 year-to-date results as compared to 2024 is primarily due to a $3.9 million unfavorable change in the fair value due to price of capitalized mortgage loan servicing rights, the Visa Inc. common stock gain mentioned above, an increase in non-interest expense and an increase in the provision for credit losses that were partially offset by increases in net-interest income and gain on mortgage loans.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96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92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37"/>
        </w:trPr>
        <w:tc>
          <w:tcPr>
            <w:tcW w:w="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2024</w:t>
            </w:r>
          </w:p>
        </w:tc>
      </w:tr>
      <w:tr>
        <w:trPr>
          <w:trHeight w:val="22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1"/>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r>
      <w:tr>
        <w:trPr>
          <w:trHeight w:val="239"/>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14.66 %</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16.98 %</w:t>
            </w:r>
          </w:p>
        </w:tc>
      </w:tr>
      <w:tr>
        <w:trPr>
          <w:trHeight w:val="264"/>
        </w:trPr>
        <w:tc>
          <w:tcPr>
            <w:tcW w:w="4020" w:type="dxa"/>
            <w:vAlign w:val="bottom"/>
            <w:gridSpan w:val="2"/>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1.65</w:t>
            </w:r>
          </w:p>
        </w:tc>
      </w:tr>
      <w:tr>
        <w:trPr>
          <w:trHeight w:val="232"/>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80" w:type="dxa"/>
            <w:vAlign w:val="bottom"/>
          </w:tcPr>
          <w:p>
            <w:pPr>
              <w:spacing w:after="0"/>
              <w:rPr>
                <w:sz w:val="20"/>
                <w:szCs w:val="20"/>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0.81</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$44.6 million during the second quarter of 2025, an increase of $3.3 million, or 7.9% from the year-ago period. This increase primarily reflects a $142.7 million increase in average interest-earning assets and an 18 basis point increase in our tax equivalent net interest income as a percent of average interest-earning assets (the “net interest margin”).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first six months of 2025, net interest income totaled $88.3 million, an increase of $6.8 million, or 8.3% from 2024. This increase primarily reflects a $155.2 million increase in average interest-earning assets and a 19 basis point increase in our net interest margin.</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both the three and six month periods of 2025 as compared to the same periods in 2024 primarily reflects growth in commercial and mortgage loans funded from a decrease in securities available for sale and an increase in core deposits.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increases in our net interest margin during the three and six month periods in 2025 is attributed to 28 basis point and 27 basis point decreases, respectfully in interest expense as a percent of average interest-earning assets ("Cost of Funds") that were only partially offset by 10 and eight basis point decreases, respectfully in interest income as a percent of average interest-earning assets ("Asset Yield") during those same periods. These decreases are primarily attributed to the decreases in the federal funds rate since September of 2024. Our Cost of Funds has been positively impacted by deposit pricing sensitivity to the decreases in interest rates discussed above as well as changes in funding mix (such as shifting from generally higher cost brokered deposits and other borrowings to relatively lower cost core deposits). Our Asset Yield has been negatively impacted by lower rates on variable rate loans as well as new loans being originated at lower rates than existing loans being paid off that has been partially offset by a shift in earning asset mix from generally lower rate investment securities to higher rate loans. See Asset/liability management.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second quarter and first six months of 2025, non-accrual loans averaged $7.7 million and $7.2 million, respectively. In the second quarter and first six months of 2024, non-accrual loans averaged $4.0 million and $3.9 million, respectively. In addition, in the second quarter and first six months of 2025 we had net recoveries of $0.1 million and $0.2 million, respectively of unpaid interest on loans placed on or taken off non-accrual or on loans previously charged-off compared to net recoveries of $0.1 million and $0.4 million, respectively, during the same periods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4,122,331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5.78 %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3,840,343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5.93 %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3,551</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4.57</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6.81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5,036,090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67,322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4,893,367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66,513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5.45</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5,324,959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2,796,701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2,674,731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14,190</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859,773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7,853</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807,033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8,686</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107,003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6.74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6.54</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3,763,477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22,263</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3,611,972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24,992</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2.78</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990,165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1,050,153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5,324,959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41,521</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3.40 %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Six Months Ended June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4,088,152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5.76 %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111,652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5.87 %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605,664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315,021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7,099</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83,738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7.29</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5,057,226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4,902,018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131,819</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239,075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5,351,344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5,191,385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2,816,386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2,654,125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27,557</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865,543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15,968</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835,852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99,635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129,731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3,781,564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44,722</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3,619,708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49,921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998,866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1,056,803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461,506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5,351,344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5,191,385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89,196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81,898</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3.35 %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60" w:type="dxa"/>
            <w:vAlign w:val="bottom"/>
          </w:tcPr>
          <w:p>
            <w:pPr>
              <w:spacing w:after="0"/>
              <w:rPr>
                <w:sz w:val="24"/>
                <w:szCs w:val="24"/>
                <w:color w:val="auto"/>
              </w:rPr>
            </w:pPr>
          </w:p>
        </w:tc>
        <w:tc>
          <w:tcPr>
            <w:tcW w:w="284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50"/>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r>
      <w:tr>
        <w:trPr>
          <w:trHeight w:val="232"/>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74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44,615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88,300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81,543</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355</w:t>
            </w: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45,059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41,521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89,196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81,898</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(FTE) (1)</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$1.50 million and an expense of $0.02 million for the three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and 2024, respectively. During the six month periods ended June 30, 2025 and 2024, the provision for credit losses was an expense of $2.22 million and an expense of $0.76 million, respectively.</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2025.</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$1.48 million increase in the provision for credit losses expense on loans from the prior year quarter to date period is primarily due to an increase in specific reserves on a $15.4 million commercial real estate loan that was downgraded during the quarter and an increase in pooled reserves on both commercial and retail loans that were partially offset by a four basis point decrease in allocations based on subjective factors and a reduction in specific reserves on two commercial and industrial loans due primarily to pay downs on those credits.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$0.33 million increase in the provision for credit losses expense on loans from the prior year to date period is primarily due to a net increase in specific reserve allocations on both the commercial and retail loans (see above discussion on commercial specific loans) as well as a decrease in gross recoveries of previously charged-off commercial and retail loans, that were partially offset by a decrease in pooled allocations in the retail loan portfolio.</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year to date provision for credit losses on securities HTM in 2025 and 2024 was an expense (credit) of $0.001 million and $(1.127) million, respectively. The change in provision for credit losses on securities HTM reflects a partial recovery during the first quarter of 2024 of one corporate security (Signature Bank) totaling $1.125 million. See “Securities” below and note #3 to the interim Condensed Consolidated Financial Statements.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$11.3 million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quarter of 2025 compared to $15.2 million in the second quarter of 2024. For the first six months of 2025, non-interest income totaled $21.7 million compared to $27.7 million for the first six months of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center"/>
              <w:ind w:right="174"/>
              <w:spacing w:after="0"/>
              <w:rPr>
                <w:sz w:val="20"/>
                <w:szCs w:val="20"/>
                <w:color w:val="auto"/>
              </w:rPr>
            </w:pPr>
            <w:r>
              <w:rPr>
                <w:rFonts w:ascii="Times New Roman" w:cs="Times New Roman" w:eastAsia="Times New Roman" w:hAnsi="Times New Roman"/>
                <w:sz w:val="17"/>
                <w:szCs w:val="17"/>
                <w:color w:val="auto"/>
              </w:rPr>
              <w:t>Six Months Ended June 30,</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3,401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2,937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(losses) on assets</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0" w:type="dxa"/>
            <w:vAlign w:val="bottom"/>
          </w:tcPr>
          <w:p>
            <w:pPr>
              <w:spacing w:after="0"/>
              <w:rPr>
                <w:sz w:val="1"/>
                <w:szCs w:val="1"/>
                <w:color w:val="auto"/>
              </w:rPr>
            </w:pPr>
          </w:p>
        </w:tc>
      </w:tr>
      <w:tr>
        <w:trPr>
          <w:trHeight w:val="239"/>
        </w:trPr>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2,091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1,691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3,424</w:t>
            </w:r>
          </w:p>
        </w:tc>
        <w:tc>
          <w:tcPr>
            <w:tcW w:w="0" w:type="dxa"/>
            <w:vAlign w:val="bottom"/>
          </w:tcPr>
          <w:p>
            <w:pPr>
              <w:spacing w:after="0"/>
              <w:rPr>
                <w:sz w:val="1"/>
                <w:szCs w:val="1"/>
                <w:color w:val="auto"/>
              </w:rPr>
            </w:pPr>
          </w:p>
        </w:tc>
      </w:tr>
      <w:tr>
        <w:trPr>
          <w:trHeight w:val="258"/>
        </w:trPr>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11,325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21,749</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6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ind w:right="29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5"/>
          </w:tcPr>
          <w:p>
            <w:pPr>
              <w:jc w:val="right"/>
              <w:ind w:right="614"/>
              <w:spacing w:after="0"/>
              <w:rPr>
                <w:sz w:val="20"/>
                <w:szCs w:val="20"/>
                <w:color w:val="auto"/>
              </w:rPr>
            </w:pPr>
            <w:r>
              <w:rPr>
                <w:rFonts w:ascii="Times New Roman" w:cs="Times New Roman" w:eastAsia="Times New Roman" w:hAnsi="Times New Roman"/>
                <w:sz w:val="17"/>
                <w:szCs w:val="17"/>
                <w:color w:val="auto"/>
              </w:rPr>
              <w:t>Six Months Ended June 30,</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2024</w:t>
            </w: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5"/>
          </w:tcPr>
          <w:p>
            <w:pPr>
              <w:jc w:val="right"/>
              <w:ind w:right="874"/>
              <w:spacing w:after="0"/>
              <w:rPr>
                <w:sz w:val="20"/>
                <w:szCs w:val="20"/>
                <w:color w:val="auto"/>
              </w:rPr>
            </w:pPr>
            <w:r>
              <w:rPr>
                <w:rFonts w:ascii="Times New Roman" w:cs="Times New Roman" w:eastAsia="Times New Roman" w:hAnsi="Times New Roman"/>
                <w:sz w:val="17"/>
                <w:szCs w:val="17"/>
                <w:color w:val="auto"/>
              </w:rPr>
              <w:t>(Dollars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147,844</w:t>
            </w:r>
          </w:p>
        </w:tc>
        <w:tc>
          <w:tcPr>
            <w:tcW w:w="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142,602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255,623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236,596</w:t>
            </w:r>
          </w:p>
        </w:tc>
        <w:tc>
          <w:tcPr>
            <w:tcW w:w="0" w:type="dxa"/>
            <w:vAlign w:val="bottom"/>
          </w:tcPr>
          <w:p>
            <w:pPr>
              <w:spacing w:after="0"/>
              <w:rPr>
                <w:sz w:val="1"/>
                <w:szCs w:val="1"/>
                <w:color w:val="auto"/>
              </w:rPr>
            </w:pPr>
          </w:p>
        </w:tc>
      </w:tr>
      <w:tr>
        <w:trPr>
          <w:trHeight w:val="23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95,360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91,540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177,978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172,358</w:t>
            </w:r>
          </w:p>
        </w:tc>
        <w:tc>
          <w:tcPr>
            <w:tcW w:w="0" w:type="dxa"/>
            <w:vAlign w:val="bottom"/>
          </w:tcPr>
          <w:p>
            <w:pPr>
              <w:spacing w:after="0"/>
              <w:rPr>
                <w:sz w:val="1"/>
                <w:szCs w:val="1"/>
                <w:color w:val="auto"/>
              </w:rPr>
            </w:pPr>
          </w:p>
        </w:tc>
      </w:tr>
      <w:tr>
        <w:trPr>
          <w:trHeight w:val="251"/>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 (2)</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3,934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2,697</w:t>
            </w:r>
          </w:p>
        </w:tc>
        <w:tc>
          <w:tcPr>
            <w:tcW w:w="0" w:type="dxa"/>
            <w:vAlign w:val="bottom"/>
          </w:tcPr>
          <w:p>
            <w:pPr>
              <w:spacing w:after="0"/>
              <w:rPr>
                <w:sz w:val="1"/>
                <w:szCs w:val="1"/>
                <w:color w:val="auto"/>
              </w:rPr>
            </w:pPr>
          </w:p>
        </w:tc>
      </w:tr>
      <w:tr>
        <w:trPr>
          <w:trHeight w:val="21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1.71 %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1.46 %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1.56 %</w:t>
            </w:r>
          </w:p>
        </w:tc>
        <w:tc>
          <w:tcPr>
            <w:tcW w:w="0" w:type="dxa"/>
            <w:vAlign w:val="bottom"/>
          </w:tcPr>
          <w:p>
            <w:pPr>
              <w:spacing w:after="0"/>
              <w:rPr>
                <w:sz w:val="1"/>
                <w:szCs w:val="1"/>
                <w:color w:val="auto"/>
              </w:rPr>
            </w:pPr>
          </w:p>
        </w:tc>
      </w:tr>
      <w:tr>
        <w:trPr>
          <w:trHeight w:val="26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0.48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20" w:hanging="317"/>
        <w:spacing w:after="0" w:line="272" w:lineRule="auto"/>
        <w:tabs>
          <w:tab w:leader="none" w:pos="22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Mortgage loan sales in the second quarters of 2025 and 2024 include $6.7 million and $1.4 million, respectively, of portfolio loan transactions. Mortgage loan sales during the first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5"/>
          <w:szCs w:val="15"/>
          <w:color w:val="auto"/>
        </w:rPr>
        <w:t xml:space="preserve"> months of 2025 and 2024 include $15.4 million and $8.1 million, respectively, of portfolio loan transactions. These transactions were performed for interest rate risk purposes.</w:t>
      </w:r>
    </w:p>
    <w:p>
      <w:pPr>
        <w:spacing w:after="0" w:line="330" w:lineRule="exact"/>
        <w:rPr>
          <w:rFonts w:ascii="Times New Roman" w:cs="Times New Roman" w:eastAsia="Times New Roman" w:hAnsi="Times New Roman"/>
          <w:sz w:val="15"/>
          <w:szCs w:val="15"/>
          <w:color w:val="auto"/>
        </w:rPr>
      </w:pPr>
    </w:p>
    <w:p>
      <w:pPr>
        <w:ind w:left="320" w:hanging="317"/>
        <w:spacing w:after="0" w:line="278" w:lineRule="auto"/>
        <w:tabs>
          <w:tab w:leader="none" w:pos="36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Net gains on mortgage loans in the second quarters of 2025 and 2024 include net gains of $0.08 million and $0.02 million, respectively, from portfolio loan transactions. Net gains during the first </w:t>
      </w:r>
      <w:r>
        <w:rPr>
          <w:rFonts w:ascii="Times New Roman" w:cs="Times New Roman" w:eastAsia="Times New Roman" w:hAnsi="Times New Roman"/>
          <w:sz w:val="17"/>
          <w:szCs w:val="17"/>
          <w:color w:val="auto"/>
        </w:rPr>
        <w:t>six</w:t>
      </w:r>
      <w:r>
        <w:rPr>
          <w:rFonts w:ascii="Times New Roman" w:cs="Times New Roman" w:eastAsia="Times New Roman" w:hAnsi="Times New Roman"/>
          <w:sz w:val="15"/>
          <w:szCs w:val="15"/>
          <w:color w:val="auto"/>
        </w:rPr>
        <w:t xml:space="preserve"> months of 2025 and 2024 were $0.3 million and $0.1 million, respectively.</w:t>
      </w:r>
    </w:p>
    <w:p>
      <w:pPr>
        <w:spacing w:after="0" w:line="1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Mortgage loans originated and sold in both the quarter and year to date periods ending June 30 modestly increased in 2025 as compared to 2024. These increases reflect ongoing sales efforts by our mortgage lending team.</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gains on mortgage loans totaled $1.6 million and $1.3 million during the second quarters of 2025 and 2024, respectively and $3.9 million and $2.7 million during the first six months of 2025 and 2024, respectively. The increases from the prior year periods were primarily due to an increase in the Loan Sales Margin.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1.59% and 1.32% in the second quarters of 2025 and 2024, respectively, and would have been 1.73% and 1.28% in the first six months of 2025 and 2024, respectively. These increases in the Loan Sales Margin (excluding fair value adjustments) were generally due in part to higher primary-to-secondary market pricing spreads relative to the same period last year.</w:t>
      </w:r>
    </w:p>
    <w:p>
      <w:pPr>
        <w:spacing w:after="0" w:line="3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Gain on equity securities at fair value totaled zero and $2.7 million during the second quarters of 2025 and 2024, respectively. The gain in 2024 was the consequence of the exchange of our shares of Visa Class B-1 common stock on May 6, 2024 into a combination of Visa Class C common stock and Visa Class B-2 common stock. With the completion of this exchange, we were able to record the fair value of the Visa Class C common stock through income (as it was convertible into publicly traded Visa Class A common stock) while the Visa Class B-2 common stock continues to be carried at zero. See note #13 to the interim Condensed Consolidated Financial Statements.</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$0.32 million and $0.27 million on the sale of securities AFS for the first six months of 2025 and 2024, respectively. We recorded no credit related charges in either 2025 or 2024 on securities AFS. See “Securities” below and note #3 to the interim Condensed Consolidated Financial Statements.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Mortgage loan servicing, net, generated income of $0.5 million and $2.1 million in the second quarters of 2025 and 2024, respectively. For the first six months of 2025 and 2024, mortgage loan servicing, net, generated income (expense) of $(0.1) million and $4.8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 as well as a decline in servicing revenue. The decline in revenue, net in the table below is attributed to the sale of approximately $931 million of mortgage servicing rights on January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8"/>
        </w:trPr>
        <w:tc>
          <w:tcPr>
            <w:tcW w:w="4240" w:type="dxa"/>
            <w:vAlign w:val="bottom"/>
          </w:tcPr>
          <w:p>
            <w:pPr>
              <w:spacing w:after="0"/>
              <w:rPr>
                <w:sz w:val="24"/>
                <w:szCs w:val="24"/>
                <w:color w:val="auto"/>
              </w:rPr>
            </w:pPr>
          </w:p>
        </w:tc>
        <w:tc>
          <w:tcPr>
            <w:tcW w:w="3120" w:type="dxa"/>
            <w:vAlign w:val="bottom"/>
            <w:gridSpan w:val="6"/>
          </w:tcPr>
          <w:p>
            <w:pPr>
              <w:ind w:left="48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20" w:type="dxa"/>
            <w:vAlign w:val="bottom"/>
          </w:tcPr>
          <w:p>
            <w:pPr>
              <w:spacing w:after="0"/>
              <w:rPr>
                <w:sz w:val="24"/>
                <w:szCs w:val="24"/>
                <w:color w:val="auto"/>
              </w:rPr>
            </w:pPr>
          </w:p>
        </w:tc>
        <w:tc>
          <w:tcPr>
            <w:tcW w:w="336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3"/>
        </w:trPr>
        <w:tc>
          <w:tcPr>
            <w:tcW w:w="4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Pr>
          <w:p>
            <w:pPr>
              <w:spacing w:after="0"/>
              <w:rPr>
                <w:sz w:val="22"/>
                <w:szCs w:val="22"/>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1"/>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780" w:type="dxa"/>
            <w:vAlign w:val="bottom"/>
          </w:tcPr>
          <w:p>
            <w:pPr>
              <w:spacing w:after="0"/>
              <w:rPr>
                <w:sz w:val="21"/>
                <w:szCs w:val="21"/>
                <w:color w:val="auto"/>
              </w:rPr>
            </w:pPr>
          </w:p>
        </w:tc>
      </w:tr>
      <w:tr>
        <w:trPr>
          <w:trHeight w:val="239"/>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780" w:type="dxa"/>
            <w:vAlign w:val="bottom"/>
          </w:tcPr>
          <w:p>
            <w:pPr>
              <w:spacing w:after="0"/>
              <w:rPr>
                <w:sz w:val="20"/>
                <w:szCs w:val="20"/>
                <w:color w:val="auto"/>
              </w:rPr>
            </w:pPr>
          </w:p>
        </w:tc>
      </w:tr>
      <w:tr>
        <w:trPr>
          <w:trHeight w:val="251"/>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780" w:type="dxa"/>
            <w:vAlign w:val="bottom"/>
          </w:tcPr>
          <w:p>
            <w:pPr>
              <w:spacing w:after="0"/>
              <w:rPr>
                <w:sz w:val="21"/>
                <w:szCs w:val="21"/>
                <w:color w:val="auto"/>
              </w:rPr>
            </w:pPr>
          </w:p>
        </w:tc>
      </w:tr>
      <w:tr>
        <w:trPr>
          <w:trHeight w:val="239"/>
        </w:trPr>
        <w:tc>
          <w:tcPr>
            <w:tcW w:w="4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sale of originated servicing rights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r>
      <w:tr>
        <w:trPr>
          <w:trHeight w:val="26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780" w:type="dxa"/>
            <w:vAlign w:val="bottom"/>
          </w:tcPr>
          <w:p>
            <w:pPr>
              <w:spacing w:after="0"/>
              <w:rPr>
                <w:sz w:val="22"/>
                <w:szCs w:val="22"/>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36"/>
        </w:trPr>
        <w:tc>
          <w:tcPr>
            <w:tcW w:w="4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6"/>
        </w:trPr>
        <w:tc>
          <w:tcPr>
            <w:tcW w:w="4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5"/>
        </w:trPr>
        <w:tc>
          <w:tcPr>
            <w:tcW w:w="4300" w:type="dxa"/>
            <w:vAlign w:val="bottom"/>
          </w:tcPr>
          <w:p>
            <w:pPr>
              <w:spacing w:after="0"/>
              <w:rPr>
                <w:sz w:val="24"/>
                <w:szCs w:val="24"/>
                <w:color w:val="auto"/>
              </w:rPr>
            </w:pPr>
          </w:p>
        </w:tc>
        <w:tc>
          <w:tcPr>
            <w:tcW w:w="3080" w:type="dxa"/>
            <w:vAlign w:val="bottom"/>
            <w:gridSpan w:val="6"/>
          </w:tcPr>
          <w:p>
            <w:pPr>
              <w:ind w:left="48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600" w:type="dxa"/>
            <w:vAlign w:val="bottom"/>
          </w:tcPr>
          <w:p>
            <w:pPr>
              <w:spacing w:after="0"/>
              <w:rPr>
                <w:sz w:val="24"/>
                <w:szCs w:val="24"/>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4"/>
        </w:trPr>
        <w:tc>
          <w:tcPr>
            <w:tcW w:w="43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4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jc w:val="center"/>
              <w:ind w:left="634"/>
              <w:spacing w:after="0"/>
              <w:rPr>
                <w:sz w:val="20"/>
                <w:szCs w:val="20"/>
                <w:color w:val="auto"/>
              </w:rPr>
            </w:pPr>
            <w:r>
              <w:rPr>
                <w:rFonts w:ascii="Times New Roman" w:cs="Times New Roman" w:eastAsia="Times New Roman" w:hAnsi="Times New Roman"/>
                <w:sz w:val="17"/>
                <w:szCs w:val="17"/>
                <w:color w:val="auto"/>
              </w:rPr>
              <w:t>(In thousands)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0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32,171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43,577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r>
      <w:tr>
        <w:trPr>
          <w:trHeight w:val="239"/>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r>
      <w:tr>
        <w:trPr>
          <w:trHeight w:val="251"/>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39"/>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 of originated servicing rights (1)</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Loss on sale of originated servicing rights (1)</w:t>
            </w: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32,053</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44,406</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32,053</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44,406</w:t>
            </w:r>
          </w:p>
        </w:tc>
      </w:tr>
      <w:tr>
        <w:trPr>
          <w:trHeight w:val="25"/>
        </w:trPr>
        <w:tc>
          <w:tcPr>
            <w:tcW w:w="4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3" w:lineRule="exact"/>
        <w:rPr>
          <w:sz w:val="20"/>
          <w:szCs w:val="20"/>
          <w:color w:val="auto"/>
        </w:rPr>
      </w:pPr>
    </w:p>
    <w:p>
      <w:pPr>
        <w:jc w:val="both"/>
        <w:ind w:left="320" w:hanging="317"/>
        <w:spacing w:after="0" w:line="252" w:lineRule="auto"/>
        <w:tabs>
          <w:tab w:leader="none" w:pos="46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31, 2025 we sold $931.6 million of mortgage loan servicing rights (26.3% of total servicing portfolio) and transferred the servicing on March 3, 2025. This sale represented approximately $13.1 million (27.9%) of the total capitalized mortgage loan servicing right asset. While there remains a customary hold back of final settlement funds of approximately $0.7 million relating to this transaction, we are not aware of any issues that will have a material impact on this final payment. While we have a target date of the fourth quarter, 2025, we have until the first quarter, 2026 to receive this final payment. Transaction expenses relating to this sale were approximately $0.2 million and was expensed during the first quarter of 2025.</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June 30, 2025 we were servicing approximately $2.61 billion in mortgage loans for others on which servicing rights have been capitalized. This servicing portfolio had a weighted average coupon rate of 4.42% and a weighted average service fee of approximately 25.7 basis points. Capitalized mortgage loan servicing rights at June 30, 2025 totaled $32.1 million, representing approximately 122.6 basis points on the related amount of mortgage loans serviced for others.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summarized in the table above, the decrease in capitalized mortgage loan servicing rights during the first six months of 2025 is primarily attributed to the originated mortgage loan servicing rights sale. This transaction was executed in part to reduce the amount of exposure the bank had to rate variances that may impact the mortgage servicing right asset valuation in future periods. With this sale, it is expected mortgage loan servicing, net will decrease commensurate with the amount of servicing sold relative to the same periods in 2024. While the magnitude of fair value adjustments would also be expected to decrease, those adjustments are dependent upon factors that are harder to predict.</w:t>
      </w:r>
    </w:p>
    <w:p>
      <w:pPr>
        <w:spacing w:after="0" w:line="1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Bank owned life insurance increased by $0.1 million and $0.2 million in the second quarter and first six months of 2025, respectively compared to the same prior year periods due to an increase in crediting rate.</w:t>
      </w:r>
    </w:p>
    <w:p>
      <w:pPr>
        <w:spacing w:after="0" w:line="15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color w:val="auto"/>
        </w:rPr>
        <w:t>Other income in the table above increased by $0.4 million in the first six months of 2025, as compared to the same prior year period due to higher commercial loan swap fees.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Non-interest expense increased by $0.4 million to $33.8 million and increased by $2.5 million to $68.0 million during the three- and six-month periods ended June 30, 2025, respectively, compared to the same periods in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60"/>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7"/>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540" w:type="dxa"/>
            <w:vAlign w:val="bottom"/>
          </w:tcPr>
          <w:p>
            <w:pPr>
              <w:spacing w:after="0"/>
              <w:rPr>
                <w:sz w:val="24"/>
                <w:szCs w:val="24"/>
                <w:color w:val="auto"/>
              </w:rPr>
            </w:pPr>
          </w:p>
        </w:tc>
        <w:tc>
          <w:tcPr>
            <w:tcW w:w="244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64"/>
        </w:trPr>
        <w:tc>
          <w:tcPr>
            <w:tcW w:w="38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38"/>
        </w:trPr>
        <w:tc>
          <w:tcPr>
            <w:tcW w:w="3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26,667</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7,361</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w:t>
            </w:r>
          </w:p>
        </w:tc>
      </w:tr>
      <w:tr>
        <w:trPr>
          <w:trHeight w:val="232"/>
        </w:trPr>
        <w:tc>
          <w:tcPr>
            <w:tcW w:w="5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42,021</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6,512</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3,960</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5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(recovery) for loss reimbursement on sold loans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gains on other real estate and repossessed assets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6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Recoveries related to unfunded lending commitments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39"/>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2,491</w:t>
            </w:r>
          </w:p>
        </w:tc>
      </w:tr>
      <w:tr>
        <w:trPr>
          <w:trHeight w:val="263"/>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68,024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65,526</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Compensation and employee benefits expenses, in total, decreased $0.1 million on a quarterly comparative basis and decreased $0.5 million for the first six months of 2025 compared to the same periods in 2024.</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increased by $0.2 million and $0.1 million in the second quarter and first six months of 2025, respectively, compared to the same periods in 2024. These comparative increases in 2025 were primarily due to salary increases that were predominantly effective on January 1, 2025, that were partially offset by deferred loan origination costs due in part to higher commercial and mortgage loan volume.and a decrease in mortgage lending and other retail personnel.</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decreased by $0.2 million and $0.3 million in the second quarter and first six months of 2025, respectively, compared to the same periods in 2024. The decrease is due in part to lower expected incentive compensation payout for salaried and hourly employees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Payroll taxes and employee benefits decreased by $0.1 million and $0.4 million in the second quarter and first six months of 2025, respectively, compared to the same periods in 2024, due primarily to a decrease in employee medical insurance costs.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$0.6 million and $1.1 million in the second quarter and first six months of 2025, respectively, compared to the same prior year periods due in part to core data processor annual asset growth and CPI related cost increases as well as new solutions implemented during this time frame.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increased by $0.4 million in the first six months of 2025, compared to the same prior year period due primarily to the timing of strategic marketing spend relative to the prior year.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Loan and collection expense increased by $0.3 million in the first six months of 2025, compared to the same prior year period due primarily to higher attorney and other general collection related expenses.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Recoveries related to unfunded lending commitments decreased by $0.3 million in the second quarter of 2025 and increased $0.6 million during the first six months of 2025, compared to the same prior year periods. These changes are impacted by changes to the balance of lending commitments and the loss rates applied to those lending commitments during the respective time periods.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expense increased by $0.1 million and $0.6 million in the second quarter and first six months of 2025, respectively, due primarily to costs related to the capitalized mortgage loan servicing right sale (six month period), higher fraud related losses, real estate property write down and higher Michigan Corporate Income Tax (due to an increase in taxable base). See “Non-interest income” above.</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$3.8 million and $7.3 million in the second quarter and the first six months of 2025, respectively.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compares to an income tax expense of $4.6 million and $8.5 million in the second quarter and the first six months of 2024, respectively. The changes in expense for the first six months of 2025 compared to the same period in 2024 is primarily due to changes in pretax income.</w:t>
      </w:r>
    </w:p>
    <w:p>
      <w:pPr>
        <w:spacing w:after="0" w:line="1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2025 and 2024 and at December 31, 2024, that the realization of substantially all of our deferred tax assets continues to be more likely than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increased by $80.4 million during the first six months of 2025. Loans, excluding loans held for sale, were $4.16 billion at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compared to $4.04 billion at December 31, 2024. Commercial loans and mortgage loans increased while installment loans decreased during the first six months of 2025. (See “Portfolio Loans and asset quality.”) Securities available for sale and securities held to maturity together totaled $838.8 million at June 30, 2025, a decline of $59.8 million since December 31, 2024.</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Deposits totaled $4.66 billion at June 30, 2025, an increase of $5.3 million from December 31, 2024. The increase in deposits from December 31, 2024, is due to increases in reciprocal and brokered time deposits that were partially offset by decreases in non-interest bearing, savings and interest-bearing checking and time deposits.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575,101</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350</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509,511</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621,588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343</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559,182</w:t>
            </w:r>
          </w:p>
        </w:tc>
        <w:tc>
          <w:tcPr>
            <w:tcW w:w="0" w:type="dxa"/>
            <w:vAlign w:val="bottom"/>
          </w:tcPr>
          <w:p>
            <w:pPr>
              <w:spacing w:after="0"/>
              <w:rPr>
                <w:sz w:val="1"/>
                <w:szCs w:val="1"/>
                <w:color w:val="auto"/>
              </w:rPr>
            </w:pPr>
          </w:p>
        </w:tc>
      </w:tr>
      <w:tr>
        <w:trPr>
          <w:trHeight w:val="461"/>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30,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14,543</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133</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343,978</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50,331</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293,658</w:t>
            </w:r>
          </w:p>
        </w:tc>
        <w:tc>
          <w:tcPr>
            <w:tcW w:w="0" w:type="dxa"/>
            <w:vAlign w:val="bottom"/>
          </w:tcPr>
          <w:p>
            <w:pPr>
              <w:spacing w:after="0"/>
              <w:rPr>
                <w:sz w:val="1"/>
                <w:szCs w:val="1"/>
                <w:color w:val="auto"/>
              </w:rPr>
            </w:pPr>
          </w:p>
        </w:tc>
      </w:tr>
      <w:tr>
        <w:trPr>
          <w:trHeight w:val="223"/>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339,436</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16,171</w:t>
            </w:r>
          </w:p>
        </w:tc>
        <w:tc>
          <w:tcPr>
            <w:tcW w:w="3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132</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355,739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301,860</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2025. The increase in unrealized losses during the second quarter and first six months of 2025 is primarily attributed to an increase in interest rates since December 31, 2024. See note #3 to the interim Condensed Consolidated Financial Statements included within this report for further discussion.</w:t>
      </w: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interim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w:t>
      </w:r>
    </w:p>
    <w:p>
      <w:pPr>
        <w:spacing w:after="0" w:line="1" w:lineRule="exact"/>
        <w:rPr>
          <w:sz w:val="20"/>
          <w:szCs w:val="20"/>
          <w:color w:val="auto"/>
        </w:rPr>
      </w:pPr>
    </w:p>
    <w:p>
      <w:pPr>
        <w:jc w:val="both"/>
        <w:ind w:firstLine="3"/>
        <w:spacing w:after="0" w:line="256" w:lineRule="auto"/>
        <w:tabs>
          <w:tab w:leader="none" w:pos="25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full charge-off. Subsequent to this security's charge-off, a portion of its fair value had recovered and was subsequently sold during the first quarter of 2024 for $1.1 million during which period we recorded that amount as a recovery to the ACL. See note #3 to the interim Condensed Consolidated Financial Statements included within this report for further discussion.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25"/>
        </w:trPr>
        <w:tc>
          <w:tcPr>
            <w:tcW w:w="5200" w:type="dxa"/>
            <w:vAlign w:val="bottom"/>
          </w:tcPr>
          <w:p>
            <w:pPr>
              <w:spacing w:after="0"/>
              <w:rPr>
                <w:sz w:val="24"/>
                <w:szCs w:val="24"/>
                <w:color w:val="auto"/>
              </w:rPr>
            </w:pPr>
          </w:p>
        </w:tc>
        <w:tc>
          <w:tcPr>
            <w:tcW w:w="262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color w:val="auto"/>
              </w:rPr>
              <w:t>Six Months Ended June 30,</w:t>
            </w:r>
          </w:p>
        </w:tc>
      </w:tr>
      <w:tr>
        <w:trPr>
          <w:trHeight w:val="245"/>
        </w:trPr>
        <w:tc>
          <w:tcPr>
            <w:tcW w:w="5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5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3"/>
          </w:tcPr>
          <w:p>
            <w:pPr>
              <w:jc w:val="right"/>
              <w:ind w:right="554"/>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37,273</w:t>
            </w:r>
          </w:p>
        </w:tc>
      </w:tr>
      <w:tr>
        <w:trPr>
          <w:trHeight w:val="219"/>
        </w:trPr>
        <w:tc>
          <w:tcPr>
            <w:tcW w:w="5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losses</w:t>
            </w: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0"/>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 at Fair Value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$2.677 million based on the conversion privilege of those shares and the closing price of the Class A shares on May 3, 2024 (the exchange expiration date) of $268.49 per share. Subsequent to the exchange, we sold all of our Class C shares. See note #13 to the interim Condensed Consolidated Financial Statements included within this report for further discussion.</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and “Asset/liability management.”).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280" w:type="dxa"/>
            <w:vAlign w:val="bottom"/>
          </w:tcPr>
          <w:p>
            <w:pPr>
              <w:spacing w:after="0"/>
              <w:rPr>
                <w:sz w:val="19"/>
                <w:szCs w:val="19"/>
                <w:color w:val="auto"/>
              </w:rPr>
            </w:pPr>
          </w:p>
        </w:tc>
        <w:tc>
          <w:tcPr>
            <w:tcW w:w="27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1,302,243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1,284,322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262,593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322,092</w:t>
            </w:r>
          </w:p>
        </w:tc>
        <w:tc>
          <w:tcPr>
            <w:tcW w:w="0" w:type="dxa"/>
            <w:vAlign w:val="bottom"/>
          </w:tcPr>
          <w:p>
            <w:pPr>
              <w:spacing w:after="0"/>
              <w:rPr>
                <w:sz w:val="1"/>
                <w:szCs w:val="1"/>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1,254,149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1,126,720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579,345</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575,825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542,742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4,164,367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4,038,825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ind w:left="300" w:hanging="297"/>
        <w:spacing w:after="0"/>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60"/>
        </w:trPr>
        <w:tc>
          <w:tcPr>
            <w:tcW w:w="7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June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3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80" w:type="dxa"/>
            <w:vAlign w:val="bottom"/>
            <w:tcBorders>
              <w:top w:val="single" w:sz="8" w:color="CCEEFF"/>
            </w:tcBorders>
            <w:shd w:val="clear" w:color="auto" w:fill="CCEEFF"/>
          </w:tcPr>
          <w:p>
            <w:pPr>
              <w:spacing w:after="0"/>
              <w:rPr>
                <w:sz w:val="18"/>
                <w:szCs w:val="18"/>
                <w:color w:val="auto"/>
              </w:rPr>
            </w:pPr>
          </w:p>
        </w:tc>
        <w:tc>
          <w:tcPr>
            <w:tcW w:w="7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Subtotal</w:t>
            </w: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10,453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7,792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2,249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1,790</w:t>
            </w:r>
          </w:p>
        </w:tc>
      </w:tr>
      <w:tr>
        <w:trPr>
          <w:trHeight w:val="212"/>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6,002</w:t>
            </w:r>
          </w:p>
        </w:tc>
      </w:tr>
      <w:tr>
        <w:trPr>
          <w:trHeight w:val="219"/>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938</w:t>
            </w: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6,940</w:t>
            </w: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0.15 %</w:t>
            </w:r>
          </w:p>
        </w:tc>
      </w:tr>
      <w:tr>
        <w:trPr>
          <w:trHeight w:val="219"/>
        </w:trPr>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w:t>
            </w:r>
          </w:p>
        </w:tc>
      </w:tr>
      <w:tr>
        <w:trPr>
          <w:trHeight w:val="21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32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0.13</w:t>
            </w:r>
          </w:p>
        </w:tc>
      </w:tr>
      <w:tr>
        <w:trPr>
          <w:trHeight w:val="21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989.32 %</w:t>
            </w:r>
          </w:p>
        </w:tc>
      </w:tr>
    </w:tbl>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Non-performing loans have increased modestly as a percent of Portfolio Loans since year-end 2024, primarily due to an increase in non-performing mortgage loans.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$0.43 million and $0.94 million at June 30, 2025, and December 31, 2024,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25" w:lineRule="exact"/>
        <w:rPr>
          <w:sz w:val="20"/>
          <w:szCs w:val="20"/>
          <w:color w:val="auto"/>
        </w:rPr>
      </w:pPr>
    </w:p>
    <w:p>
      <w:pPr>
        <w:ind w:right="880"/>
        <w:spacing w:after="0" w:line="482" w:lineRule="auto"/>
        <w:rPr>
          <w:sz w:val="20"/>
          <w:szCs w:val="20"/>
          <w:color w:val="auto"/>
        </w:rPr>
      </w:pPr>
      <w:r>
        <w:rPr>
          <w:rFonts w:ascii="Times New Roman" w:cs="Times New Roman" w:eastAsia="Times New Roman" w:hAnsi="Times New Roman"/>
          <w:sz w:val="17"/>
          <w:szCs w:val="17"/>
          <w:color w:val="auto"/>
        </w:rPr>
        <w:t xml:space="preserve">The following tables reflect activity in our ACL on loans, securities and unfunded lending commitments as well as the allocation of our ACL on loans. </w:t>
      </w:r>
      <w:r>
        <w:rPr>
          <w:rFonts w:ascii="Times New Roman" w:cs="Times New Roman" w:eastAsia="Times New Roman" w:hAnsi="Times New Roman"/>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center"/>
              <w:ind w:right="120"/>
              <w:spacing w:after="0"/>
              <w:rPr>
                <w:sz w:val="20"/>
                <w:szCs w:val="20"/>
                <w:color w:val="auto"/>
              </w:rPr>
            </w:pPr>
            <w:r>
              <w:rPr>
                <w:rFonts w:ascii="Times New Roman" w:cs="Times New Roman" w:eastAsia="Times New Roman" w:hAnsi="Times New Roman"/>
                <w:sz w:val="17"/>
                <w:szCs w:val="17"/>
                <w:color w:val="auto"/>
              </w:rPr>
              <w:t>Six months ended June 30,</w:t>
            </w:r>
          </w:p>
        </w:tc>
        <w:tc>
          <w:tcPr>
            <w:tcW w:w="240" w:type="dxa"/>
            <w:vAlign w:val="bottom"/>
          </w:tcPr>
          <w:p>
            <w:pPr>
              <w:spacing w:after="0"/>
              <w:rPr>
                <w:sz w:val="19"/>
                <w:szCs w:val="19"/>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Commitments</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61,157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Net loans charged against the allowance to</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Portfolio Loans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7"/>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45,929</w:t>
            </w: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w:t>
            </w:r>
          </w:p>
        </w:tc>
      </w:t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61,157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59,379</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interim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$1.8 million to $61.2 million at June 30, 2025 from $59.4 million at December 31, 2024, and was equal to 1.47% of total Portfolio Loans at both June 30, 2025, and December 31, 2024, respectively.</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Since December 31, 2024, the ACL related to specific loans increased $2.3 million due primarily to one commercial loan addition. The ACL related to pooled analysis of loans decreased $0.9 million due primarily to a refinement in prepayment assumptions on mortgage loans that included a breakdown between fixed and variable rate loans. The ACL related to subjective factors increased $0.4 million due primarily to loan growth during the first half of 2025.</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$4.66 billion and $4.65 billion at June 30, 2025, and December 31, 2024, respectively. Balances were relatively unchanged during the first half of 2025 as increases in brokered time and reciprocal deposits were offset by decreases in non-interest bearing, savings and interest-bearing checking and time deposits. Reciprocal deposits totaled $911.8 million and $907.0 million at June 30, 2025 and December 31, 2024,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June 30,</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1,021,672</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1,059,909</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21.04</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1,034,974</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1,062,255</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r>
    </w:tbl>
    <w:p>
      <w:pPr>
        <w:spacing w:after="0" w:line="241" w:lineRule="exact"/>
        <w:rPr>
          <w:sz w:val="20"/>
          <w:szCs w:val="20"/>
          <w:color w:val="auto"/>
        </w:rPr>
      </w:pPr>
    </w:p>
    <w:p>
      <w:pPr>
        <w:ind w:firstLine="3"/>
        <w:spacing w:after="0" w:line="287" w:lineRule="auto"/>
        <w:tabs>
          <w:tab w:leader="none" w:pos="25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$54.2 million and $54.8 million at June 30, 2025 and December 31, 2024, respectively. Uninsured deposits reported in our Call Report at June 30, 2025 and December 31, 2024 totaled $1,075.8 million and $1,114.7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borrowings, comprised primarily of FRB and FHLB borrowings, totaled $102.0 million and $45.0 million at June 30, 2025, and December 31, 2024, respectively.</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June 30, 2025, our use of such wholesale funding sources (including reciprocal deposits) amounted to approximately $1.14 billion, or 23.8%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six months of 2025 and 2024, we entered into $86.0 million and $54.5 million (aggregate notional amounts), respectively, of interest rate swaps with commercial loan customers, which were offset with interest rate swaps that the Bank entered into with a broker-dealer. We recorded $0.96 million and $0.64 million of fee income related to these transactions during the first six months of 2025 and 2024, respectively. See note #6 to the interim Condensed Consolidated Financial Statements included within this report for more information on our derivative financial instruments.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interim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June 30, 2025, in addition to liquidity available from our normal operating, funding and investing activities we had unused credit lines with the FHLB and FRB of approximately $1.019 billion and $484.6 million, respectively. We also had approximately $486.0 million in fair value of unpledged securities AFS and HTM at June 30, 2025, which could be pledged for an estimated additional borrowing capacity at the FHLB and FRB of approximately $455.9 million.</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June 30, 2025, we had $0.8 million of time deposits that mature in the next 12 months. Historically, a majority of these maturing time deposits are renewed by our customers. Additionally, $3.81 billion of our deposits at June 30, 2025, were 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$49.1 million as of June 30, 2025,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0"/>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June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39,586</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39,796</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r>
      <w:tr>
        <w:trPr>
          <w:trHeight w:val="212"/>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70,606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78,572</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311,653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318,777</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205,853</w:t>
            </w:r>
          </w:p>
        </w:tc>
      </w:tr>
      <w:tr>
        <w:trPr>
          <w:trHeight w:val="219"/>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(69,944)</w:t>
            </w:r>
          </w:p>
        </w:tc>
      </w:tr>
      <w:tr>
        <w:trPr>
          <w:trHeight w:val="212"/>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454,686</w:t>
            </w:r>
          </w:p>
        </w:tc>
      </w:tr>
      <w:tr>
        <w:trPr>
          <w:trHeight w:val="212"/>
        </w:trPr>
        <w:tc>
          <w:tcPr>
            <w:tcW w:w="81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539,856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533,258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interim Condensed Consolidated Statement of Financial Condition under the caption “Subordinated debt” and the June 30, 2025, balance of $39.6 million is net of remaining unamortized deferred issuance costs of approximately $0.4 million that are being amortized through the maturity date into interest expense on other borrowings and subordinated debt and debentures in our interim Condensed Consolidated Statements of Operations. Beginning May 31, 2025, the coupon rate on the subordinated debt floats at the SOFR plus 5.825% and the balance included in Tier 2 capital will decline by 20% and continue to decline by an additional 20% each year until maturity. On July 15, 2025 we gave formal notice of our intention to redeem our $40 million floating subordinated notes on August 31, 2025. This redemption is not expected to affect our status as well-capitalized for regulatory purposes or have a material impact on our liquidity resources.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$39.8 million of outstanding cumulative trust preferred securities as of June 30, 2025.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interim Condensed Consolidated Statements of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2025, and December 31, 2024.</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$469.3 million at June 30, 2025, from $454.7 million at December 31, 2024. The increase is primarily due to earnings retention. Our tangible common equity (“TCE”) totaled $439.7 million and $424.9 million, respectively, at those same dates. Our ratio of TCE to tangible assets was 8.16% and 8.00% at June 30, 2025, and December 31, 2024, respectively. TCE and the ratio of TCE to tangible assets are non-GAAP measures. TCE represents total common equity less goodwill and other intangible assets.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2024, our Board of Directors authorized a 2025 share repurchase plan. Under the terms of the 2025 share repurchase plan, we are authorized to buy back up to 1,100,000, or approximately 5% of our outstanding common stock. During the first six months of 2025, we repurchased 252,276 shares of common stock, for an aggregate purchase price of $7.4 million. There were no shares repurchased during the first six months of 2024.</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$0.52 per share and $0.48 per share in the first six months of 2025 and 2024, respectively. We generally favor a dividend payout ratio between 30% and 50% of net income.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June 30, 2025 and December 31, 2024, our Bank (and holding company) continued to meet the requirements to be considered “well-capitalized” under federal regulatory standards (also see note #10 to the interim Condensed Consolidated Financial Statements included within this report).</w:t>
      </w:r>
    </w:p>
    <w:p>
      <w:pPr>
        <w:spacing w:after="0" w:line="1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June 30, 2025, our interest rate risk profile as measured by our longer term interest rate risk measure based on changes in economic value indicates exposure to rising rates. This measure has decreased from December 31, 2024 due to a decline in asset duration and a higher base value. Asset duration declined due to a shift in the asset mix to shorter duration loans (primarily variable rate commercial loans). In addition, at June 30, 2025 our simulation base-rate scenario for market value of portfolio equity increased from December 31, 2024. The increase was due primarily to an increase in the Bank’s tangible equity and an improvement in medium to long duration asset values given a decline in interest rates. The increase in asset values outpaced the increase in market value for longer duration deposits.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VALUE OF PORTFOLIO EQUITY,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Portfolio</w:t>
            </w: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Equity(1)</w:t>
            </w:r>
          </w:p>
        </w:tc>
        <w:tc>
          <w:tcPr>
            <w:tcW w:w="13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8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631,500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(8.11)%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192,400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659,900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(3.97)</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190,400</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687,200</w:t>
            </w:r>
          </w:p>
        </w:tc>
        <w:tc>
          <w:tcPr>
            <w:tcW w:w="1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187,500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708,100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3.04</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185,700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(0.96)</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711,700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3.57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184,600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566,000</w:t>
            </w:r>
          </w:p>
        </w:tc>
        <w:tc>
          <w:tcPr>
            <w:tcW w:w="13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(9.76)%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185,500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598,600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(4.56)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184,400</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1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627,200</w:t>
            </w: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182,500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650,000</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3.64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181,800</w:t>
            </w:r>
          </w:p>
        </w:tc>
        <w:tc>
          <w:tcPr>
            <w:tcW w:w="1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20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661,300</w:t>
            </w: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5.44</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181,600</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3.58</w:t>
            </w:r>
          </w:p>
        </w:tc>
        <w:tc>
          <w:tcPr>
            <w:tcW w:w="80" w:type="dxa"/>
            <w:vAlign w:val="bottom"/>
          </w:tcPr>
          <w:p>
            <w:pPr>
              <w:spacing w:after="0"/>
              <w:rPr>
                <w:sz w:val="19"/>
                <w:szCs w:val="19"/>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jc w:val="both"/>
        <w:ind w:left="320" w:hanging="317"/>
        <w:spacing w:after="0" w:line="260"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Condensed Consolidated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Condensed Consolidated Statement of Financial Condition, which includes debt and related financial derivative instruments, and do not consider loan fees or loan origination costs.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not 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interim Condensed Consolidated Financial Statements included elsewhere in this report for details on recently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accounting pronouncements and their impact on our interim condensed consolidated financial statements.</w:t>
      </w:r>
    </w:p>
    <w:p>
      <w:pPr>
        <w:spacing w:after="0" w:line="10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interim Condensed Consolidated Financial Statements included within this report for a complete discussion on our use of fair valuation of financial instruments and the related measurement techniques.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2025,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June 30, 2025,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2025, the Company issued 350 shares of common stock to non-employee directors on a current basis and 1,858 shares of common stock to the trust for distribution to directors on a deferred basis. These shares were issued on April 1, 2025 representing aggregate fees of $0.06 million. The shares on a current basis were issued at a price of $30.79 per share and the shares on a deferred basis were issued at a price of $27.71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June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249,583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849,324</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2025</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849,324</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847,724</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252,043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29.16</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251,183</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847,724</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71" w:lineRule="auto"/>
        <w:tabs>
          <w:tab w:leader="none" w:pos="26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April and June include 85 shares and 775 shares, respectively, withheld from the shares that would otherwise have been issued to certain officers in order to satisfy the tax withholding obligations resulting from the vesting of restricted stock.</w:t>
      </w:r>
    </w:p>
    <w:p>
      <w:pPr>
        <w:spacing w:after="0" w:line="177"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7"/>
          <w:szCs w:val="17"/>
          <w:color w:val="auto"/>
        </w:rPr>
        <w:t>As announced on December 17, 2024, the Board of Directors of the Company authorized the 2025 share repurchase plan on December 17, 2024. This plan authorizes the Company to purchase up to 1,100,000 shares through December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40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6,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40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6,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40"/>
          </w:cols>
          <w:pgMar w:left="320" w:top="11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200" w:val="left"/>
        </w:tabs>
        <w:rPr>
          <w:sz w:val="20"/>
          <w:szCs w:val="20"/>
          <w:color w:val="auto"/>
        </w:rPr>
      </w:pPr>
      <w:r>
        <w:rPr>
          <w:rFonts w:ascii="Times New Roman" w:cs="Times New Roman" w:eastAsia="Times New Roman" w:hAnsi="Times New Roman"/>
          <w:sz w:val="17"/>
          <w:szCs w:val="17"/>
          <w:color w:val="auto"/>
        </w:rPr>
        <w:t>Date: August 6, 2025</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6,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June 30,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June 30,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6, 2025</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June 30, 2025,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June 30, 2025,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6,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1."/>
      <w:numFmt w:val="decimal"/>
      <w:start w:val="2"/>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4"/>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5"/>
    </w:lvl>
  </w:abstractNum>
  <w:abstractNum w:abstractNumId="8">
    <w:nsid w:val="3855585C"/>
    <w:multiLevelType w:val="hybridMultilevel"/>
    <w:lvl w:ilvl="0">
      <w:lvlJc w:val="left"/>
      <w:lvlText w:val="%1."/>
      <w:numFmt w:val="decimal"/>
      <w:start w:val="6"/>
    </w:lvl>
  </w:abstractNum>
  <w:abstractNum w:abstractNumId="9">
    <w:nsid w:val="70A64E2A"/>
    <w:multiLevelType w:val="hybridMultilevel"/>
    <w:lvl w:ilvl="0">
      <w:lvlJc w:val="left"/>
      <w:lvlText w:val="\endash "/>
      <w:numFmt w:val="bullet"/>
      <w:start w:val="1"/>
    </w:lvl>
  </w:abstractNum>
  <w:abstractNum w:abstractNumId="10">
    <w:nsid w:val="6A2342EC"/>
    <w:multiLevelType w:val="hybridMultilevel"/>
    <w:lvl w:ilvl="0">
      <w:lvlJc w:val="left"/>
      <w:lvlText w:val="(%1)"/>
      <w:numFmt w:val="decimal"/>
      <w:start w:val="297"/>
    </w:lvl>
  </w:abstractNum>
  <w:abstractNum w:abstractNumId="11">
    <w:nsid w:val="2A487CB0"/>
    <w:multiLevelType w:val="hybridMultilevel"/>
    <w:lvl w:ilvl="0">
      <w:lvlJc w:val="left"/>
      <w:lvlText w:val="(%1)"/>
      <w:numFmt w:val="decimal"/>
      <w:start w:val="499"/>
    </w:lvl>
  </w:abstractNum>
  <w:abstractNum w:abstractNumId="12">
    <w:nsid w:val="1D4ED43B"/>
    <w:multiLevelType w:val="hybridMultilevel"/>
    <w:lvl w:ilvl="0">
      <w:lvlJc w:val="left"/>
      <w:lvlText w:val="(%1)"/>
      <w:numFmt w:val="decimal"/>
      <w:start w:val="101"/>
    </w:lvl>
  </w:abstractNum>
  <w:abstractNum w:abstractNumId="13">
    <w:nsid w:val="725A06FB"/>
    <w:multiLevelType w:val="hybridMultilevel"/>
    <w:lvl w:ilvl="0">
      <w:lvlJc w:val="left"/>
      <w:lvlText w:val="(%1)"/>
      <w:numFmt w:val="decimal"/>
      <w:start w:val="979"/>
    </w:lvl>
  </w:abstractNum>
  <w:abstractNum w:abstractNumId="14">
    <w:nsid w:val="2CD89A32"/>
    <w:multiLevelType w:val="hybridMultilevel"/>
    <w:lvl w:ilvl="0">
      <w:lvlJc w:val="left"/>
      <w:lvlText w:val="(%1)"/>
      <w:numFmt w:val="decimal"/>
      <w:start w:val="194"/>
    </w:lvl>
  </w:abstractNum>
  <w:abstractNum w:abstractNumId="15">
    <w:nsid w:val="57E4CCAF"/>
    <w:multiLevelType w:val="hybridMultilevel"/>
    <w:lvl w:ilvl="0">
      <w:lvlJc w:val="left"/>
      <w:lvlText w:val="%1."/>
      <w:numFmt w:val="decimal"/>
      <w:start w:val="8"/>
    </w:lvl>
  </w:abstractNum>
  <w:abstractNum w:abstractNumId="16">
    <w:nsid w:val="7A6D8D3C"/>
    <w:multiLevelType w:val="hybridMultilevel"/>
    <w:lvl w:ilvl="0">
      <w:lvlJc w:val="left"/>
      <w:lvlText w:val="%1."/>
      <w:numFmt w:val="decimal"/>
      <w:start w:val="9"/>
    </w:lvl>
  </w:abstractNum>
  <w:abstractNum w:abstractNumId="17">
    <w:nsid w:val="4B588F54"/>
    <w:multiLevelType w:val="hybridMultilevel"/>
    <w:lvl w:ilvl="0">
      <w:lvlJc w:val="left"/>
      <w:lvlText w:val="%1."/>
      <w:numFmt w:val="decimal"/>
      <w:start w:val="10"/>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decimal"/>
      <w:start w:val="1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2"/>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3"/>
    </w:lvl>
  </w:abstractNum>
  <w:abstractNum w:abstractNumId="28">
    <w:nsid w:val="79A1DEAA"/>
    <w:multiLevelType w:val="hybridMultilevel"/>
    <w:lvl w:ilvl="0">
      <w:lvlJc w:val="left"/>
      <w:lvlText w:val="%1."/>
      <w:numFmt w:val="decimal"/>
      <w:start w:val="14"/>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lvl w:ilvl="1">
      <w:lvlJc w:val="left"/>
      <w:lvlText w:val="(%2)"/>
      <w:numFmt w:val="decimal"/>
      <w:start w:val="66"/>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lvl w:ilvl="1">
      <w:lvlJc w:val="left"/>
      <w:lvlText w:val="(%2)"/>
      <w:numFmt w:val="decimal"/>
      <w:start w:val="56"/>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5"/>
    </w:lvl>
  </w:abstractNum>
  <w:abstractNum w:abstractNumId="45">
    <w:nsid w:val="741226BB"/>
    <w:multiLevelType w:val="hybridMultilevel"/>
    <w:lvl w:ilvl="0">
      <w:lvlJc w:val="left"/>
      <w:lvlText w:val="%1."/>
      <w:numFmt w:val="decimal"/>
      <w:start w:val="16"/>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7"/>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2"/>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101"/>
    </w:lvl>
  </w:abstractNum>
  <w:abstractNum w:abstractNumId="64">
    <w:nsid w:val="15014ACB"/>
    <w:multiLevelType w:val="hybridMultilevel"/>
    <w:lvl w:ilvl="0">
      <w:lvlJc w:val="left"/>
      <w:lvlText w:val="%1."/>
      <w:numFmt w:val="decimal"/>
      <w:start w:val="101"/>
    </w:lvl>
  </w:abstractNum>
  <w:abstractNum w:abstractNumId="65">
    <w:nsid w:val="5F5E7FD0"/>
    <w:multiLevelType w:val="hybridMultilevel"/>
    <w:lvl w:ilvl="0">
      <w:lvlJc w:val="left"/>
      <w:lvlText w:val="%1."/>
      <w:numFmt w:val="decimal"/>
      <w:start w:val="101"/>
    </w:lvl>
  </w:abstractNum>
  <w:abstractNum w:abstractNumId="66">
    <w:nsid w:val="98A3148"/>
    <w:multiLevelType w:val="hybridMultilevel"/>
    <w:lvl w:ilvl="0">
      <w:lvlJc w:val="left"/>
      <w:lvlText w:val="%1."/>
      <w:numFmt w:val="decimal"/>
      <w:start w:val="101"/>
    </w:lvl>
  </w:abstractNum>
  <w:abstractNum w:abstractNumId="67">
    <w:nsid w:val="799D0247"/>
    <w:multiLevelType w:val="hybridMultilevel"/>
    <w:lvl w:ilvl="0">
      <w:lvlJc w:val="left"/>
      <w:lvlText w:val="%1."/>
      <w:numFmt w:val="decimal"/>
      <w:start w:val="101"/>
    </w:lvl>
  </w:abstractNum>
  <w:abstractNum w:abstractNumId="68">
    <w:nsid w:val="6B94764"/>
    <w:multiLevelType w:val="hybridMultilevel"/>
    <w:lvl w:ilvl="0">
      <w:lvlJc w:val="left"/>
      <w:lvlText w:val="%1."/>
      <w:numFmt w:val="decimal"/>
      <w:start w:val="101"/>
    </w:lvl>
  </w:abstractNum>
  <w:abstractNum w:abstractNumId="69">
    <w:nsid w:val="42C296BD"/>
    <w:multiLevelType w:val="hybridMultilevel"/>
    <w:lvl w:ilvl="0">
      <w:lvlJc w:val="left"/>
      <w:lvlText w:val="%1"/>
      <w:numFmt w:val="decimal"/>
      <w:start w:val="104"/>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2025-08-06T10:57:19Z</dcterms:created>
  <dcterms:modified xsi:type="dcterms:W3CDTF">2025-08-06T10:57:19Z</dcterms:modified>
</cp:coreProperties>
</file>