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June 30,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32"/>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32"/>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20,896,522 as of August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Financial Condition June 30, 2024 and December 31, 2023</w:t>
            </w:r>
          </w:p>
        </w:tc>
        <w:tc>
          <w:tcPr>
            <w:tcW w:w="96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Operations Three- and Six-month periods ended June 30, 2024 and 2023</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0000FF"/>
            </w:tcBorders>
            <w:gridSpan w:val="14"/>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Three- and Six-month periods ended June 30, 2024 and 2023</w:t>
            </w:r>
          </w:p>
        </w:tc>
        <w:tc>
          <w:tcPr>
            <w:tcW w:w="6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5</w:t>
            </w: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Cash Flows Six-month periods ended June 30, 2024 and 2023</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 and Six-month periods ended June 30, 2024 and 2023</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w:t>
            </w:r>
          </w:p>
        </w:tc>
      </w:tr>
      <w:tr>
        <w:trPr>
          <w:trHeight w:val="193"/>
        </w:trPr>
        <w:tc>
          <w:tcPr>
            <w:tcW w:w="1020" w:type="dxa"/>
            <w:vAlign w:val="bottom"/>
            <w:tcBorders>
              <w:top w:val="single" w:sz="8" w:color="CCEEFF"/>
            </w:tcBorders>
          </w:tcPr>
          <w:p>
            <w:pPr>
              <w:spacing w:after="0"/>
              <w:rPr>
                <w:sz w:val="16"/>
                <w:szCs w:val="16"/>
                <w:color w:val="auto"/>
              </w:rPr>
            </w:pPr>
          </w:p>
        </w:tc>
        <w:tc>
          <w:tcPr>
            <w:tcW w:w="8400" w:type="dxa"/>
            <w:vAlign w:val="bottom"/>
            <w:tcBorders>
              <w:top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860" w:type="dxa"/>
            <w:vAlign w:val="bottom"/>
            <w:tcBorders>
              <w:top w:val="single" w:sz="8" w:color="CCEEFF"/>
            </w:tcBorders>
            <w:gridSpan w:val="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8-65</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66-83</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84</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84</w:t>
            </w:r>
          </w:p>
        </w:tc>
      </w:tr>
      <w:tr>
        <w:trPr>
          <w:trHeight w:val="258"/>
        </w:trPr>
        <w:tc>
          <w:tcPr>
            <w:tcW w:w="1020" w:type="dxa"/>
            <w:vAlign w:val="bottom"/>
            <w:tcBorders>
              <w:top w:val="single" w:sz="8" w:color="CCEE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85</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85</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85</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new legislation, which may have significant effects on us and the financial services industry.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2023,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 Item 1.</w:t>
            </w:r>
          </w:p>
        </w:tc>
        <w:tc>
          <w:tcPr>
            <w:tcW w:w="5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3"/>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Condensed Consolidated Statements of Financial Condition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791"/>
              <w:spacing w:after="0"/>
              <w:rPr>
                <w:sz w:val="20"/>
                <w:szCs w:val="20"/>
                <w:color w:val="auto"/>
              </w:rPr>
            </w:pPr>
            <w:r>
              <w:rPr>
                <w:rFonts w:ascii="Times New Roman" w:cs="Times New Roman" w:eastAsia="Times New Roman" w:hAnsi="Times New Roman"/>
                <w:sz w:val="14"/>
                <w:szCs w:val="14"/>
                <w:color w:val="auto"/>
                <w:w w:val="97"/>
              </w:rPr>
              <w:t>(Unaudited)</w:t>
            </w:r>
          </w:p>
        </w:tc>
        <w:tc>
          <w:tcPr>
            <w:tcW w:w="1160" w:type="dxa"/>
            <w:vAlign w:val="bottom"/>
            <w:tcBorders>
              <w:bottom w:val="single" w:sz="8" w:color="auto"/>
            </w:tcBorders>
          </w:tcPr>
          <w:p>
            <w:pPr>
              <w:spacing w:after="0"/>
              <w:rPr>
                <w:sz w:val="16"/>
                <w:szCs w:val="16"/>
                <w:color w:val="auto"/>
              </w:rPr>
            </w:pPr>
          </w:p>
        </w:tc>
      </w:tr>
      <w:tr>
        <w:trPr>
          <w:trHeight w:val="129"/>
        </w:trPr>
        <w:tc>
          <w:tcPr>
            <w:tcW w:w="2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60" w:type="dxa"/>
            <w:vAlign w:val="bottom"/>
            <w:gridSpan w:val="4"/>
          </w:tcPr>
          <w:p>
            <w:pPr>
              <w:jc w:val="center"/>
              <w:ind w:right="231"/>
              <w:spacing w:after="0" w:line="129" w:lineRule="exact"/>
              <w:rPr>
                <w:sz w:val="20"/>
                <w:szCs w:val="20"/>
                <w:color w:val="auto"/>
              </w:rPr>
            </w:pPr>
            <w:r>
              <w:rPr>
                <w:rFonts w:ascii="Times New Roman" w:cs="Times New Roman" w:eastAsia="Times New Roman" w:hAnsi="Times New Roman"/>
                <w:sz w:val="14"/>
                <w:szCs w:val="14"/>
                <w:color w:val="auto"/>
                <w:w w:val="98"/>
              </w:rPr>
              <w:t>(In thousands, except share</w:t>
            </w:r>
          </w:p>
        </w:tc>
      </w:tr>
      <w:tr>
        <w:trPr>
          <w:trHeight w:val="178"/>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center"/>
              <w:ind w:left="811"/>
              <w:spacing w:after="0"/>
              <w:rPr>
                <w:sz w:val="20"/>
                <w:szCs w:val="20"/>
                <w:color w:val="auto"/>
              </w:rPr>
            </w:pPr>
            <w:r>
              <w:rPr>
                <w:rFonts w:ascii="Times New Roman" w:cs="Times New Roman" w:eastAsia="Times New Roman" w:hAnsi="Times New Roman"/>
                <w:sz w:val="14"/>
                <w:szCs w:val="14"/>
                <w:color w:val="auto"/>
                <w:w w:val="99"/>
              </w:rPr>
              <w:t>amounts)</w:t>
            </w:r>
          </w:p>
        </w:tc>
        <w:tc>
          <w:tcPr>
            <w:tcW w:w="1160" w:type="dxa"/>
            <w:vAlign w:val="bottom"/>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68,208</w:t>
            </w: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159,438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101,573</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214,348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591,974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679,350</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$305,654 at June 30, 2024 and $318,606 at December 31, 2023 )</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353,988</w:t>
            </w:r>
          </w:p>
        </w:tc>
      </w:tr>
      <w:tr>
        <w:trPr>
          <w:trHeight w:val="201"/>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16,821</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12,063</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1,732,353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1,679,731</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1,501,377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1,485,872</w:t>
            </w:r>
          </w:p>
        </w:tc>
      </w:tr>
      <w:tr>
        <w:trPr>
          <w:trHeight w:val="186"/>
        </w:trPr>
        <w:tc>
          <w:tcPr>
            <w:tcW w:w="2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618,159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625,298</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Loans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3,851,889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3,790,901</w:t>
            </w:r>
          </w:p>
        </w:tc>
      </w:tr>
      <w:tr>
        <w:trPr>
          <w:trHeight w:val="186"/>
        </w:trPr>
        <w:tc>
          <w:tcPr>
            <w:tcW w:w="2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(56,241)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(54,658)</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Net Loans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3,795,648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3,736,243</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35,523</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54,341</w:t>
            </w:r>
          </w:p>
        </w:tc>
      </w:tr>
      <w:tr>
        <w:trPr>
          <w:trHeight w:val="201"/>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42,243</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134,145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132,500</w:t>
            </w:r>
          </w:p>
        </w:tc>
      </w:tr>
      <w:tr>
        <w:trPr>
          <w:trHeight w:val="218"/>
        </w:trPr>
        <w:tc>
          <w:tcPr>
            <w:tcW w:w="28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5,277,500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9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1,076,093</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1,926,065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1,905,701</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925,828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832,020</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585,561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524,325</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127,249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284,740</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4,614,328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4,622,879</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50,026</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39,510</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39,728</w:t>
            </w: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103,391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107,134</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4,847,041</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4,859,277</w:t>
            </w:r>
          </w:p>
        </w:tc>
      </w:tr>
      <w:tr>
        <w:trPr>
          <w:trHeight w:val="166"/>
        </w:trPr>
        <w:tc>
          <w:tcPr>
            <w:tcW w:w="28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Commitments and contingent liabilities</w:t>
            </w:r>
          </w:p>
        </w:tc>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7"/>
        </w:trPr>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3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0"/>
        </w:trPr>
        <w:tc>
          <w:tcPr>
            <w:tcW w:w="8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20,899,358 shares at June 30, 2024 and 20,835,633</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07"/>
        </w:trPr>
        <w:tc>
          <w:tcPr>
            <w:tcW w:w="2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shares at December 31, 2023</w:t>
            </w:r>
          </w:p>
        </w:tc>
        <w:tc>
          <w:tcPr>
            <w:tcW w:w="68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317,676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w:t>
            </w:r>
          </w:p>
        </w:tc>
      </w:tr>
      <w:tr>
        <w:trPr>
          <w:trHeight w:val="197"/>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159,108</w:t>
            </w: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8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(72,142)</w:t>
            </w:r>
          </w:p>
        </w:tc>
      </w:tr>
      <w:tr>
        <w:trPr>
          <w:trHeight w:val="179"/>
        </w:trPr>
        <w:tc>
          <w:tcPr>
            <w:tcW w:w="28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430,459</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404,449</w:t>
            </w:r>
          </w:p>
        </w:tc>
      </w:tr>
      <w:tr>
        <w:trPr>
          <w:trHeight w:val="218"/>
        </w:trPr>
        <w:tc>
          <w:tcPr>
            <w:tcW w:w="28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5,277,500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60" w:type="dxa"/>
            <w:vAlign w:val="bottom"/>
          </w:tcPr>
          <w:p>
            <w:pPr>
              <w:spacing w:after="0"/>
              <w:rPr>
                <w:sz w:val="15"/>
                <w:szCs w:val="15"/>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93"/>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r>
      <w:tr>
        <w:trPr>
          <w:trHeight w:val="22"/>
        </w:trPr>
        <w:tc>
          <w:tcPr>
            <w:tcW w:w="6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9"/>
        </w:trPr>
        <w:tc>
          <w:tcPr>
            <w:tcW w:w="6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4"/>
                <w:szCs w:val="14"/>
                <w:color w:val="auto"/>
              </w:rPr>
              <w:t>(Unaudited)</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Borders>
              <w:bottom w:val="single" w:sz="8" w:color="auto"/>
            </w:tcBorders>
          </w:tcPr>
          <w:p>
            <w:pPr>
              <w:spacing w:after="0"/>
              <w:rPr>
                <w:sz w:val="15"/>
                <w:szCs w:val="15"/>
                <w:color w:val="auto"/>
              </w:rPr>
            </w:pPr>
          </w:p>
        </w:tc>
      </w:tr>
      <w:tr>
        <w:trPr>
          <w:trHeight w:val="178"/>
        </w:trPr>
        <w:tc>
          <w:tcPr>
            <w:tcW w:w="6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
        </w:trPr>
        <w:tc>
          <w:tcPr>
            <w:tcW w:w="6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3"/>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76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56,786</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47,679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111,829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91,973</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on securities</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Taxable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11,803</w:t>
            </w:r>
          </w:p>
        </w:tc>
      </w:tr>
      <w:tr>
        <w:trPr>
          <w:trHeight w:val="186"/>
        </w:trPr>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Tax-exempt</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6,366</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investments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Total Interest Income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66,338</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57,948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131,464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111,884</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Deposits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22,876</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17,461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31,221</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borrowings and subordinated debt and debentures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Total Interest Expense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24,992</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19,598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35,093</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Net Interest Income</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41,346</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38,350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76,791</w:t>
            </w:r>
          </w:p>
        </w:tc>
      </w:tr>
      <w:tr>
        <w:trPr>
          <w:trHeight w:val="186"/>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5,477</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41,327</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35,033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80,780</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71,314</w:t>
            </w:r>
          </w:p>
        </w:tc>
      </w:tr>
      <w:tr>
        <w:trPr>
          <w:trHeight w:val="166"/>
        </w:trPr>
        <w:tc>
          <w:tcPr>
            <w:tcW w:w="61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Non-interest Income</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Interchange income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gains (losses) on assets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6"/>
        </w:trPr>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Mortgage loans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r>
      <w:tr>
        <w:trPr>
          <w:trHeight w:val="201"/>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7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Mortgage loan servicing, net</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r>
      <w:tr>
        <w:trPr>
          <w:trHeight w:val="186"/>
        </w:trPr>
        <w:tc>
          <w:tcPr>
            <w:tcW w:w="6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5,863</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Total Non-interest Income</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15,172</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15,417</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27,733</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25,968</w:t>
            </w:r>
          </w:p>
        </w:tc>
      </w:tr>
      <w:tr>
        <w:trPr>
          <w:trHeight w:val="166"/>
        </w:trPr>
        <w:tc>
          <w:tcPr>
            <w:tcW w:w="61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Non-interest Expense</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21,251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20,602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39,941</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Data processing</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5,882</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Occupancy, net</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Interchange expense</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FDIC deposit insurance</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Advertising</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 and collection</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Communications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Legal and professional</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207"/>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Costs (recoveries) related to unfunded lending commitments</w:t>
            </w: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86"/>
        </w:trPr>
        <w:tc>
          <w:tcPr>
            <w:tcW w:w="6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3,756</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Total Non-interest Expense</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33,333</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32,248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65,526</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63,205</w:t>
            </w:r>
          </w:p>
        </w:tc>
      </w:tr>
      <w:tr>
        <w:trPr>
          <w:trHeight w:val="179"/>
        </w:trPr>
        <w:tc>
          <w:tcPr>
            <w:tcW w:w="6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Income Before Income Tax</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23,166</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18,202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34,077</w:t>
            </w:r>
          </w:p>
        </w:tc>
      </w:tr>
      <w:tr>
        <w:trPr>
          <w:trHeight w:val="194"/>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expense</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r>
      <w:tr>
        <w:trPr>
          <w:trHeight w:val="193"/>
        </w:trPr>
        <w:tc>
          <w:tcPr>
            <w:tcW w:w="6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18,528</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14,790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34,519</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27,781</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9"/>
        </w:trPr>
        <w:tc>
          <w:tcPr>
            <w:tcW w:w="6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 Per Common Share</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93"/>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7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76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26" w:lineRule="exact"/>
        <w:rPr>
          <w:sz w:val="20"/>
          <w:szCs w:val="20"/>
          <w:color w:val="auto"/>
        </w:rPr>
      </w:pPr>
    </w:p>
    <w:tbl>
      <w:tblPr>
        <w:tblLayout w:type="fixed"/>
        <w:tblInd w:w="6120" w:type="dxa"/>
        <w:tblCellMar>
          <w:top w:w="0" w:type="dxa"/>
          <w:left w:w="0" w:type="dxa"/>
          <w:bottom w:w="0" w:type="dxa"/>
          <w:right w:w="0" w:type="dxa"/>
        </w:tblCellMar>
      </w:tblPr>
      <w:tr>
        <w:trPr>
          <w:trHeight w:val="206"/>
        </w:trPr>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Three months ended</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23"/>
        </w:trPr>
        <w:tc>
          <w:tcPr>
            <w:tcW w:w="880" w:type="dxa"/>
            <w:vAlign w:val="bottom"/>
          </w:tcPr>
          <w:p>
            <w:pPr>
              <w:spacing w:after="0"/>
              <w:rPr>
                <w:sz w:val="19"/>
                <w:szCs w:val="19"/>
                <w:color w:val="auto"/>
              </w:rPr>
            </w:pPr>
          </w:p>
        </w:tc>
        <w:tc>
          <w:tcPr>
            <w:tcW w:w="1680" w:type="dxa"/>
            <w:vAlign w:val="bottom"/>
          </w:tcPr>
          <w:p>
            <w:pPr>
              <w:jc w:val="center"/>
              <w:ind w:right="834"/>
              <w:spacing w:after="0"/>
              <w:rPr>
                <w:sz w:val="20"/>
                <w:szCs w:val="20"/>
                <w:color w:val="auto"/>
              </w:rPr>
            </w:pPr>
            <w:r>
              <w:rPr>
                <w:rFonts w:ascii="Times New Roman" w:cs="Times New Roman" w:eastAsia="Times New Roman" w:hAnsi="Times New Roman"/>
                <w:sz w:val="17"/>
                <w:szCs w:val="17"/>
                <w:color w:val="auto"/>
                <w:w w:val="98"/>
              </w:rPr>
              <w:t>June 30,</w:t>
            </w:r>
          </w:p>
        </w:tc>
        <w:tc>
          <w:tcPr>
            <w:tcW w:w="960" w:type="dxa"/>
            <w:vAlign w:val="bottom"/>
          </w:tcPr>
          <w:p>
            <w:pPr>
              <w:spacing w:after="0"/>
              <w:rPr>
                <w:sz w:val="19"/>
                <w:szCs w:val="19"/>
                <w:color w:val="auto"/>
              </w:rPr>
            </w:pPr>
          </w:p>
        </w:tc>
        <w:tc>
          <w:tcPr>
            <w:tcW w:w="1600" w:type="dxa"/>
            <w:vAlign w:val="bottom"/>
          </w:tcPr>
          <w:p>
            <w:pPr>
              <w:jc w:val="center"/>
              <w:ind w:right="834"/>
              <w:spacing w:after="0"/>
              <w:rPr>
                <w:sz w:val="20"/>
                <w:szCs w:val="20"/>
                <w:color w:val="auto"/>
              </w:rPr>
            </w:pPr>
            <w:r>
              <w:rPr>
                <w:rFonts w:ascii="Times New Roman" w:cs="Times New Roman" w:eastAsia="Times New Roman" w:hAnsi="Times New Roman"/>
                <w:sz w:val="17"/>
                <w:szCs w:val="17"/>
                <w:color w:val="auto"/>
                <w:w w:val="98"/>
              </w:rPr>
              <w:t>June 30,</w:t>
            </w:r>
          </w:p>
        </w:tc>
      </w:tr>
      <w:tr>
        <w:trPr>
          <w:trHeight w:val="245"/>
        </w:trPr>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2024</w:t>
            </w:r>
          </w:p>
        </w:tc>
        <w:tc>
          <w:tcPr>
            <w:tcW w:w="16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2024</w:t>
            </w:r>
          </w:p>
        </w:tc>
        <w:tc>
          <w:tcPr>
            <w:tcW w:w="16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r>
      <w:tr>
        <w:trPr>
          <w:trHeight w:val="216"/>
        </w:trPr>
        <w:tc>
          <w:tcPr>
            <w:tcW w:w="880" w:type="dxa"/>
            <w:vAlign w:val="bottom"/>
          </w:tcPr>
          <w:p>
            <w:pPr>
              <w:spacing w:after="0"/>
              <w:rPr>
                <w:sz w:val="18"/>
                <w:szCs w:val="18"/>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(Unaudited - In thousands)</w:t>
            </w:r>
          </w:p>
        </w:tc>
        <w:tc>
          <w:tcPr>
            <w:tcW w:w="16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tcPr>
          <w:p>
            <w:pPr>
              <w:spacing w:after="0"/>
              <w:rPr>
                <w:sz w:val="19"/>
                <w:szCs w:val="19"/>
                <w:color w:val="auto"/>
              </w:rPr>
            </w:pPr>
          </w:p>
        </w:tc>
      </w:tr>
      <w:tr>
        <w:trPr>
          <w:trHeight w:val="219"/>
        </w:trPr>
        <w:tc>
          <w:tcPr>
            <w:tcW w:w="6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60" w:type="dxa"/>
            <w:vAlign w:val="bottom"/>
          </w:tcPr>
          <w:p>
            <w:pPr>
              <w:spacing w:after="0"/>
              <w:rPr>
                <w:sz w:val="19"/>
                <w:szCs w:val="19"/>
                <w:color w:val="auto"/>
              </w:rPr>
            </w:pPr>
          </w:p>
        </w:tc>
      </w:tr>
      <w:tr>
        <w:trPr>
          <w:trHeight w:val="223"/>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160" w:type="dxa"/>
            <w:vAlign w:val="bottom"/>
          </w:tcPr>
          <w:p>
            <w:pPr>
              <w:spacing w:after="0"/>
              <w:rPr>
                <w:sz w:val="19"/>
                <w:szCs w:val="19"/>
                <w:color w:val="auto"/>
              </w:rPr>
            </w:pPr>
          </w:p>
        </w:tc>
      </w:tr>
      <w:tr>
        <w:trPr>
          <w:trHeight w:val="232"/>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160" w:type="dxa"/>
            <w:vAlign w:val="bottom"/>
          </w:tcPr>
          <w:p>
            <w:pPr>
              <w:spacing w:after="0"/>
              <w:rPr>
                <w:sz w:val="20"/>
                <w:szCs w:val="20"/>
                <w:color w:val="auto"/>
              </w:rPr>
            </w:pPr>
          </w:p>
        </w:tc>
      </w:tr>
      <w:tr>
        <w:trPr>
          <w:trHeight w:val="258"/>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Reclassification adjustments for losses included in earnings</w:t>
            </w:r>
          </w:p>
        </w:tc>
        <w:tc>
          <w:tcPr>
            <w:tcW w:w="160" w:type="dxa"/>
            <w:vAlign w:val="bottom"/>
          </w:tcPr>
          <w:p>
            <w:pPr>
              <w:spacing w:after="0"/>
              <w:rPr>
                <w:sz w:val="22"/>
                <w:szCs w:val="22"/>
                <w:color w:val="auto"/>
              </w:rPr>
            </w:pPr>
          </w:p>
        </w:tc>
      </w:tr>
      <w:tr>
        <w:trPr>
          <w:trHeight w:val="241"/>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w:t>
            </w:r>
          </w:p>
        </w:tc>
        <w:tc>
          <w:tcPr>
            <w:tcW w:w="160" w:type="dxa"/>
            <w:vAlign w:val="bottom"/>
          </w:tcPr>
          <w:p>
            <w:pPr>
              <w:spacing w:after="0"/>
              <w:rPr>
                <w:sz w:val="20"/>
                <w:szCs w:val="20"/>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available for sale</w:t>
            </w:r>
          </w:p>
        </w:tc>
        <w:tc>
          <w:tcPr>
            <w:tcW w:w="160" w:type="dxa"/>
            <w:vAlign w:val="bottom"/>
          </w:tcPr>
          <w:p>
            <w:pPr>
              <w:spacing w:after="0"/>
              <w:rPr>
                <w:sz w:val="19"/>
                <w:szCs w:val="19"/>
                <w:color w:val="auto"/>
              </w:rPr>
            </w:pPr>
          </w:p>
        </w:tc>
      </w:tr>
      <w:tr>
        <w:trPr>
          <w:trHeight w:val="245"/>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Pr>
          <w:p>
            <w:pPr>
              <w:spacing w:after="0"/>
              <w:rPr>
                <w:sz w:val="21"/>
                <w:szCs w:val="21"/>
                <w:color w:val="auto"/>
              </w:rPr>
            </w:pPr>
          </w:p>
        </w:tc>
      </w:tr>
      <w:tr>
        <w:trPr>
          <w:trHeight w:val="215"/>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w:t>
            </w:r>
          </w:p>
        </w:tc>
        <w:tc>
          <w:tcPr>
            <w:tcW w:w="160" w:type="dxa"/>
            <w:vAlign w:val="bottom"/>
          </w:tcPr>
          <w:p>
            <w:pPr>
              <w:spacing w:after="0"/>
              <w:rPr>
                <w:sz w:val="18"/>
                <w:szCs w:val="18"/>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available for sale, net of tax</w:t>
            </w:r>
          </w:p>
        </w:tc>
        <w:tc>
          <w:tcPr>
            <w:tcW w:w="160" w:type="dxa"/>
            <w:vAlign w:val="bottom"/>
          </w:tcPr>
          <w:p>
            <w:pPr>
              <w:spacing w:after="0"/>
              <w:rPr>
                <w:sz w:val="19"/>
                <w:szCs w:val="19"/>
                <w:color w:val="auto"/>
              </w:rPr>
            </w:pPr>
          </w:p>
        </w:tc>
      </w:tr>
      <w:tr>
        <w:trPr>
          <w:trHeight w:val="245"/>
        </w:trPr>
        <w:tc>
          <w:tcPr>
            <w:tcW w:w="6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instruments</w:t>
            </w:r>
          </w:p>
        </w:tc>
        <w:tc>
          <w:tcPr>
            <w:tcW w:w="160" w:type="dxa"/>
            <w:vAlign w:val="bottom"/>
          </w:tcPr>
          <w:p>
            <w:pPr>
              <w:spacing w:after="0"/>
              <w:rPr>
                <w:sz w:val="21"/>
                <w:szCs w:val="21"/>
                <w:color w:val="auto"/>
              </w:rPr>
            </w:pPr>
          </w:p>
        </w:tc>
      </w:tr>
      <w:tr>
        <w:trPr>
          <w:trHeight w:val="232"/>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160" w:type="dxa"/>
            <w:vAlign w:val="bottom"/>
          </w:tcPr>
          <w:p>
            <w:pPr>
              <w:spacing w:after="0"/>
              <w:rPr>
                <w:sz w:val="20"/>
                <w:szCs w:val="20"/>
                <w:color w:val="auto"/>
              </w:rPr>
            </w:pPr>
          </w:p>
        </w:tc>
      </w:tr>
      <w:tr>
        <w:trPr>
          <w:trHeight w:val="258"/>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160" w:type="dxa"/>
            <w:vAlign w:val="bottom"/>
          </w:tcPr>
          <w:p>
            <w:pPr>
              <w:spacing w:after="0"/>
              <w:rPr>
                <w:sz w:val="22"/>
                <w:szCs w:val="22"/>
                <w:color w:val="auto"/>
              </w:rPr>
            </w:pPr>
          </w:p>
        </w:tc>
      </w:tr>
      <w:tr>
        <w:trPr>
          <w:trHeight w:val="241"/>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on derivative</w:t>
            </w:r>
          </w:p>
        </w:tc>
        <w:tc>
          <w:tcPr>
            <w:tcW w:w="160" w:type="dxa"/>
            <w:vAlign w:val="bottom"/>
          </w:tcPr>
          <w:p>
            <w:pPr>
              <w:spacing w:after="0"/>
              <w:rPr>
                <w:sz w:val="20"/>
                <w:szCs w:val="20"/>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instruments</w:t>
            </w:r>
          </w:p>
        </w:tc>
        <w:tc>
          <w:tcPr>
            <w:tcW w:w="160" w:type="dxa"/>
            <w:vAlign w:val="bottom"/>
          </w:tcPr>
          <w:p>
            <w:pPr>
              <w:spacing w:after="0"/>
              <w:rPr>
                <w:sz w:val="19"/>
                <w:szCs w:val="19"/>
                <w:color w:val="auto"/>
              </w:rPr>
            </w:pPr>
          </w:p>
        </w:tc>
      </w:tr>
      <w:tr>
        <w:trPr>
          <w:trHeight w:val="258"/>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0" w:type="dxa"/>
            <w:vAlign w:val="bottom"/>
          </w:tcPr>
          <w:p>
            <w:pPr>
              <w:spacing w:after="0"/>
              <w:rPr>
                <w:sz w:val="22"/>
                <w:szCs w:val="22"/>
                <w:color w:val="auto"/>
              </w:rPr>
            </w:pPr>
          </w:p>
        </w:tc>
      </w:tr>
      <w:tr>
        <w:trPr>
          <w:trHeight w:val="241"/>
        </w:trPr>
        <w:tc>
          <w:tcPr>
            <w:tcW w:w="6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on derivative</w:t>
            </w:r>
          </w:p>
        </w:tc>
        <w:tc>
          <w:tcPr>
            <w:tcW w:w="160" w:type="dxa"/>
            <w:vAlign w:val="bottom"/>
          </w:tcPr>
          <w:p>
            <w:pPr>
              <w:spacing w:after="0"/>
              <w:rPr>
                <w:sz w:val="20"/>
                <w:szCs w:val="20"/>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instruments, net of tax</w:t>
            </w:r>
          </w:p>
        </w:tc>
        <w:tc>
          <w:tcPr>
            <w:tcW w:w="160" w:type="dxa"/>
            <w:vAlign w:val="bottom"/>
          </w:tcPr>
          <w:p>
            <w:pPr>
              <w:spacing w:after="0"/>
              <w:rPr>
                <w:sz w:val="19"/>
                <w:szCs w:val="19"/>
                <w:color w:val="auto"/>
              </w:rPr>
            </w:pPr>
          </w:p>
        </w:tc>
      </w:tr>
      <w:tr>
        <w:trPr>
          <w:trHeight w:val="258"/>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tcPr>
          <w:p>
            <w:pPr>
              <w:spacing w:after="0"/>
              <w:rPr>
                <w:sz w:val="22"/>
                <w:szCs w:val="22"/>
                <w:color w:val="auto"/>
              </w:rPr>
            </w:pPr>
          </w:p>
        </w:tc>
      </w:tr>
      <w:tr>
        <w:trPr>
          <w:trHeight w:val="258"/>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-3143250</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-2865120</wp:posOffset>
            </wp:positionV>
            <wp:extent cx="713867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-2586355</wp:posOffset>
            </wp:positionV>
            <wp:extent cx="7138670" cy="163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-1391285</wp:posOffset>
            </wp:positionV>
            <wp:extent cx="7138670" cy="163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7138670"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-605155</wp:posOffset>
            </wp:positionV>
            <wp:extent cx="7138670" cy="294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-1063625</wp:posOffset>
            </wp:positionV>
            <wp:extent cx="7138670" cy="294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-1824990</wp:posOffset>
            </wp:positionV>
            <wp:extent cx="7138670" cy="294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-2259330</wp:posOffset>
            </wp:positionV>
            <wp:extent cx="7138670" cy="294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4"/>
              </w:rPr>
              <w:t>18,528</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34,519</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27,781</w:t>
            </w:r>
          </w:p>
        </w:tc>
      </w:tr>
      <w:tr>
        <w:trPr>
          <w:trHeight w:val="657"/>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272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13,763</w:t>
            </w:r>
          </w:p>
        </w:tc>
      </w:tr>
      <w:tr>
        <w:trPr>
          <w:trHeight w:val="258"/>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855</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r>
      <w:tr>
        <w:trPr>
          <w:trHeight w:val="257"/>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441"/>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1,127</w:t>
            </w: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15,771</w:t>
            </w:r>
          </w:p>
        </w:tc>
      </w:tr>
      <w:tr>
        <w:trPr>
          <w:trHeight w:val="223"/>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236</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3,312</w:t>
            </w:r>
          </w:p>
        </w:tc>
      </w:tr>
      <w:tr>
        <w:trPr>
          <w:trHeight w:val="44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891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2,955</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12,459</w:t>
            </w:r>
          </w:p>
        </w:tc>
      </w:tr>
      <w:tr>
        <w:trPr>
          <w:trHeight w:val="457"/>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(463)</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57"/>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349</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445"/>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(114)</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57"/>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444"/>
        </w:trPr>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(90)</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12"/>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801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12,253</w:t>
            </w:r>
          </w:p>
        </w:tc>
      </w:tr>
      <w:tr>
        <w:trPr>
          <w:trHeight w:val="212"/>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4"/>
              </w:rPr>
              <w:t>19,329</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35,833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40,034</w:t>
            </w:r>
          </w:p>
        </w:tc>
      </w:tr>
      <w:tr>
        <w:trPr>
          <w:trHeight w:val="20"/>
        </w:trPr>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-7620</wp:posOffset>
            </wp:positionV>
            <wp:extent cx="777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-327025</wp:posOffset>
            </wp:positionV>
            <wp:extent cx="777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-1546860</wp:posOffset>
            </wp:positionV>
            <wp:extent cx="777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78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580"/>
            <w:col w:w="444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48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color w:val="auto"/>
              </w:rPr>
              <w:t>Six months ended June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48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color w:val="auto"/>
              </w:rPr>
              <w:t>(Unaudited - In thousands)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34,519</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27,781</w:t>
            </w:r>
          </w:p>
        </w:tc>
        <w:tc>
          <w:tcPr>
            <w:tcW w:w="0" w:type="dxa"/>
            <w:vAlign w:val="bottom"/>
          </w:tcPr>
          <w:p>
            <w:pPr>
              <w:spacing w:after="0"/>
              <w:rPr>
                <w:sz w:val="1"/>
                <w:szCs w:val="1"/>
                <w:color w:val="auto"/>
              </w:rPr>
            </w:pP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equity securities at fair value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156,178</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(168,399)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(146,403)</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loan costs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depreciation, amortization of intangible assets and premiums and accretion of discounts on securities and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equity securities at fair value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securities available for sale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accrued income and other assets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Total Adjustments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29,580</w:t>
            </w:r>
          </w:p>
        </w:tc>
        <w:tc>
          <w:tcPr>
            <w:tcW w:w="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33,076</w:t>
            </w:r>
          </w:p>
        </w:tc>
        <w:tc>
          <w:tcPr>
            <w:tcW w:w="0" w:type="dxa"/>
            <w:vAlign w:val="bottom"/>
          </w:tcPr>
          <w:p>
            <w:pPr>
              <w:spacing w:after="0"/>
              <w:rPr>
                <w:sz w:val="1"/>
                <w:szCs w:val="1"/>
                <w:color w:val="auto"/>
              </w:rPr>
            </w:pP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(Used in) Investing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37,273</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59,513</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Federal Home Loan Bank stock</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(198,913)</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Investing Activities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34,545</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(77,317)</w:t>
            </w:r>
          </w:p>
        </w:tc>
        <w:tc>
          <w:tcPr>
            <w:tcW w:w="0" w:type="dxa"/>
            <w:vAlign w:val="bottom"/>
          </w:tcPr>
          <w:p>
            <w:pPr>
              <w:spacing w:after="0"/>
              <w:rPr>
                <w:sz w:val="1"/>
                <w:szCs w:val="1"/>
                <w:color w:val="auto"/>
              </w:rPr>
            </w:pPr>
          </w:p>
        </w:tc>
      </w:tr>
      <w:tr>
        <w:trPr>
          <w:trHeight w:val="17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(Used in)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(decrease) in total deposits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108,567</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(60,991)</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Financing Activities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(19,558)</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99,062</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54,821</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214,348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32,812</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7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5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April 1, 2024</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415,570</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June 30,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18,528</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$0.24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0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267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430,459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April 1, 2023</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127,499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(80,811)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367,714</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June 30,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$0.23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200,000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7,500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369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2,478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2023</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375,162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six months ended June 30,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$0.48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102,324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39,950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430,459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347,596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six months ended June 30, 2023</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27,781</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$0.46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200,000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23,000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86,763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30,040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12,253</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2023</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375,162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2023 included in our Annual Report on Form 10-K.</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opinion, the accompanying unaudited condensed consolidated financial statements contain all the adjustments necessary to present fairly our consolidated financial condition as of June 30, 2024 and December 31, 2023, and the results of operations for the three and six-month periods ended June 30, 2024 and 2023. The results of operations for the three and six-month periods ended June 30, 2024,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2023 Annual Report on Form 10-K for a disclosure of our accounting policies.</w:t>
      </w:r>
    </w:p>
    <w:p>
      <w:pPr>
        <w:spacing w:after="0" w:line="147"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March 2020, the Financial Accounting Standards Board ("FASB") issued Accounting Standards Update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had formed a cross-functional project team to lead the transition from LIBOR to a planned adoption of reference rates which included Secured Overnight Financing Rate (“SOFR”). We utilized the timeline guidance published by the Alternative Reference Rates Committee to develop and achieve internal milestones during the transitional period. We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2024.</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March, 2023, the FASB issued ASU 2023-02, "Investments - Equity Method and Joint Ventures (Topic 323): Accounting for Investments in Tax Credit Structures Using the Proportional Amortization Method (a consensus of the Emerging Issues Task Force)". This ASU expands the use of the proportional amortization method of accounting — currently allowed only for investments in low-income housing tax credit ("LIHTC") structures — to equity investments in other tax credit structures that meet certain criteria. Common tax credit programs that investors access via tax equity structures and that may now be eligible for application of the proportional amortization method include: new markets tax credits, historic rehabilitation tax credit programs, and renewable energy tax credit programs. This ASU takes effect in reporting periods beginning after December 15, 2023, with early adoption permitted. The adoption of this ASU on January 1, 2024, did not have a material impact on our Condensed Consolidated Financial Statements.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323): Improvements to Reportable Segment Disclosures". This ASU enhances disclosures of significant segment expenses by requiring entities to disclose significant segment expenses regularly provided to the chief operating decision maker, extend certain annual disclosures to interim periods, and permit more than one measure of segment profit or loss to be reported under certain conditions. This ASU takes effect for annual reporting periods beginning after December 15, 2023 and interim periods within fiscal years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beginning after December 15, 2024. Early adoption is permitted. We do not expect the adoption of this ASU to have a material impact on our Condensed Consolidated Financial Statements.</w:t>
      </w:r>
    </w:p>
    <w:p>
      <w:pPr>
        <w:spacing w:after="0" w:line="12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reporting periods beginning after December 15, 2024, with early adoption permitted. We do not expect the adoption of this ASU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have a material impact on our Condensed Consolidated Financial Statements.</w:t>
      </w:r>
    </w:p>
    <w:p>
      <w:pPr>
        <w:spacing w:after="0" w:line="200" w:lineRule="exact"/>
        <w:rPr>
          <w:sz w:val="20"/>
          <w:szCs w:val="20"/>
          <w:color w:val="auto"/>
        </w:rPr>
      </w:pPr>
    </w:p>
    <w:p>
      <w:pPr>
        <w:spacing w:after="0" w:line="391"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8,766</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75,900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11,896</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80,842</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51,430</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292,214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69,975</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591,974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10,299</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81,217</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86,469</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112,931</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302,737</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73,250</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0" w:type="dxa"/>
            <w:vAlign w:val="bottom"/>
          </w:tcPr>
          <w:p>
            <w:pPr>
              <w:spacing w:after="0"/>
              <w:rPr>
                <w:sz w:val="1"/>
                <w:szCs w:val="1"/>
                <w:color w:val="auto"/>
              </w:rPr>
            </w:pPr>
          </w:p>
        </w:tc>
      </w:tr>
      <w:tr>
        <w:trPr>
          <w:trHeight w:val="21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744,050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679,350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21,483</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89,764</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6,809</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142,382</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40,434</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344,220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362,203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305,654</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22,479</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94,636</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6,754</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149,545</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353,988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373,648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318,606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auto"/>
              </w:rPr>
              <w:t>Less Than Twelve Months</w:t>
            </w:r>
          </w:p>
        </w:tc>
        <w:tc>
          <w:tcPr>
            <w:tcW w:w="220" w:type="dxa"/>
            <w:vAlign w:val="bottom"/>
          </w:tcPr>
          <w:p>
            <w:pPr>
              <w:spacing w:after="0"/>
              <w:rPr>
                <w:sz w:val="19"/>
                <w:szCs w:val="19"/>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color w:val="auto"/>
              </w:rPr>
              <w:t>Twelve Months or More</w:t>
            </w: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14"/>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14"/>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14"/>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Fair Value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Losses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Fair Value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Fair Value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Losses</w:t>
            </w:r>
          </w:p>
        </w:tc>
        <w:tc>
          <w:tcPr>
            <w:tcW w:w="0" w:type="dxa"/>
            <w:vAlign w:val="bottom"/>
          </w:tcPr>
          <w:p>
            <w:pPr>
              <w:spacing w:after="0"/>
              <w:rPr>
                <w:sz w:val="1"/>
                <w:szCs w:val="1"/>
                <w:color w:val="auto"/>
              </w:rPr>
            </w:pPr>
          </w:p>
        </w:tc>
      </w:tr>
      <w:tr>
        <w:trPr>
          <w:trHeight w:val="216"/>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75,705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5,891</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39,128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39,019</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69,975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571,751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8,453</w:t>
            </w:r>
          </w:p>
        </w:tc>
        <w:tc>
          <w:tcPr>
            <w:tcW w:w="8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80" w:type="dxa"/>
            <w:vAlign w:val="bottom"/>
          </w:tcPr>
          <w:p>
            <w:pPr>
              <w:spacing w:after="0"/>
              <w:rPr>
                <w:sz w:val="22"/>
                <w:szCs w:val="22"/>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8,583</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8,981</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79,507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7,307</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301,038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2"/>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652,697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64,719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667,184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2024 and December 31, 2023. Accrued interest receivable on securities AFS totaled $4.1 million and $4.6 million at June 30, 2024 and December 31, 2023, respectively,</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is excluded from the estimate of credit losses and is included in accrued income and other assets in the Condensed Consolidated Statements of Financial Condition.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June 30, 2024, we had 30 U.S. agency, 153 U.S. agency residential mortgage-backed and 10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 backed, other asset backed and corporate securities — at June 30, 2024, we had 83 private label mortgage backed, 57 other asset backed, and 74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June 30, 2024, we had 314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June 30, 2024,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June 30, 2024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Condensed Consolidated Statements of Operations related to securities AFS during the three and six month periods ended June 30, 2024 and 2023,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losses. We measure expected credit losses on securities HTM on a collective basis by major security type with each type sharing similar risk characteristics, and we consider historical credit loss information. Accrued interest receivable on securities HTM totaled $1.8 million and $1.8 million at June 30, 2024 and December 31, 2023, respectively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June 30, 2024 and December 31, 2023, there were no past due principal and interest payments associated with these securities. At those same dates an allowance for credit losses of $155,000 and $157,000,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43,079</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103,416</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36,585</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18,027</w:t>
            </w:r>
          </w:p>
        </w:tc>
      </w:tr>
      <w:tr>
        <w:trPr>
          <w:trHeight w:val="237"/>
        </w:trPr>
        <w:tc>
          <w:tcPr>
            <w:tcW w:w="3500" w:type="dxa"/>
            <w:vAlign w:val="bottom"/>
            <w:tcBorders>
              <w:top w:val="single" w:sz="8" w:color="CCEEFF"/>
              <w:bottom w:val="single" w:sz="8" w:color="CCEEFF"/>
            </w:tcBorders>
            <w:shd w:val="clear" w:color="auto" w:fill="CCEEFF"/>
          </w:tcPr>
          <w:p>
            <w:pPr>
              <w:jc w:val="center"/>
              <w:ind w:right="2194"/>
              <w:spacing w:after="0"/>
              <w:rPr>
                <w:sz w:val="20"/>
                <w:szCs w:val="20"/>
                <w:color w:val="auto"/>
              </w:rPr>
            </w:pPr>
            <w:r>
              <w:rPr>
                <w:rFonts w:ascii="Times New Roman" w:cs="Times New Roman" w:eastAsia="Times New Roman" w:hAnsi="Times New Roman"/>
                <w:sz w:val="17"/>
                <w:szCs w:val="17"/>
                <w:color w:val="auto"/>
                <w:w w:val="94"/>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210,137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43,931</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102,583</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34,769</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21,983</w:t>
            </w:r>
          </w:p>
        </w:tc>
      </w:tr>
      <w:tr>
        <w:trPr>
          <w:trHeight w:val="237"/>
        </w:trPr>
        <w:tc>
          <w:tcPr>
            <w:tcW w:w="3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215,304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June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six months ended June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Obligations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of States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and Political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color w:val="auto"/>
              </w:rPr>
              <w:t>Trust</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Subdivisions</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7"/>
                <w:szCs w:val="17"/>
                <w:color w:val="auto"/>
              </w:rPr>
              <w:t>Preferred</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4"/>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2"/>
                <w:szCs w:val="22"/>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4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June 30, 2024, by contractual maturity, follow:</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9"/>
          </w:tcPr>
          <w:p>
            <w:pPr>
              <w:ind w:left="800"/>
              <w:spacing w:after="0"/>
              <w:rPr>
                <w:sz w:val="20"/>
                <w:szCs w:val="20"/>
                <w:color w:val="auto"/>
              </w:rPr>
            </w:pPr>
            <w:r>
              <w:rPr>
                <w:rFonts w:ascii="Times New Roman" w:cs="Times New Roman" w:eastAsia="Times New Roman" w:hAnsi="Times New Roman"/>
                <w:sz w:val="17"/>
                <w:szCs w:val="17"/>
                <w:color w:val="auto"/>
              </w:rPr>
              <w:t>Securities AFS</w:t>
            </w:r>
          </w:p>
        </w:tc>
        <w:tc>
          <w:tcPr>
            <w:tcW w:w="28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6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14"/>
              <w:spacing w:after="0" w:line="161" w:lineRule="exact"/>
              <w:rPr>
                <w:sz w:val="20"/>
                <w:szCs w:val="20"/>
                <w:color w:val="auto"/>
              </w:rPr>
            </w:pPr>
            <w:r>
              <w:rPr>
                <w:rFonts w:ascii="Times New Roman" w:cs="Times New Roman" w:eastAsia="Times New Roman" w:hAnsi="Times New Roman"/>
                <w:sz w:val="17"/>
                <w:szCs w:val="17"/>
                <w:color w:val="auto"/>
              </w:rPr>
              <w:t>Fair</w:t>
            </w:r>
          </w:p>
        </w:tc>
        <w:tc>
          <w:tcPr>
            <w:tcW w:w="8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right="40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434"/>
              <w:spacing w:after="0" w:line="161" w:lineRule="exact"/>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Cost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7"/>
                <w:szCs w:val="17"/>
                <w:color w:val="auto"/>
                <w:w w:val="98"/>
              </w:rPr>
              <w:t>Value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7"/>
                <w:szCs w:val="17"/>
                <w:color w:val="auto"/>
                <w:w w:val="96"/>
              </w:rPr>
              <w:t>Cost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8"/>
          </w:tcPr>
          <w:p>
            <w:pPr>
              <w:ind w:left="840"/>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49,767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81,822</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11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199,129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173,574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81,542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69,260</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371,906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205,299</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89,764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51,430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654,609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591,974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362,203</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305,654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six month periods ending June 30,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12"/>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Gains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20" w:type="dxa"/>
            <w:vAlign w:val="bottom"/>
            <w:shd w:val="clear" w:color="auto" w:fill="CCEEFF"/>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2024</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14</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23"/>
        </w:trPr>
        <w:tc>
          <w:tcPr>
            <w:tcW w:w="6620" w:type="dxa"/>
            <w:vAlign w:val="bottom"/>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2023</w:t>
            </w:r>
          </w:p>
        </w:tc>
        <w:tc>
          <w:tcPr>
            <w:tcW w:w="2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278</w:t>
            </w:r>
          </w:p>
        </w:tc>
        <w:tc>
          <w:tcPr>
            <w:tcW w:w="1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Securities classified as equity securities at fair value in our Condensed Consolidated Statement of Financial Condition consists of Visa Inc. Class C common stock. During both the three and six months ended June 30, 2024, we recognized gains on these equity securities of $2.7 million, that are included in net gains on equity securities at fair value in the Condensed Consolidated Statements of Operations. $0.9 million of these amounts relate to gains on equity securities at fair value still held at June 30, 2024. We had no equity securities at fair value during the same periods in 2023. See note #13.</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portfolio segment for the three months ended June 30,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56,313</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18,979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56,241</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50,550</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20,080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53,964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six months ended June 30,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18,979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56,241</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52,435</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20,080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53,964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and industrial loans exclude $0.015 million and $0.021 million of government guaranteed loans at June 30, 2024 and December 31, 2023, respectively.</w:t>
      </w:r>
    </w:p>
    <w:p>
      <w:pPr>
        <w:ind w:left="320" w:hanging="317"/>
        <w:spacing w:after="0" w:line="266"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$1.474 million and $2.170 million of government guaranteed loans at June 30, 2024 and December 31, 2023, respectively.</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3"/>
          </w:tcPr>
          <w:p>
            <w:pPr>
              <w:jc w:val="right"/>
              <w:ind w:right="414"/>
              <w:spacing w:after="0"/>
              <w:rPr>
                <w:sz w:val="20"/>
                <w:szCs w:val="20"/>
                <w:color w:val="auto"/>
              </w:rPr>
            </w:pPr>
            <w:r>
              <w:rPr>
                <w:rFonts w:ascii="Times New Roman" w:cs="Times New Roman" w:eastAsia="Times New Roman" w:hAnsi="Times New Roman"/>
                <w:sz w:val="17"/>
                <w:szCs w:val="17"/>
                <w:color w:val="auto"/>
                <w:w w:val="99"/>
              </w:rPr>
              <w:t>Collateral Type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42"/>
        </w:trPr>
        <w:tc>
          <w:tcPr>
            <w:tcW w:w="5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Real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Estate</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1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21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51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880,415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880,727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851,626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851,626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864,540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865,495</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305,522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172,166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124,947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125,467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276,902</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239,990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241,320</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99,305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99,937</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3,842,669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3,851,889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810,145</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869,586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869,586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858,692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859,236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297,236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301,172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173,379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173,816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115,437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116,032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268,051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268,648</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251,852</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104,345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104,798</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3,783,389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3,790,901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12,452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June 30, 2024 there were two mortgage - 1-4 family owner occupied - non-jumbo loans modified as troubled loan modifications totaling $0.13 million (0.1% of the total loan class). Both of the troubled loan modifications during the three months ended June 30, 2024 related to term extensions and added a weighted average 12.6 years to the life of the loans.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six months ended June 30, 2024 there were four mortgage - 1-4 family owner occupied - non-jumbo loans, one mortgage 1-4 family - 2nd lien loan, and one installment - other loan modified as troubled loan modifications totaling $0.43 million (0.1% of the total loan class), $0.07 million (0.1% of the total loan class), and $0.01 million (0.1% of the total loan class), respectively. All of the troubled loan modifications during the six months ended June 30, 2024 related to term extensions and added a weighted average 7.7 years to the life of the loans.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One of the mortgage - 1-4 family owner occupied - non-jumbo loans modified during the three and six months ended June 30, 2024 received a 3.625% interest rate reduction.</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of the loans modified during the three and six months ended June 30, 2024 were on non-accrual status. During the three and six months ended June 30, 2023, there were no troubled loan modifications or subsequent defaults.</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June 30, 2024 and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237,880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848,902</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25,253</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880,727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30,781</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233,536</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176,649</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101,480</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51,128</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54,632</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836,794</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13,996</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30,781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233,536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176,649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194,609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63,304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851,626</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1,685,696</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39,249</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1,732,353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6,124</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2020</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2019</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782,082</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272,768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810,145</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8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176,265</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861,741</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81,028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181,788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869,586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1,643,823</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w:t>
            </w: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June 30, 2024 and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148,160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439,434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180,816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74,030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82,871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343,523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865,495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118,822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47,692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90,845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305,522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93,308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30,619</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48,850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172,166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7"/>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2024 - continued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55,298</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14,174</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125,467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13,939</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80,388</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36,979</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249,213</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720,801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328,077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140,221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1,501,377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9"/>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8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132,537</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456,463</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176,729</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70,698</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76,902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222,397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351,222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859,236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40,529</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114,200</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77,430</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37,109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301,172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34,435</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33,368</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10,477</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173,816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116,032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47,054</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84,297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26,960</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226,157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728,990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327,403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1,485,872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44,242</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152,684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58,633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54,015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57,683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50,050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23,662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56,052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276,902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71,438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73,418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241,320</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20,433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99,937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2024 - continued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19,853</w:t>
            </w:r>
          </w:p>
        </w:tc>
        <w:tc>
          <w:tcPr>
            <w:tcW w:w="8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8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19,922</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312,264</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146,289</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18"/>
        </w:trPr>
        <w:tc>
          <w:tcPr>
            <w:tcW w:w="27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618,159</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91"/>
              <w:spacing w:after="0"/>
              <w:rPr>
                <w:sz w:val="20"/>
                <w:szCs w:val="20"/>
                <w:color w:val="auto"/>
              </w:rPr>
            </w:pPr>
            <w:r>
              <w:rPr>
                <w:rFonts w:ascii="Times New Roman" w:cs="Times New Roman" w:eastAsia="Times New Roman" w:hAnsi="Times New Roman"/>
                <w:sz w:val="14"/>
                <w:szCs w:val="14"/>
                <w:color w:val="auto"/>
                <w:w w:val="98"/>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9"/>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150,694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55,295</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40,410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268,648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77,550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79,893</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251,852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318,550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152,645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132,440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164,162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150,928</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44,913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on our Condensed Consolidated Statements of Financial Condition totaled $0.8 million and $0.6 million at June 30, 2024 and December 31, 2023, respectively. Retail mortgage loans secured by residential real estate properties for which formal foreclosure proceedings are in process according to local requirements totaled $0.1 million and $0.6 million at June 30, 2024 and December 31, 2023,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six month periods ended June 30, 2024, we sold $1.4 million and $8.1 million, respectively, of portfolio residential fixed rate mortgage loans</w:t>
      </w:r>
    </w:p>
    <w:p>
      <w:pPr>
        <w:spacing w:after="0" w:line="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 xml:space="preserve">servicing retained and recognized a gain on sale of $0.02 million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7"/>
          <w:szCs w:val="17"/>
          <w:color w:val="auto"/>
        </w:rPr>
        <w:t xml:space="preserve"> $0.13 million, respectively. During the same three and six month periods of 2023, we sold $10.2 million and $51.5 million, respectively of portfolio residential mortgage loans servicing retained and recognized a gain (loss) on sale of $0.01 million and $(0.15) million, respectively. These transactions were done primarily for asset/liability management purposes.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19, 2023, our Board of Directors authorized a share repurchase plan (the “Repurchase Plan”) to buy back up to 1,100,000 shares of our outstanding common stock through December 31, 2024.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six month period ended June 30, 2024 there were no shares of common stock repurchased. During the six month period ended June 30, 2023 repurchases were made totaling 200,000 shares of common stock, for an aggregate purchase price of $3.3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140" w:type="dxa"/>
            <w:vAlign w:val="bottom"/>
            <w:gridSpan w:val="6"/>
          </w:tcPr>
          <w:p>
            <w:pPr>
              <w:ind w:left="800"/>
              <w:spacing w:after="0"/>
              <w:rPr>
                <w:sz w:val="20"/>
                <w:szCs w:val="20"/>
                <w:color w:val="auto"/>
              </w:rPr>
            </w:pPr>
            <w:r>
              <w:rPr>
                <w:rFonts w:ascii="Times New Roman" w:cs="Times New Roman" w:eastAsia="Times New Roman" w:hAnsi="Times New Roman"/>
                <w:sz w:val="17"/>
                <w:szCs w:val="17"/>
                <w:color w:val="auto"/>
              </w:rPr>
              <w:t>Three Months Ended</w:t>
            </w:r>
          </w:p>
        </w:tc>
        <w:tc>
          <w:tcPr>
            <w:tcW w:w="520" w:type="dxa"/>
            <w:vAlign w:val="bottom"/>
          </w:tcPr>
          <w:p>
            <w:pPr>
              <w:spacing w:after="0"/>
              <w:rPr>
                <w:sz w:val="17"/>
                <w:szCs w:val="17"/>
                <w:color w:val="auto"/>
              </w:rPr>
            </w:pPr>
          </w:p>
        </w:tc>
        <w:tc>
          <w:tcPr>
            <w:tcW w:w="254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June 30,</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June 30,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170"/>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40" w:type="dxa"/>
            <w:vAlign w:val="bottom"/>
            <w:gridSpan w:val="5"/>
          </w:tcPr>
          <w:p>
            <w:pPr>
              <w:ind w:left="400"/>
              <w:spacing w:after="0" w:line="170" w:lineRule="exact"/>
              <w:rPr>
                <w:sz w:val="20"/>
                <w:szCs w:val="20"/>
                <w:color w:val="auto"/>
              </w:rPr>
            </w:pPr>
            <w:r>
              <w:rPr>
                <w:rFonts w:ascii="Times New Roman" w:cs="Times New Roman" w:eastAsia="Times New Roman" w:hAnsi="Times New Roman"/>
                <w:sz w:val="17"/>
                <w:szCs w:val="17"/>
                <w:color w:val="auto"/>
              </w:rPr>
              <w:t>(In thousands, except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18,528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(1)</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20,902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21,072</w:t>
            </w:r>
          </w:p>
        </w:tc>
        <w:tc>
          <w:tcPr>
            <w:tcW w:w="0" w:type="dxa"/>
            <w:vAlign w:val="bottom"/>
          </w:tcPr>
          <w:p>
            <w:pPr>
              <w:spacing w:after="0"/>
              <w:rPr>
                <w:sz w:val="1"/>
                <w:szCs w:val="1"/>
                <w:color w:val="auto"/>
              </w:rPr>
            </w:pPr>
          </w:p>
        </w:tc>
      </w:tr>
      <w:tr>
        <w:trPr>
          <w:trHeight w:val="177"/>
        </w:trPr>
        <w:tc>
          <w:tcPr>
            <w:tcW w:w="504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Stock units for deferred compensation plan for non-employee</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directors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Performance share units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Effect of stock options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ind w:left="320"/>
              <w:spacing w:after="0" w:line="157" w:lineRule="exact"/>
              <w:rPr>
                <w:sz w:val="20"/>
                <w:szCs w:val="20"/>
                <w:color w:val="auto"/>
              </w:rPr>
            </w:pPr>
            <w:r>
              <w:rPr>
                <w:rFonts w:ascii="Times New Roman" w:cs="Times New Roman" w:eastAsia="Times New Roman" w:hAnsi="Times New Roman"/>
                <w:sz w:val="17"/>
                <w:szCs w:val="17"/>
                <w:color w:val="auto"/>
              </w:rPr>
              <w:t>Weighted average shares outstanding for calculation of diluted</w:t>
            </w:r>
          </w:p>
        </w:tc>
        <w:tc>
          <w:tcPr>
            <w:tcW w:w="9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21,105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21,260</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earnings per share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(1)</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 and participating share awards.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and six month periods ended June 30, 2024 and 2023, respectively.</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June 30,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5,842</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395,707</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17,960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42,483</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421,742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13,718</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421,742</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(13,718)</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913,299</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6,033</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15,287</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395,898</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18,081</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379,012</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379,012</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806,547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Condensed Consolidated Statements of Financial Condition to reflect the then current fair values of both the Fair Value Hedge – Portfolio Loans and the hedged items. The related gains or losses are reported in interest income – interest and fees on loans in our Condensed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6" w:lineRule="auto"/>
        <w:rPr>
          <w:sz w:val="20"/>
          <w:szCs w:val="20"/>
          <w:color w:val="auto"/>
        </w:rPr>
      </w:pPr>
      <w:r>
        <w:rPr>
          <w:rFonts w:ascii="Times New Roman" w:cs="Times New Roman" w:eastAsia="Times New Roman" w:hAnsi="Times New Roman"/>
          <w:sz w:val="17"/>
          <w:szCs w:val="17"/>
          <w:color w:val="auto"/>
        </w:rPr>
        <w:t>–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tax-exempt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had entered into a pay-variable interest rate swap, whereby the counterparty owned the right to cancel the trade, to protect a portion of the fair value of a certain Federal Home Loan Bank ("FHLB") advance (‘‘Fair Value Hedge – FHLB Advance’’). As a result, changes in the fair value of the pay-variable interest rate swap was expected to offset changes in the fair value of the fixed rate FHLB advance due to fluctuations in interest rates. We recorded the fair value of the Fair Value Hedge – FHLB Advance in accrued income and other assets and accrued expenses and other liabilities on our Condensed Consolidated Statements of Financial Condition. The hedged item (a fixed rate FHLB advance callable at our option) was also recorded at fair value which offset the adjustment to the Fair Value Hedge – FHLB Advance. On an ongoing basis, we adjusted our Condensed Consolidated Statements of Financial Condition to reflect the then current fair values of both the Fair Value Hedge – FHLB Advance and the hedged item. The related gains or losses were reported in interest expense – other borrowings and subordinated debt and debentures in our Condensed Consolidated Statements of Operations. During the second quarter of 2024, the Fair Value Hedge - FHLB Advance was canceled. The fair value at the cancel date was zero.</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Condensed Consolidated Statements of Financial Condition. The changes in the fair value of Cash Flow Hedge - Portfolio Loans are recorded in accumulated other comprehensive loss and are reclassified into the line item in our Condensed Consolidated Statements of Operations in which the hedged items are recorded in the same period the hedged items affect earnings. It is anticipated that as of June 30, 2024, $1.4 million will be reclassified from accumulated other comprehensive loss on Cash Flow Hedge - Portfolio Loans into earnings as a reduction of interest and fees on loans over the next twelve months. The maximum term of any Cash Flow Hedge - Portfolio Loans at June 30, 2024 is 4.2 years.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had entered into a no hedge designation pay-variable interest rate swap agreement in an attempt to manage the cost of certain funding liabilities. The changes in fair value of this no hedge pay-variable interest rate swap is recorded in non-interest expense-other in our Condensed Consolidated Statements of Operations. This no hedge designation pay-variable interest rate swap agreement matured during the third quarter of 2023.</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tcPr>
          <w:p>
            <w:pPr>
              <w:spacing w:after="0"/>
              <w:rPr>
                <w:sz w:val="13"/>
                <w:szCs w:val="13"/>
                <w:color w:val="auto"/>
              </w:rPr>
            </w:pPr>
          </w:p>
        </w:tc>
        <w:tc>
          <w:tcPr>
            <w:tcW w:w="1380" w:type="dxa"/>
            <w:vAlign w:val="bottom"/>
            <w:gridSpan w:val="3"/>
          </w:tcPr>
          <w:p>
            <w:pPr>
              <w:ind w:left="780"/>
              <w:spacing w:after="0" w:line="161" w:lineRule="exact"/>
              <w:rPr>
                <w:sz w:val="20"/>
                <w:szCs w:val="20"/>
                <w:color w:val="auto"/>
              </w:rPr>
            </w:pPr>
            <w:r>
              <w:rPr>
                <w:rFonts w:ascii="Times New Roman" w:cs="Times New Roman" w:eastAsia="Times New Roman" w:hAnsi="Times New Roman"/>
                <w:sz w:val="17"/>
                <w:szCs w:val="17"/>
                <w:color w:val="auto"/>
              </w:rPr>
              <w:t>June 30,</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4"/>
          </w:tcPr>
          <w:p>
            <w:pPr>
              <w:jc w:val="right"/>
              <w:ind w:right="4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3"/>
                <w:szCs w:val="13"/>
                <w:color w:val="auto"/>
              </w:rPr>
            </w:pPr>
          </w:p>
        </w:tc>
        <w:tc>
          <w:tcPr>
            <w:tcW w:w="1380" w:type="dxa"/>
            <w:vAlign w:val="bottom"/>
            <w:gridSpan w:val="3"/>
          </w:tcPr>
          <w:p>
            <w:pPr>
              <w:ind w:left="760"/>
              <w:spacing w:after="0" w:line="161" w:lineRule="exact"/>
              <w:rPr>
                <w:sz w:val="20"/>
                <w:szCs w:val="20"/>
                <w:color w:val="auto"/>
              </w:rPr>
            </w:pPr>
            <w:r>
              <w:rPr>
                <w:rFonts w:ascii="Times New Roman" w:cs="Times New Roman" w:eastAsia="Times New Roman" w:hAnsi="Times New Roman"/>
                <w:sz w:val="17"/>
                <w:szCs w:val="17"/>
                <w:color w:val="auto"/>
              </w:rPr>
              <w:t>June 30,</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ind w:left="580"/>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9"/>
              </w:rPr>
              <w:t>2024</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9"/>
              </w:rPr>
              <w:t>2023</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88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86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6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jc w:val="center"/>
              <w:ind w:left="5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spacing w:after="0"/>
              <w:rPr>
                <w:sz w:val="20"/>
                <w:szCs w:val="20"/>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8"/>
              </w:rPr>
              <w:t>Value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8"/>
              </w:rPr>
              <w:t>Value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5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17,605</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16,392</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12,683</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12,683</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19,355</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19,066</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18,476</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41,423</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effect of derivative financial instruments on the Condensed Consolidated Statements of Operations follows:</w:t>
      </w:r>
    </w:p>
    <w:p>
      <w:pPr>
        <w:sectPr>
          <w:pgSz w:w="11900" w:h="16838" w:orient="portrait"/>
          <w:cols w:equalWidth="0" w:num="1">
            <w:col w:w="11240"/>
          </w:cols>
          <w:pgMar w:left="320" w:top="119" w:right="339" w:bottom="1440" w:gutter="0" w:footer="0" w:header="0"/>
        </w:sectPr>
      </w:pPr>
    </w:p>
    <w:p>
      <w:pPr>
        <w:spacing w:after="0" w:line="400"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5"/>
          <w:szCs w:val="15"/>
          <w:color w:val="auto"/>
        </w:rPr>
        <w:t>Gain (Loss) Recognized in</w:t>
      </w:r>
    </w:p>
    <w:p>
      <w:pPr>
        <w:jc w:val="center"/>
        <w:ind w:left="2440"/>
        <w:spacing w:after="0" w:line="215" w:lineRule="auto"/>
        <w:rPr>
          <w:sz w:val="20"/>
          <w:szCs w:val="20"/>
          <w:color w:val="auto"/>
        </w:rPr>
      </w:pPr>
      <w:r>
        <w:rPr>
          <w:rFonts w:ascii="Times New Roman" w:cs="Times New Roman" w:eastAsia="Times New Roman" w:hAnsi="Times New Roman"/>
          <w:sz w:val="15"/>
          <w:szCs w:val="15"/>
          <w:color w:val="auto"/>
        </w:rPr>
        <w:t>Other</w:t>
      </w:r>
    </w:p>
    <w:p>
      <w:pPr>
        <w:jc w:val="center"/>
        <w:ind w:left="2440"/>
        <w:spacing w:after="0" w:line="215" w:lineRule="auto"/>
        <w:rPr>
          <w:sz w:val="20"/>
          <w:szCs w:val="20"/>
          <w:color w:val="auto"/>
        </w:rPr>
      </w:pPr>
      <w:r>
        <w:rPr>
          <w:rFonts w:ascii="Times New Roman" w:cs="Times New Roman" w:eastAsia="Times New Roman" w:hAnsi="Times New Roman"/>
          <w:sz w:val="15"/>
          <w:szCs w:val="15"/>
          <w:color w:val="auto"/>
        </w:rPr>
        <w:t>Comprehensive Income</w:t>
      </w:r>
    </w:p>
    <w:p>
      <w:pPr>
        <w:jc w:val="center"/>
        <w:ind w:left="2440"/>
        <w:spacing w:after="0"/>
        <w:rPr>
          <w:sz w:val="20"/>
          <w:szCs w:val="20"/>
          <w:color w:val="auto"/>
        </w:rPr>
      </w:pPr>
      <w:r>
        <w:rPr>
          <w:rFonts w:ascii="Times New Roman" w:cs="Times New Roman" w:eastAsia="Times New Roman" w:hAnsi="Times New Roman"/>
          <w:sz w:val="15"/>
          <w:szCs w:val="15"/>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10795</wp:posOffset>
            </wp:positionV>
            <wp:extent cx="10972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6"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5"/>
          <w:szCs w:val="15"/>
          <w:color w:val="auto"/>
        </w:rPr>
        <w:t>Three Month</w:t>
      </w:r>
    </w:p>
    <w:p>
      <w:pPr>
        <w:jc w:val="center"/>
        <w:ind w:left="2440"/>
        <w:spacing w:after="0" w:line="215" w:lineRule="auto"/>
        <w:rPr>
          <w:sz w:val="20"/>
          <w:szCs w:val="20"/>
          <w:color w:val="auto"/>
        </w:rPr>
      </w:pPr>
      <w:r>
        <w:rPr>
          <w:rFonts w:ascii="Times New Roman" w:cs="Times New Roman" w:eastAsia="Times New Roman" w:hAnsi="Times New Roman"/>
          <w:sz w:val="15"/>
          <w:szCs w:val="15"/>
          <w:color w:val="auto"/>
        </w:rPr>
        <w:t>Periods Ended</w:t>
      </w:r>
    </w:p>
    <w:p>
      <w:pPr>
        <w:jc w:val="center"/>
        <w:ind w:left="2440"/>
        <w:spacing w:after="0"/>
        <w:rPr>
          <w:sz w:val="20"/>
          <w:szCs w:val="20"/>
          <w:color w:val="auto"/>
        </w:rPr>
      </w:pPr>
      <w:r>
        <w:rPr>
          <w:rFonts w:ascii="Times New Roman" w:cs="Times New Roman" w:eastAsia="Times New Roman" w:hAnsi="Times New Roman"/>
          <w:sz w:val="15"/>
          <w:szCs w:val="15"/>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10795</wp:posOffset>
            </wp:positionV>
            <wp:extent cx="1097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49" w:lineRule="exact"/>
        <w:rPr>
          <w:sz w:val="20"/>
          <w:szCs w:val="20"/>
          <w:color w:val="auto"/>
        </w:rPr>
      </w:pPr>
    </w:p>
    <w:p>
      <w:pPr>
        <w:ind w:left="2680"/>
        <w:spacing w:after="0"/>
        <w:tabs>
          <w:tab w:leader="none" w:pos="3560" w:val="left"/>
        </w:tabs>
        <w:rPr>
          <w:sz w:val="20"/>
          <w:szCs w:val="20"/>
          <w:color w:val="auto"/>
        </w:rPr>
      </w:pPr>
      <w:r>
        <w:rPr>
          <w:rFonts w:ascii="Times New Roman" w:cs="Times New Roman" w:eastAsia="Times New Roman" w:hAnsi="Times New Roman"/>
          <w:sz w:val="15"/>
          <w:szCs w:val="15"/>
          <w:color w:val="auto"/>
        </w:rPr>
        <w:t>2024</w:t>
      </w:r>
      <w:r>
        <w:rPr>
          <w:sz w:val="20"/>
          <w:szCs w:val="20"/>
          <w:color w:val="auto"/>
        </w:rPr>
        <w:tab/>
      </w:r>
      <w:r>
        <w:rPr>
          <w:rFonts w:ascii="Times New Roman" w:cs="Times New Roman" w:eastAsia="Times New Roman" w:hAnsi="Times New Roman"/>
          <w:sz w:val="15"/>
          <w:szCs w:val="15"/>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20955</wp:posOffset>
            </wp:positionV>
            <wp:extent cx="1097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Fair Value Hedges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 - commercial</w:t>
      </w:r>
    </w:p>
    <w:p>
      <w:pPr>
        <w:spacing w:after="0" w:line="18" w:lineRule="exact"/>
        <w:rPr>
          <w:sz w:val="20"/>
          <w:szCs w:val="20"/>
          <w:color w:val="auto"/>
        </w:rPr>
      </w:pPr>
    </w:p>
    <w:p>
      <w:pPr>
        <w:ind w:left="320" w:right="1760" w:hanging="154"/>
        <w:spacing w:after="0" w:line="236" w:lineRule="auto"/>
        <w:rPr>
          <w:sz w:val="20"/>
          <w:szCs w:val="20"/>
          <w:color w:val="auto"/>
        </w:rPr>
      </w:pPr>
      <w:r>
        <w:rPr>
          <w:rFonts w:ascii="Times New Roman" w:cs="Times New Roman" w:eastAsia="Times New Roman" w:hAnsi="Times New Roman"/>
          <w:sz w:val="15"/>
          <w:szCs w:val="15"/>
          <w:color w:val="auto"/>
        </w:rPr>
        <w:t>Pay-fixed interest rate swap agreements - securities available for sale</w:t>
      </w:r>
    </w:p>
    <w:p>
      <w:pPr>
        <w:spacing w:after="0" w:line="5"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5"/>
          <w:szCs w:val="15"/>
          <w:color w:val="auto"/>
        </w:rPr>
        <w:t>Pay-fixed interest rate swap</w:t>
      </w:r>
    </w:p>
    <w:p>
      <w:pPr>
        <w:jc w:val="right"/>
        <w:ind w:right="2240"/>
        <w:spacing w:after="0"/>
        <w:rPr>
          <w:sz w:val="20"/>
          <w:szCs w:val="20"/>
          <w:color w:val="auto"/>
        </w:rPr>
      </w:pPr>
      <w:r>
        <w:rPr>
          <w:rFonts w:ascii="Times New Roman" w:cs="Times New Roman" w:eastAsia="Times New Roman" w:hAnsi="Times New Roman"/>
          <w:sz w:val="15"/>
          <w:szCs w:val="15"/>
          <w:color w:val="auto"/>
        </w:rPr>
        <w:t>agreements - Installment</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Mortgage</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Pay-variable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FHLB Advance</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Loss Reclassified from</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0" w:type="dxa"/>
            <w:vAlign w:val="bottom"/>
          </w:tcPr>
          <w:p>
            <w:pPr>
              <w:spacing w:after="0"/>
              <w:rPr>
                <w:sz w:val="1"/>
                <w:szCs w:val="1"/>
                <w:color w:val="auto"/>
              </w:rPr>
            </w:pPr>
          </w:p>
        </w:tc>
      </w:tr>
      <w:tr>
        <w:trPr>
          <w:trHeight w:val="203"/>
        </w:trPr>
        <w:tc>
          <w:tcPr>
            <w:tcW w:w="1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5"/>
                <w:szCs w:val="15"/>
                <w:color w:val="auto"/>
              </w:rPr>
              <w:t>Location of Gain</w:t>
            </w: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0" w:type="dxa"/>
            <w:vAlign w:val="bottom"/>
          </w:tcPr>
          <w:p>
            <w:pPr>
              <w:spacing w:after="0"/>
              <w:rPr>
                <w:sz w:val="1"/>
                <w:szCs w:val="1"/>
                <w:color w:val="auto"/>
              </w:rPr>
            </w:pPr>
          </w:p>
        </w:tc>
      </w:tr>
      <w:tr>
        <w:trPr>
          <w:trHeight w:val="22"/>
        </w:trPr>
        <w:tc>
          <w:tcPr>
            <w:tcW w:w="168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8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(Loss) Reclassified</w:t>
            </w:r>
          </w:p>
        </w:tc>
        <w:tc>
          <w:tcPr>
            <w:tcW w:w="1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auto"/>
              </w:rPr>
              <w:t>Three Month</w:t>
            </w:r>
          </w:p>
        </w:tc>
        <w:tc>
          <w:tcPr>
            <w:tcW w:w="0" w:type="dxa"/>
            <w:vAlign w:val="bottom"/>
          </w:tcPr>
          <w:p>
            <w:pPr>
              <w:spacing w:after="0"/>
              <w:rPr>
                <w:sz w:val="1"/>
                <w:szCs w:val="1"/>
                <w:color w:val="auto"/>
              </w:rPr>
            </w:pPr>
          </w:p>
        </w:tc>
      </w:tr>
      <w:tr>
        <w:trPr>
          <w:trHeight w:val="52"/>
        </w:trPr>
        <w:tc>
          <w:tcPr>
            <w:tcW w:w="168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from Accumulated</w:t>
            </w: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680" w:type="dxa"/>
            <w:vAlign w:val="bottom"/>
            <w:gridSpan w:val="2"/>
            <w:vMerge w:val="continue"/>
          </w:tcPr>
          <w:p>
            <w:pPr>
              <w:spacing w:after="0"/>
              <w:rPr>
                <w:sz w:val="8"/>
                <w:szCs w:val="8"/>
                <w:color w:val="auto"/>
              </w:rPr>
            </w:pPr>
          </w:p>
        </w:tc>
        <w:tc>
          <w:tcPr>
            <w:tcW w:w="1740" w:type="dxa"/>
            <w:vAlign w:val="bottom"/>
            <w:gridSpan w:val="4"/>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168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Other Comprehensive</w:t>
            </w: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6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gridSpan w:val="3"/>
            <w:vMerge w:val="restart"/>
          </w:tcPr>
          <w:p>
            <w:pPr>
              <w:jc w:val="center"/>
              <w:ind w:right="523"/>
              <w:spacing w:after="0"/>
              <w:rPr>
                <w:sz w:val="20"/>
                <w:szCs w:val="20"/>
                <w:color w:val="auto"/>
              </w:rPr>
            </w:pPr>
            <w:r>
              <w:rPr>
                <w:rFonts w:ascii="Times New Roman" w:cs="Times New Roman" w:eastAsia="Times New Roman" w:hAnsi="Times New Roman"/>
                <w:sz w:val="15"/>
                <w:szCs w:val="15"/>
                <w:color w:val="auto"/>
                <w:w w:val="99"/>
              </w:rPr>
              <w:t>June 30,</w:t>
            </w:r>
          </w:p>
        </w:tc>
        <w:tc>
          <w:tcPr>
            <w:tcW w:w="0" w:type="dxa"/>
            <w:vAlign w:val="bottom"/>
          </w:tcPr>
          <w:p>
            <w:pPr>
              <w:spacing w:after="0"/>
              <w:rPr>
                <w:sz w:val="1"/>
                <w:szCs w:val="1"/>
                <w:color w:val="auto"/>
              </w:rPr>
            </w:pPr>
          </w:p>
        </w:tc>
      </w:tr>
      <w:tr>
        <w:trPr>
          <w:trHeight w:val="99"/>
        </w:trPr>
        <w:tc>
          <w:tcPr>
            <w:tcW w:w="168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Loss into Income</w:t>
            </w:r>
          </w:p>
        </w:tc>
        <w:tc>
          <w:tcPr>
            <w:tcW w:w="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680" w:type="dxa"/>
            <w:vAlign w:val="bottom"/>
            <w:gridSpan w:val="2"/>
            <w:vMerge w:val="continue"/>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8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line="20" w:lineRule="exact"/>
              <w:rPr>
                <w:sz w:val="1"/>
                <w:szCs w:val="1"/>
                <w:color w:val="auto"/>
              </w:rPr>
            </w:pPr>
          </w:p>
        </w:tc>
      </w:tr>
      <w:tr>
        <w:trPr>
          <w:trHeight w:val="203"/>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(Effective Portion)</w:t>
            </w:r>
          </w:p>
        </w:tc>
        <w:tc>
          <w:tcPr>
            <w:tcW w:w="160" w:type="dxa"/>
            <w:vAlign w:val="bottom"/>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130810</wp:posOffset>
            </wp:positionV>
            <wp:extent cx="7138670" cy="1308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491490</wp:posOffset>
            </wp:positionV>
            <wp:extent cx="7138670" cy="327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1047750</wp:posOffset>
            </wp:positionV>
            <wp:extent cx="7138670" cy="229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229"/>
        </w:trPr>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19"/>
                <w:szCs w:val="19"/>
                <w:color w:val="auto"/>
              </w:rPr>
            </w:pPr>
          </w:p>
        </w:tc>
        <w:tc>
          <w:tcPr>
            <w:tcW w:w="1540" w:type="dxa"/>
            <w:vAlign w:val="bottom"/>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Three Month</w:t>
            </w:r>
          </w:p>
        </w:tc>
        <w:tc>
          <w:tcPr>
            <w:tcW w:w="0" w:type="dxa"/>
            <w:vAlign w:val="bottom"/>
          </w:tcPr>
          <w:p>
            <w:pPr>
              <w:spacing w:after="0"/>
              <w:rPr>
                <w:sz w:val="1"/>
                <w:szCs w:val="1"/>
                <w:color w:val="auto"/>
              </w:rPr>
            </w:pPr>
          </w:p>
        </w:tc>
      </w:tr>
      <w:tr>
        <w:trPr>
          <w:trHeight w:val="103"/>
        </w:trPr>
        <w:tc>
          <w:tcPr>
            <w:tcW w:w="1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3"/>
            <w:vMerge w:val="restart"/>
          </w:tcPr>
          <w:p>
            <w:pPr>
              <w:jc w:val="center"/>
              <w:ind w:right="8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164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jc w:val="center"/>
              <w:ind w:left="323"/>
              <w:spacing w:after="0"/>
              <w:rPr>
                <w:sz w:val="20"/>
                <w:szCs w:val="20"/>
                <w:color w:val="auto"/>
              </w:rPr>
            </w:pPr>
            <w:r>
              <w:rPr>
                <w:rFonts w:ascii="Times New Roman" w:cs="Times New Roman" w:eastAsia="Times New Roman" w:hAnsi="Times New Roman"/>
                <w:sz w:val="15"/>
                <w:szCs w:val="15"/>
                <w:color w:val="auto"/>
              </w:rPr>
              <w:t>June 30,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4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6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2024</w:t>
            </w:r>
          </w:p>
        </w:tc>
        <w:tc>
          <w:tcPr>
            <w:tcW w:w="280" w:type="dxa"/>
            <w:vAlign w:val="bottom"/>
          </w:tcPr>
          <w:p>
            <w:pPr>
              <w:spacing w:after="0"/>
              <w:rPr>
                <w:sz w:val="3"/>
                <w:szCs w:val="3"/>
                <w:color w:val="auto"/>
              </w:rPr>
            </w:pPr>
          </w:p>
        </w:tc>
        <w:tc>
          <w:tcPr>
            <w:tcW w:w="58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w w:val="99"/>
              </w:rPr>
              <w:t>2023</w:t>
            </w:r>
          </w:p>
        </w:tc>
        <w:tc>
          <w:tcPr>
            <w:tcW w:w="0" w:type="dxa"/>
            <w:vAlign w:val="bottom"/>
          </w:tcPr>
          <w:p>
            <w:pPr>
              <w:spacing w:after="0" w:line="20" w:lineRule="exact"/>
              <w:rPr>
                <w:sz w:val="1"/>
                <w:szCs w:val="1"/>
                <w:color w:val="auto"/>
              </w:rPr>
            </w:pPr>
          </w:p>
        </w:tc>
      </w:tr>
      <w:tr>
        <w:trPr>
          <w:trHeight w:val="203"/>
        </w:trPr>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367"/>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8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200"/>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2,368</w:t>
            </w:r>
          </w:p>
        </w:tc>
        <w:tc>
          <w:tcPr>
            <w:tcW w:w="0" w:type="dxa"/>
            <w:vAlign w:val="bottom"/>
          </w:tcPr>
          <w:p>
            <w:pPr>
              <w:spacing w:after="0"/>
              <w:rPr>
                <w:sz w:val="1"/>
                <w:szCs w:val="1"/>
                <w:color w:val="auto"/>
              </w:rPr>
            </w:pPr>
          </w:p>
        </w:tc>
      </w:tr>
      <w:tr>
        <w:trPr>
          <w:trHeight w:val="200"/>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tax - exempt</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220</w:t>
            </w:r>
          </w:p>
        </w:tc>
        <w:tc>
          <w:tcPr>
            <w:tcW w:w="2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1,018</w:t>
            </w:r>
          </w:p>
        </w:tc>
        <w:tc>
          <w:tcPr>
            <w:tcW w:w="0" w:type="dxa"/>
            <w:vAlign w:val="bottom"/>
          </w:tcPr>
          <w:p>
            <w:pPr>
              <w:spacing w:after="0"/>
              <w:rPr>
                <w:sz w:val="1"/>
                <w:szCs w:val="1"/>
                <w:color w:val="auto"/>
              </w:rPr>
            </w:pPr>
          </w:p>
        </w:tc>
      </w:tr>
      <w:tr>
        <w:trPr>
          <w:trHeight w:val="200"/>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290</w:t>
            </w:r>
          </w:p>
        </w:tc>
        <w:tc>
          <w:tcPr>
            <w:tcW w:w="2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expense - other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borrowings and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subordinated debt and</w:t>
            </w:r>
          </w:p>
        </w:tc>
        <w:tc>
          <w:tcPr>
            <w:tcW w:w="180" w:type="dxa"/>
            <w:vAlign w:val="bottom"/>
          </w:tcPr>
          <w:p>
            <w:pPr>
              <w:spacing w:after="0"/>
              <w:rPr>
                <w:sz w:val="13"/>
                <w:szCs w:val="13"/>
                <w:color w:val="auto"/>
              </w:rPr>
            </w:pPr>
          </w:p>
        </w:tc>
        <w:tc>
          <w:tcPr>
            <w:tcW w:w="6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25</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debentures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4100" w:space="200"/>
            <w:col w:w="3420" w:space="160"/>
            <w:col w:w="33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4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securities available for sale</w:t>
            </w:r>
          </w:p>
        </w:tc>
        <w:tc>
          <w:tcPr>
            <w:tcW w:w="28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84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2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6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(68)</w:t>
            </w:r>
          </w:p>
        </w:tc>
        <w:tc>
          <w:tcPr>
            <w:tcW w:w="180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2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tax - exempt</w:t>
            </w:r>
          </w:p>
        </w:tc>
        <w:tc>
          <w:tcPr>
            <w:tcW w:w="28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tax - exempt</w:t>
            </w:r>
          </w:p>
        </w:tc>
        <w:tc>
          <w:tcPr>
            <w:tcW w:w="2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80" w:type="dxa"/>
            <w:vAlign w:val="bottom"/>
          </w:tcPr>
          <w:p>
            <w:pPr>
              <w:spacing w:after="0"/>
              <w:rPr>
                <w:sz w:val="13"/>
                <w:szCs w:val="13"/>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8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80" w:type="dxa"/>
            <w:vAlign w:val="bottom"/>
          </w:tcPr>
          <w:p>
            <w:pPr>
              <w:spacing w:after="0"/>
              <w:rPr>
                <w:sz w:val="13"/>
                <w:szCs w:val="13"/>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3"/>
                <w:szCs w:val="13"/>
                <w:color w:val="auto"/>
              </w:rPr>
            </w:pPr>
          </w:p>
        </w:tc>
        <w:tc>
          <w:tcPr>
            <w:tcW w:w="520" w:type="dxa"/>
            <w:vAlign w:val="bottom"/>
            <w:vMerge w:val="restart"/>
          </w:tcPr>
          <w:p>
            <w:pPr>
              <w:jc w:val="center"/>
              <w:ind w:left="143"/>
              <w:spacing w:after="0"/>
              <w:rPr>
                <w:sz w:val="20"/>
                <w:szCs w:val="20"/>
                <w:color w:val="auto"/>
              </w:rPr>
            </w:pPr>
            <w:r>
              <w:rPr>
                <w:rFonts w:ascii="Times New Roman" w:cs="Times New Roman" w:eastAsia="Times New Roman" w:hAnsi="Times New Roman"/>
                <w:sz w:val="15"/>
                <w:szCs w:val="15"/>
                <w:color w:val="auto"/>
                <w:w w:val="93"/>
              </w:rPr>
              <w:t>—</w:t>
            </w:r>
          </w:p>
        </w:tc>
        <w:tc>
          <w:tcPr>
            <w:tcW w:w="18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80" w:type="dxa"/>
            <w:vAlign w:val="bottom"/>
          </w:tcPr>
          <w:p>
            <w:pPr>
              <w:spacing w:after="0"/>
              <w:rPr>
                <w:sz w:val="13"/>
                <w:szCs w:val="13"/>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installment</w:t>
            </w: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8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8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6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(68)</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28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80" w:type="dxa"/>
            <w:vAlign w:val="bottom"/>
          </w:tcPr>
          <w:p>
            <w:pPr>
              <w:spacing w:after="0"/>
              <w:rPr>
                <w:sz w:val="13"/>
                <w:szCs w:val="13"/>
                <w:color w:val="auto"/>
              </w:rPr>
            </w:pP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60" w:type="dxa"/>
            <w:vAlign w:val="bottom"/>
          </w:tcPr>
          <w:p>
            <w:pPr>
              <w:spacing w:after="0"/>
              <w:rPr>
                <w:sz w:val="13"/>
                <w:szCs w:val="13"/>
                <w:color w:val="auto"/>
              </w:rPr>
            </w:pPr>
          </w:p>
        </w:tc>
        <w:tc>
          <w:tcPr>
            <w:tcW w:w="32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center"/>
              <w:ind w:left="143"/>
              <w:spacing w:after="0"/>
              <w:rPr>
                <w:sz w:val="20"/>
                <w:szCs w:val="20"/>
                <w:color w:val="auto"/>
              </w:rPr>
            </w:pPr>
            <w:r>
              <w:rPr>
                <w:rFonts w:ascii="Times New Roman" w:cs="Times New Roman" w:eastAsia="Times New Roman" w:hAnsi="Times New Roman"/>
                <w:sz w:val="15"/>
                <w:szCs w:val="15"/>
                <w:color w:val="auto"/>
                <w:w w:val="93"/>
              </w:rPr>
              <w:t>—</w:t>
            </w:r>
          </w:p>
        </w:tc>
        <w:tc>
          <w:tcPr>
            <w:tcW w:w="18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80" w:type="dxa"/>
            <w:vAlign w:val="bottom"/>
          </w:tcPr>
          <w:p>
            <w:pPr>
              <w:spacing w:after="0"/>
              <w:rPr>
                <w:sz w:val="13"/>
                <w:szCs w:val="13"/>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2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Rate-lock mortgage loan</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Net gains on mortgage</w:t>
            </w:r>
          </w:p>
        </w:tc>
        <w:tc>
          <w:tcPr>
            <w:tcW w:w="2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Net gains on mortgage</w:t>
            </w:r>
          </w:p>
        </w:tc>
        <w:tc>
          <w:tcPr>
            <w:tcW w:w="2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2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4,689</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2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(4,689)</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Non-interest expense -</w:t>
            </w:r>
          </w:p>
        </w:tc>
        <w:tc>
          <w:tcPr>
            <w:tcW w:w="28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340" w:type="dxa"/>
        <w:tblCellMar>
          <w:top w:w="0" w:type="dxa"/>
          <w:left w:w="0" w:type="dxa"/>
          <w:bottom w:w="0" w:type="dxa"/>
          <w:right w:w="0" w:type="dxa"/>
        </w:tblCellMar>
      </w:tblPr>
      <w:tr>
        <w:trPr>
          <w:trHeight w:val="172"/>
        </w:trPr>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Loss Reclassified from</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1220" w:type="dxa"/>
            <w:vAlign w:val="bottom"/>
            <w:gridSpan w:val="3"/>
          </w:tcPr>
          <w:p>
            <w:pPr>
              <w:jc w:val="center"/>
              <w:ind w:right="483"/>
              <w:spacing w:after="0" w:line="155" w:lineRule="exact"/>
              <w:rPr>
                <w:sz w:val="20"/>
                <w:szCs w:val="20"/>
                <w:color w:val="auto"/>
              </w:rPr>
            </w:pPr>
            <w:r>
              <w:rPr>
                <w:rFonts w:ascii="Times New Roman" w:cs="Times New Roman" w:eastAsia="Times New Roman" w:hAnsi="Times New Roman"/>
                <w:sz w:val="15"/>
                <w:szCs w:val="15"/>
                <w:color w:val="auto"/>
                <w:w w:val="99"/>
              </w:rPr>
              <w:t>Other</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0" w:type="dxa"/>
            <w:vAlign w:val="bottom"/>
          </w:tcPr>
          <w:p>
            <w:pPr>
              <w:spacing w:after="0"/>
              <w:rPr>
                <w:sz w:val="1"/>
                <w:szCs w:val="1"/>
                <w:color w:val="auto"/>
              </w:rPr>
            </w:pPr>
          </w:p>
        </w:tc>
      </w:tr>
      <w:tr>
        <w:trPr>
          <w:trHeight w:val="155"/>
        </w:trPr>
        <w:tc>
          <w:tcPr>
            <w:tcW w:w="17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0" w:type="dxa"/>
            <w:vAlign w:val="bottom"/>
          </w:tcPr>
          <w:p>
            <w:pPr>
              <w:spacing w:after="0"/>
              <w:rPr>
                <w:sz w:val="1"/>
                <w:szCs w:val="1"/>
                <w:color w:val="auto"/>
              </w:rPr>
            </w:pPr>
          </w:p>
        </w:tc>
      </w:tr>
      <w:tr>
        <w:trPr>
          <w:trHeight w:val="200"/>
        </w:trPr>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color w:val="auto"/>
              </w:rPr>
              <w:t>(Effective Portion)</w:t>
            </w:r>
          </w:p>
        </w:tc>
        <w:tc>
          <w:tcPr>
            <w:tcW w:w="160" w:type="dxa"/>
            <w:vAlign w:val="bottom"/>
          </w:tcPr>
          <w:p>
            <w:pPr>
              <w:spacing w:after="0"/>
              <w:rPr>
                <w:sz w:val="17"/>
                <w:szCs w:val="17"/>
                <w:color w:val="auto"/>
              </w:rPr>
            </w:pPr>
          </w:p>
        </w:tc>
        <w:tc>
          <w:tcPr>
            <w:tcW w:w="1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color w:val="auto"/>
              </w:rPr>
              <w:t>Location of Gain</w:t>
            </w: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0" w:type="dxa"/>
            <w:vAlign w:val="bottom"/>
          </w:tcPr>
          <w:p>
            <w:pPr>
              <w:spacing w:after="0"/>
              <w:rPr>
                <w:sz w:val="1"/>
                <w:szCs w:val="1"/>
                <w:color w:val="auto"/>
              </w:rPr>
            </w:pPr>
          </w:p>
        </w:tc>
      </w:tr>
      <w:tr>
        <w:trPr>
          <w:trHeight w:val="25"/>
        </w:trPr>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560" w:type="dxa"/>
            <w:vAlign w:val="bottom"/>
          </w:tcPr>
          <w:p>
            <w:pPr>
              <w:spacing w:after="0"/>
              <w:rPr>
                <w:sz w:val="13"/>
                <w:szCs w:val="13"/>
                <w:color w:val="auto"/>
              </w:rPr>
            </w:pPr>
          </w:p>
        </w:tc>
        <w:tc>
          <w:tcPr>
            <w:tcW w:w="1220" w:type="dxa"/>
            <w:vAlign w:val="bottom"/>
            <w:gridSpan w:val="3"/>
            <w:vMerge w:val="restart"/>
          </w:tcPr>
          <w:p>
            <w:pPr>
              <w:jc w:val="center"/>
              <w:ind w:right="483"/>
              <w:spacing w:after="0"/>
              <w:rPr>
                <w:sz w:val="20"/>
                <w:szCs w:val="20"/>
                <w:color w:val="auto"/>
              </w:rPr>
            </w:pPr>
            <w:r>
              <w:rPr>
                <w:rFonts w:ascii="Times New Roman" w:cs="Times New Roman" w:eastAsia="Times New Roman" w:hAnsi="Times New Roman"/>
                <w:sz w:val="15"/>
                <w:szCs w:val="15"/>
                <w:color w:val="auto"/>
              </w:rPr>
              <w:t>Six Month</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(Loss) Reclassified</w:t>
            </w:r>
          </w:p>
        </w:tc>
        <w:tc>
          <w:tcPr>
            <w:tcW w:w="560" w:type="dxa"/>
            <w:vAlign w:val="bottom"/>
          </w:tcPr>
          <w:p>
            <w:pPr>
              <w:spacing w:after="0"/>
              <w:rPr>
                <w:sz w:val="13"/>
                <w:szCs w:val="13"/>
                <w:color w:val="auto"/>
              </w:rPr>
            </w:pPr>
          </w:p>
        </w:tc>
        <w:tc>
          <w:tcPr>
            <w:tcW w:w="1200" w:type="dxa"/>
            <w:vAlign w:val="bottom"/>
            <w:gridSpan w:val="3"/>
            <w:vMerge w:val="restart"/>
          </w:tcPr>
          <w:p>
            <w:pPr>
              <w:jc w:val="center"/>
              <w:ind w:right="463"/>
              <w:spacing w:after="0"/>
              <w:rPr>
                <w:sz w:val="20"/>
                <w:szCs w:val="20"/>
                <w:color w:val="auto"/>
              </w:rPr>
            </w:pPr>
            <w:r>
              <w:rPr>
                <w:rFonts w:ascii="Times New Roman" w:cs="Times New Roman" w:eastAsia="Times New Roman" w:hAnsi="Times New Roman"/>
                <w:sz w:val="15"/>
                <w:szCs w:val="15"/>
                <w:color w:val="auto"/>
              </w:rPr>
              <w:t>Six Month</w:t>
            </w:r>
          </w:p>
        </w:tc>
        <w:tc>
          <w:tcPr>
            <w:tcW w:w="0" w:type="dxa"/>
            <w:vAlign w:val="bottom"/>
          </w:tcPr>
          <w:p>
            <w:pPr>
              <w:spacing w:after="0"/>
              <w:rPr>
                <w:sz w:val="1"/>
                <w:szCs w:val="1"/>
                <w:color w:val="auto"/>
              </w:rPr>
            </w:pPr>
          </w:p>
        </w:tc>
      </w:tr>
      <w:tr>
        <w:trPr>
          <w:trHeight w:val="52"/>
        </w:trPr>
        <w:tc>
          <w:tcPr>
            <w:tcW w:w="56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from Accumulated</w:t>
            </w:r>
          </w:p>
        </w:tc>
        <w:tc>
          <w:tcPr>
            <w:tcW w:w="56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780" w:type="dxa"/>
            <w:vAlign w:val="bottom"/>
            <w:gridSpan w:val="4"/>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760" w:type="dxa"/>
            <w:vAlign w:val="bottom"/>
            <w:gridSpan w:val="4"/>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17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Other Comprehensive</w:t>
            </w: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560" w:type="dxa"/>
            <w:vAlign w:val="bottom"/>
          </w:tcPr>
          <w:p>
            <w:pPr>
              <w:spacing w:after="0"/>
              <w:rPr>
                <w:sz w:val="8"/>
                <w:szCs w:val="8"/>
                <w:color w:val="auto"/>
              </w:rPr>
            </w:pPr>
          </w:p>
        </w:tc>
        <w:tc>
          <w:tcPr>
            <w:tcW w:w="1220" w:type="dxa"/>
            <w:vAlign w:val="bottom"/>
            <w:gridSpan w:val="3"/>
            <w:vMerge w:val="restart"/>
          </w:tcPr>
          <w:p>
            <w:pPr>
              <w:jc w:val="center"/>
              <w:ind w:right="503"/>
              <w:spacing w:after="0"/>
              <w:rPr>
                <w:sz w:val="20"/>
                <w:szCs w:val="20"/>
                <w:color w:val="auto"/>
              </w:rPr>
            </w:pPr>
            <w:r>
              <w:rPr>
                <w:rFonts w:ascii="Times New Roman" w:cs="Times New Roman" w:eastAsia="Times New Roman" w:hAnsi="Times New Roman"/>
                <w:sz w:val="15"/>
                <w:szCs w:val="15"/>
                <w:color w:val="auto"/>
              </w:rPr>
              <w:t>June 30,</w:t>
            </w:r>
          </w:p>
        </w:tc>
        <w:tc>
          <w:tcPr>
            <w:tcW w:w="1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gridSpan w:val="3"/>
            <w:vMerge w:val="restart"/>
          </w:tcPr>
          <w:p>
            <w:pPr>
              <w:jc w:val="center"/>
              <w:ind w:right="483"/>
              <w:spacing w:after="0"/>
              <w:rPr>
                <w:sz w:val="20"/>
                <w:szCs w:val="20"/>
                <w:color w:val="auto"/>
              </w:rPr>
            </w:pPr>
            <w:r>
              <w:rPr>
                <w:rFonts w:ascii="Times New Roman" w:cs="Times New Roman" w:eastAsia="Times New Roman" w:hAnsi="Times New Roman"/>
                <w:sz w:val="15"/>
                <w:szCs w:val="15"/>
                <w:color w:val="auto"/>
              </w:rPr>
              <w:t>June 30,</w:t>
            </w:r>
          </w:p>
        </w:tc>
        <w:tc>
          <w:tcPr>
            <w:tcW w:w="0" w:type="dxa"/>
            <w:vAlign w:val="bottom"/>
          </w:tcPr>
          <w:p>
            <w:pPr>
              <w:spacing w:after="0"/>
              <w:rPr>
                <w:sz w:val="1"/>
                <w:szCs w:val="1"/>
                <w:color w:val="auto"/>
              </w:rPr>
            </w:pPr>
          </w:p>
        </w:tc>
      </w:tr>
      <w:tr>
        <w:trPr>
          <w:trHeight w:val="97"/>
        </w:trPr>
        <w:tc>
          <w:tcPr>
            <w:tcW w:w="5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Loss into Income</w:t>
            </w:r>
          </w:p>
        </w:tc>
        <w:tc>
          <w:tcPr>
            <w:tcW w:w="5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8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8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line="20" w:lineRule="exact"/>
              <w:rPr>
                <w:sz w:val="1"/>
                <w:szCs w:val="1"/>
                <w:color w:val="auto"/>
              </w:rPr>
            </w:pPr>
          </w:p>
        </w:tc>
      </w:tr>
      <w:tr>
        <w:trPr>
          <w:trHeight w:val="203"/>
        </w:trPr>
        <w:tc>
          <w:tcPr>
            <w:tcW w:w="5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(Effective Portion)</w:t>
            </w:r>
          </w:p>
        </w:tc>
        <w:tc>
          <w:tcPr>
            <w:tcW w:w="16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38670" cy="130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Fair Value Hedges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 -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38670" cy="327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327660"/>
                    </a:xfrm>
                    <a:prstGeom prst="rect">
                      <a:avLst/>
                    </a:prstGeom>
                    <a:noFill/>
                  </pic:spPr>
                </pic:pic>
              </a:graphicData>
            </a:graphic>
          </wp:anchor>
        </w:drawing>
      </w:r>
    </w:p>
    <w:p>
      <w:pPr>
        <w:jc w:val="center"/>
        <w:ind w:right="560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line="215" w:lineRule="auto"/>
        <w:rPr>
          <w:sz w:val="20"/>
          <w:szCs w:val="20"/>
          <w:color w:val="auto"/>
        </w:rPr>
      </w:pPr>
      <w:r>
        <w:rPr>
          <w:rFonts w:ascii="Times New Roman" w:cs="Times New Roman" w:eastAsia="Times New Roman" w:hAnsi="Times New Roman"/>
          <w:sz w:val="15"/>
          <w:szCs w:val="15"/>
          <w:color w:val="auto"/>
        </w:rPr>
        <w:t>agreements - securities</w:t>
      </w:r>
    </w:p>
    <w:p>
      <w:pPr>
        <w:ind w:left="320"/>
        <w:spacing w:after="0"/>
        <w:rPr>
          <w:sz w:val="20"/>
          <w:szCs w:val="20"/>
          <w:color w:val="auto"/>
        </w:rPr>
      </w:pPr>
      <w:r>
        <w:rPr>
          <w:rFonts w:ascii="Times New Roman" w:cs="Times New Roman" w:eastAsia="Times New Roman" w:hAnsi="Times New Roman"/>
          <w:sz w:val="15"/>
          <w:szCs w:val="15"/>
          <w:color w:val="auto"/>
        </w:rPr>
        <w:t>available for sale</w:t>
      </w:r>
    </w:p>
    <w:p>
      <w:pPr>
        <w:spacing w:after="0" w:line="16" w:lineRule="exact"/>
        <w:rPr>
          <w:sz w:val="20"/>
          <w:szCs w:val="20"/>
          <w:color w:val="auto"/>
        </w:rPr>
      </w:pPr>
    </w:p>
    <w:p>
      <w:pPr>
        <w:jc w:val="right"/>
        <w:ind w:right="5780"/>
        <w:spacing w:after="0"/>
        <w:rPr>
          <w:sz w:val="20"/>
          <w:szCs w:val="20"/>
          <w:color w:val="auto"/>
        </w:rPr>
      </w:pPr>
      <w:r>
        <w:rPr>
          <w:rFonts w:ascii="Times New Roman" w:cs="Times New Roman" w:eastAsia="Times New Roman" w:hAnsi="Times New Roman"/>
          <w:sz w:val="15"/>
          <w:szCs w:val="15"/>
          <w:color w:val="auto"/>
        </w:rPr>
        <w:t>Pay-fixed interest rate swap</w:t>
      </w:r>
    </w:p>
    <w:p>
      <w:pPr>
        <w:jc w:val="right"/>
        <w:ind w:right="5820"/>
        <w:spacing w:after="0"/>
        <w:rPr>
          <w:sz w:val="20"/>
          <w:szCs w:val="20"/>
          <w:color w:val="auto"/>
        </w:rPr>
      </w:pPr>
      <w:r>
        <w:rPr>
          <w:rFonts w:ascii="Times New Roman" w:cs="Times New Roman" w:eastAsia="Times New Roman" w:hAnsi="Times New Roman"/>
          <w:sz w:val="15"/>
          <w:szCs w:val="15"/>
          <w:color w:val="auto"/>
        </w:rPr>
        <w:t>agreements - Installment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38670" cy="229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Mortgage</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Pay-variable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FHLB Advance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229"/>
        </w:trPr>
        <w:tc>
          <w:tcPr>
            <w:tcW w:w="1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19"/>
                <w:szCs w:val="19"/>
                <w:color w:val="auto"/>
              </w:rPr>
            </w:pPr>
          </w:p>
        </w:tc>
        <w:tc>
          <w:tcPr>
            <w:tcW w:w="1520" w:type="dxa"/>
            <w:vAlign w:val="bottom"/>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Six Month</w:t>
            </w:r>
          </w:p>
        </w:tc>
        <w:tc>
          <w:tcPr>
            <w:tcW w:w="0" w:type="dxa"/>
            <w:vAlign w:val="bottom"/>
          </w:tcPr>
          <w:p>
            <w:pPr>
              <w:spacing w:after="0"/>
              <w:rPr>
                <w:sz w:val="1"/>
                <w:szCs w:val="1"/>
                <w:color w:val="auto"/>
              </w:rPr>
            </w:pPr>
          </w:p>
        </w:tc>
      </w:tr>
      <w:tr>
        <w:trPr>
          <w:trHeight w:val="103"/>
        </w:trPr>
        <w:tc>
          <w:tcPr>
            <w:tcW w:w="1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gridSpan w:val="3"/>
            <w:vMerge w:val="restart"/>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168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restart"/>
          </w:tcPr>
          <w:p>
            <w:pPr>
              <w:jc w:val="center"/>
              <w:ind w:left="343"/>
              <w:spacing w:after="0"/>
              <w:rPr>
                <w:sz w:val="20"/>
                <w:szCs w:val="20"/>
                <w:color w:val="auto"/>
              </w:rPr>
            </w:pPr>
            <w:r>
              <w:rPr>
                <w:rFonts w:ascii="Times New Roman" w:cs="Times New Roman" w:eastAsia="Times New Roman" w:hAnsi="Times New Roman"/>
                <w:sz w:val="15"/>
                <w:szCs w:val="15"/>
                <w:color w:val="auto"/>
              </w:rPr>
              <w:t>June 30,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8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6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2024</w:t>
            </w:r>
          </w:p>
        </w:tc>
        <w:tc>
          <w:tcPr>
            <w:tcW w:w="280" w:type="dxa"/>
            <w:vAlign w:val="bottom"/>
          </w:tcPr>
          <w:p>
            <w:pPr>
              <w:spacing w:after="0"/>
              <w:rPr>
                <w:sz w:val="3"/>
                <w:szCs w:val="3"/>
                <w:color w:val="auto"/>
              </w:rPr>
            </w:pPr>
          </w:p>
        </w:tc>
        <w:tc>
          <w:tcPr>
            <w:tcW w:w="58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line="20" w:lineRule="exact"/>
              <w:rPr>
                <w:sz w:val="1"/>
                <w:szCs w:val="1"/>
                <w:color w:val="auto"/>
              </w:rPr>
            </w:pPr>
          </w:p>
        </w:tc>
      </w:tr>
      <w:tr>
        <w:trPr>
          <w:trHeight w:val="203"/>
        </w:trPr>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36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74</w:t>
            </w:r>
          </w:p>
        </w:tc>
        <w:tc>
          <w:tcPr>
            <w:tcW w:w="28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0"/>
        </w:trPr>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8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180" w:type="dxa"/>
            <w:vAlign w:val="bottom"/>
          </w:tcPr>
          <w:p>
            <w:pPr>
              <w:spacing w:after="0"/>
              <w:rPr>
                <w:sz w:val="13"/>
                <w:szCs w:val="13"/>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854</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0" w:type="dxa"/>
            <w:vAlign w:val="bottom"/>
          </w:tcPr>
          <w:p>
            <w:pPr>
              <w:spacing w:after="0"/>
              <w:rPr>
                <w:sz w:val="1"/>
                <w:szCs w:val="1"/>
                <w:color w:val="auto"/>
              </w:rPr>
            </w:pPr>
          </w:p>
        </w:tc>
      </w:tr>
      <w:tr>
        <w:trPr>
          <w:trHeight w:val="200"/>
        </w:trPr>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tax - exempt</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1,908</w:t>
            </w:r>
          </w:p>
        </w:tc>
        <w:tc>
          <w:tcPr>
            <w:tcW w:w="2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0" w:type="dxa"/>
            <w:vAlign w:val="bottom"/>
          </w:tcPr>
          <w:p>
            <w:pPr>
              <w:spacing w:after="0"/>
              <w:rPr>
                <w:sz w:val="1"/>
                <w:szCs w:val="1"/>
                <w:color w:val="auto"/>
              </w:rPr>
            </w:pPr>
          </w:p>
        </w:tc>
      </w:tr>
      <w:tr>
        <w:trPr>
          <w:trHeight w:val="200"/>
        </w:trPr>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2,292</w:t>
            </w:r>
          </w:p>
        </w:tc>
        <w:tc>
          <w:tcPr>
            <w:tcW w:w="2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expense - other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8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5"/>
                <w:szCs w:val="15"/>
                <w:color w:val="auto"/>
              </w:rPr>
              <w:t>borrowings and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5"/>
                <w:szCs w:val="15"/>
                <w:color w:val="auto"/>
              </w:rPr>
              <w:t>subordinated debt</w:t>
            </w:r>
          </w:p>
        </w:tc>
        <w:tc>
          <w:tcPr>
            <w:tcW w:w="180" w:type="dxa"/>
            <w:vAlign w:val="bottom"/>
          </w:tcPr>
          <w:p>
            <w:pPr>
              <w:spacing w:after="0"/>
              <w:rPr>
                <w:sz w:val="13"/>
                <w:szCs w:val="13"/>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and debentures</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680" w:space="180"/>
            <w:col w:w="338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3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6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securities available for sale</w:t>
            </w: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180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86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tax - exempt</w:t>
            </w:r>
          </w:p>
        </w:tc>
        <w:tc>
          <w:tcPr>
            <w:tcW w:w="2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tax - exempt</w:t>
            </w: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2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60" w:type="dxa"/>
            <w:vAlign w:val="bottom"/>
          </w:tcPr>
          <w:p>
            <w:pPr>
              <w:spacing w:after="0"/>
              <w:rPr>
                <w:sz w:val="13"/>
                <w:szCs w:val="13"/>
                <w:color w:val="auto"/>
              </w:rPr>
            </w:pPr>
          </w:p>
        </w:tc>
        <w:tc>
          <w:tcPr>
            <w:tcW w:w="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3"/>
        </w:trPr>
        <w:tc>
          <w:tcPr>
            <w:tcW w:w="23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installment</w:t>
            </w:r>
          </w:p>
        </w:tc>
        <w:tc>
          <w:tcPr>
            <w:tcW w:w="2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8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6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6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5,166</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(2,753)</w:t>
            </w:r>
          </w:p>
        </w:tc>
        <w:tc>
          <w:tcPr>
            <w:tcW w:w="180" w:type="dxa"/>
            <w:vAlign w:val="bottom"/>
          </w:tcPr>
          <w:p>
            <w:pPr>
              <w:spacing w:after="0"/>
              <w:rPr>
                <w:sz w:val="13"/>
                <w:szCs w:val="13"/>
                <w:color w:val="auto"/>
              </w:rPr>
            </w:pP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60" w:type="dxa"/>
            <w:vAlign w:val="bottom"/>
          </w:tcPr>
          <w:p>
            <w:pPr>
              <w:spacing w:after="0"/>
              <w:rPr>
                <w:sz w:val="13"/>
                <w:szCs w:val="13"/>
                <w:color w:val="auto"/>
              </w:rPr>
            </w:pP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Pr>
          <w:p>
            <w:pPr>
              <w:spacing w:after="0"/>
              <w:rPr>
                <w:sz w:val="13"/>
                <w:szCs w:val="13"/>
                <w:color w:val="auto"/>
              </w:rPr>
            </w:pPr>
          </w:p>
        </w:tc>
        <w:tc>
          <w:tcPr>
            <w:tcW w:w="24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3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2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4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Rate-lock mortgage loan</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6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5"/>
                <w:szCs w:val="15"/>
                <w:color w:val="auto"/>
              </w:rPr>
              <w:t>Net gains on mortgage</w:t>
            </w: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gains on mortgage</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23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4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(6,549)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0" w:type="dxa"/>
            <w:vAlign w:val="bottom"/>
          </w:tcPr>
          <w:p>
            <w:pPr>
              <w:spacing w:after="0"/>
              <w:rPr>
                <w:sz w:val="1"/>
                <w:szCs w:val="1"/>
                <w:color w:val="auto"/>
              </w:rPr>
            </w:pPr>
          </w:p>
        </w:tc>
      </w:tr>
      <w:tr>
        <w:trPr>
          <w:trHeight w:val="203"/>
        </w:trPr>
        <w:tc>
          <w:tcPr>
            <w:tcW w:w="23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4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6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5"/>
                <w:szCs w:val="15"/>
                <w:color w:val="auto"/>
              </w:rPr>
              <w:t>Non-interest expense -</w:t>
            </w:r>
          </w:p>
        </w:tc>
        <w:tc>
          <w:tcPr>
            <w:tcW w:w="2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  Goodwill and Other Intangibles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7"/>
                <w:szCs w:val="17"/>
                <w:color w:val="auto"/>
              </w:rPr>
              <w:t>June 30, 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2023</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22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5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 summary of estimated core deposits intangible amortization at June 30, 2024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57"/>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ending December 31, 2024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2"/>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w:t>
      </w:r>
      <w:r>
        <w:rPr>
          <w:sz w:val="1"/>
          <w:szCs w:val="1"/>
          <w:color w:val="auto"/>
        </w:rPr>
        <w:drawing>
          <wp:inline distT="0" distB="0" distL="0" distR="0">
            <wp:extent cx="33020" cy="12255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122555"/>
                    </a:xfrm>
                    <a:prstGeom prst="rect">
                      <a:avLst/>
                    </a:prstGeom>
                    <a:noFill/>
                    <a:ln>
                      <a:noFill/>
                    </a:ln>
                  </pic:spPr>
                </pic:pic>
              </a:graphicData>
            </a:graphic>
          </wp:inline>
        </w:drawing>
      </w:r>
      <w:r>
        <w:rPr>
          <w:rFonts w:ascii="Times New Roman" w:cs="Times New Roman" w:eastAsia="Times New Roman" w:hAnsi="Times New Roman"/>
          <w:sz w:val="17"/>
          <w:szCs w:val="17"/>
          <w:color w:val="auto"/>
        </w:rPr>
        <w:t>0.4 million shares of common stock as of June 30, 2024. The non-employee director stock purchase plan permits the issuance of additional share based payments for up to 0.1 million shares of common stock as of June 30, 2024. Share based awards and payments are measured at fair value at the date of grant and are expensed over the requisite service period. Common shares issued upon exercise of stock options come from currently authorized but unissued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52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23"/>
        </w:trPr>
        <w:tc>
          <w:tcPr>
            <w:tcW w:w="50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7"/>
                <w:szCs w:val="17"/>
                <w:color w:val="auto"/>
              </w:rPr>
              <w:t>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Borders>
              <w:bottom w:val="single" w:sz="8" w:color="auto"/>
            </w:tcBorders>
            <w:gridSpan w:val="3"/>
          </w:tcPr>
          <w:p>
            <w:pPr>
              <w:jc w:val="center"/>
              <w:ind w:left="1014"/>
              <w:spacing w:after="0"/>
              <w:rPr>
                <w:sz w:val="20"/>
                <w:szCs w:val="20"/>
                <w:color w:val="auto"/>
              </w:rPr>
            </w:pPr>
            <w:r>
              <w:rPr>
                <w:rFonts w:ascii="Times New Roman" w:cs="Times New Roman" w:eastAsia="Times New Roman" w:hAnsi="Times New Roman"/>
                <w:sz w:val="17"/>
                <w:szCs w:val="17"/>
                <w:color w:val="auto"/>
                <w:w w:val="98"/>
              </w:rPr>
              <w:t>June 30,</w:t>
            </w:r>
          </w:p>
        </w:tc>
        <w:tc>
          <w:tcPr>
            <w:tcW w:w="1080" w:type="dxa"/>
            <w:vAlign w:val="bottom"/>
            <w:tcBorders>
              <w:bottom w:val="single" w:sz="8" w:color="auto"/>
            </w:tcBorders>
          </w:tcPr>
          <w:p>
            <w:pPr>
              <w:spacing w:after="0"/>
              <w:rPr>
                <w:sz w:val="19"/>
                <w:szCs w:val="19"/>
                <w:color w:val="auto"/>
              </w:rPr>
            </w:pPr>
          </w:p>
        </w:tc>
      </w:tr>
      <w:tr>
        <w:trPr>
          <w:trHeight w:val="212"/>
        </w:trPr>
        <w:tc>
          <w:tcPr>
            <w:tcW w:w="50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50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10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81,355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84,846</w:t>
            </w: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60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PSU</w:t>
            </w: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18,822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18,790</w:t>
            </w:r>
          </w:p>
        </w:tc>
      </w:tr>
      <w:tr>
        <w:trPr>
          <w:trHeight w:val="20"/>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fair value of our common stock and vest immediately. During the six month periods ended June 30, 2024 and 2023 we issued 0.005 million and 0.009 million shares, respectively and expensed their value during those same periods.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$0.5 million and $1.0 million during the three and six month periods ended June 30, 2024, respectively, and was $0.4 million and $0.9 million during the same periods in 2023, respectively. The corresponding tax benefit relating to this expense was $0.1 million and $0.2 million for the three and six month periods ended June 30, 2024, respectively and $0.1 million and $0.2 million for the same periods in 2023. Total expense recognized for non-employee director share based payments was $0.06 million and $0.13 million during the three and six month periods ended June 30, 2024, respectively, and was $0.09 million and $0.18 million during the same periods in 2023, respectively. The corresponding tax benefit relating to this expense was $0.01 million and $0.03 million for the three and six month periods ended June 30, 2024, respectively and $0.02 million and $0.04 million during the same periods in 2023.</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June 30, 2024, the total expected compensation cost related to non-vested restricted stock and PSUs not yet recognized was $3.7 million. The weighted-average period over which this amount will be recognized is 2.1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5"/>
                <w:szCs w:val="15"/>
                <w:color w:val="auto"/>
              </w:rPr>
            </w:pPr>
          </w:p>
        </w:tc>
        <w:tc>
          <w:tcPr>
            <w:tcW w:w="130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at June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June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June 30,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18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12"/>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269,233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2024</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center"/>
              <w:ind w:right="234"/>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2660" w:type="dxa"/>
            <w:vAlign w:val="bottom"/>
            <w:gridSpan w:val="4"/>
          </w:tcPr>
          <w:p>
            <w:pPr>
              <w:jc w:val="center"/>
              <w:ind w:left="314"/>
              <w:spacing w:after="0"/>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4"/>
          </w:tcPr>
          <w:p>
            <w:pPr>
              <w:jc w:val="center"/>
              <w:ind w:left="374"/>
              <w:spacing w:after="0"/>
              <w:rPr>
                <w:sz w:val="20"/>
                <w:szCs w:val="20"/>
                <w:color w:val="auto"/>
              </w:rPr>
            </w:pPr>
            <w:r>
              <w:rPr>
                <w:rFonts w:ascii="Times New Roman" w:cs="Times New Roman" w:eastAsia="Times New Roman" w:hAnsi="Times New Roman"/>
                <w:sz w:val="17"/>
                <w:szCs w:val="17"/>
                <w:color w:val="auto"/>
              </w:rPr>
              <w:t>Six Months Ended</w:t>
            </w:r>
          </w:p>
        </w:tc>
        <w:tc>
          <w:tcPr>
            <w:tcW w:w="440" w:type="dxa"/>
            <w:vAlign w:val="bottom"/>
          </w:tcPr>
          <w:p>
            <w:pPr>
              <w:spacing w:after="0"/>
              <w:rPr>
                <w:sz w:val="17"/>
                <w:szCs w:val="17"/>
                <w:color w:val="auto"/>
              </w:rPr>
            </w:pPr>
          </w:p>
        </w:tc>
      </w:tr>
      <w:tr>
        <w:trPr>
          <w:trHeight w:val="228"/>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color w:val="auto"/>
              </w:rPr>
              <w:t>June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color w:val="auto"/>
              </w:rPr>
              <w:t>June 30,</w:t>
            </w:r>
          </w:p>
        </w:tc>
        <w:tc>
          <w:tcPr>
            <w:tcW w:w="440" w:type="dxa"/>
            <w:vAlign w:val="bottom"/>
            <w:tcBorders>
              <w:bottom w:val="single" w:sz="8" w:color="auto"/>
            </w:tcBorders>
          </w:tcPr>
          <w:p>
            <w:pPr>
              <w:spacing w:after="0"/>
              <w:rPr>
                <w:sz w:val="19"/>
                <w:szCs w:val="19"/>
                <w:color w:val="auto"/>
              </w:rPr>
            </w:pPr>
          </w:p>
        </w:tc>
      </w:tr>
      <w:tr>
        <w:trPr>
          <w:trHeight w:val="217"/>
        </w:trPr>
        <w:tc>
          <w:tcPr>
            <w:tcW w:w="50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44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3"/>
          </w:tcPr>
          <w:p>
            <w:pPr>
              <w:jc w:val="center"/>
              <w:ind w:right="49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center"/>
              <w:ind w:right="43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5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1"/>
        </w:trPr>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proceeds received</w:t>
            </w:r>
          </w:p>
        </w:tc>
        <w:tc>
          <w:tcPr>
            <w:tcW w:w="980" w:type="dxa"/>
            <w:vAlign w:val="bottom"/>
            <w:tcBorders>
              <w:top w:val="single" w:sz="8" w:color="auto"/>
              <w:bottom w:val="single" w:sz="8" w:color="auto"/>
            </w:tcBorders>
          </w:tcPr>
          <w:p>
            <w:pPr>
              <w:jc w:val="right"/>
              <w:ind w:right="7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ind w:left="2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8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7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ind w:left="2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u w:val="single" w:color="auto"/>
          <w:color w:val="auto"/>
        </w:rPr>
        <w:t>Income Tax</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Income tax expense was $4.6 million and $3.4 million during the three month periods ended June 30, 2024 and 2023, respectively and $8.5 million and $6.3 million during the six months ended June 30, 2024 and 2023,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2024 both include reductions of $0.109 of income tax expense related to the impact of the excess value of stock awards that vested and stock options that were exercised as compared to the initial fair values that were expensed. These amounts during the same periods in 2023 were $0.008 million and $0.044 million, respectively.</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2024, June 30, 2023 and December 31, 2023 that the realization of substantially all of our deferred tax assets continues to be more likely than not.</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June 30, 2024 and December 31, 2023, we had approximately $0.2 million, respectively, of gross unrecognized tax benefits. We do not expect the total amount of unrecognized tax benefits to significantly increase or decrease during the remainder of 2024.</w:t>
      </w:r>
    </w:p>
    <w:p>
      <w:pPr>
        <w:spacing w:after="0" w:line="113" w:lineRule="exact"/>
        <w:rPr>
          <w:sz w:val="20"/>
          <w:szCs w:val="20"/>
          <w:color w:val="auto"/>
        </w:rPr>
      </w:pPr>
    </w:p>
    <w:p>
      <w:pPr>
        <w:ind w:left="380" w:hanging="377"/>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2024, the Bank had positive undivided profits of $200.6 million. It is not our intent to have dividends paid in amounts that would reduce the capital of our Bank to levels below those which we consider prudent or that would not be in accordance with guidelines of regulatory authorities.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June 30, 2024 and December 31, 2023,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w w:val="99"/>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Amount</w:t>
            </w: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Ratio</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596,563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335,844</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543,231</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335,487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419,359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503,981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251,883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490,704</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251,615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335,487</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465,443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188,912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490,704</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188,712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272,583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503,981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210,192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490,704</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210,197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262,747</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573,972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335,014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521,374</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334,673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418,341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481,569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251,260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251,005</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334,673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443,065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188,445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188,254</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271,922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481,569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213,227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213,180</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266,475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ind w:right="3280" w:firstLine="20"/>
        <w:spacing w:after="0" w:line="413" w:lineRule="auto"/>
        <w:tabs>
          <w:tab w:leader="none" w:pos="58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June 30, 2024 and December 31, 2023.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ind w:left="800"/>
              <w:spacing w:after="0"/>
              <w:rPr>
                <w:sz w:val="20"/>
                <w:szCs w:val="20"/>
                <w:color w:val="auto"/>
              </w:rPr>
            </w:pPr>
            <w:r>
              <w:rPr>
                <w:rFonts w:ascii="Times New Roman" w:cs="Times New Roman" w:eastAsia="Times New Roman" w:hAnsi="Times New Roman"/>
                <w:sz w:val="17"/>
                <w:szCs w:val="17"/>
                <w:color w:val="auto"/>
              </w:rPr>
              <w:t>Consolidated</w:t>
            </w:r>
          </w:p>
        </w:tc>
        <w:tc>
          <w:tcPr>
            <w:tcW w:w="460" w:type="dxa"/>
            <w:vAlign w:val="bottom"/>
          </w:tcPr>
          <w:p>
            <w:pPr>
              <w:spacing w:after="0"/>
              <w:rPr>
                <w:sz w:val="24"/>
                <w:szCs w:val="24"/>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color w:val="auto"/>
              </w:rPr>
              <w:t>Independent Bank</w:t>
            </w:r>
          </w:p>
        </w:tc>
      </w:tr>
      <w:tr>
        <w:trPr>
          <w:trHeight w:val="160"/>
        </w:trPr>
        <w:tc>
          <w:tcPr>
            <w:tcW w:w="50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80"/>
              <w:spacing w:after="0" w:line="161" w:lineRule="exact"/>
              <w:rPr>
                <w:sz w:val="20"/>
                <w:szCs w:val="20"/>
                <w:color w:val="auto"/>
              </w:rPr>
            </w:pPr>
            <w:r>
              <w:rPr>
                <w:rFonts w:ascii="Times New Roman" w:cs="Times New Roman" w:eastAsia="Times New Roman" w:hAnsi="Times New Roman"/>
                <w:sz w:val="17"/>
                <w:szCs w:val="17"/>
                <w:color w:val="auto"/>
              </w:rPr>
              <w:t>June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spacing w:after="0" w:line="161" w:lineRule="exact"/>
              <w:rPr>
                <w:sz w:val="20"/>
                <w:szCs w:val="20"/>
                <w:color w:val="auto"/>
              </w:rPr>
            </w:pPr>
            <w:r>
              <w:rPr>
                <w:rFonts w:ascii="Times New Roman" w:cs="Times New Roman" w:eastAsia="Times New Roman" w:hAnsi="Times New Roman"/>
                <w:sz w:val="17"/>
                <w:szCs w:val="17"/>
                <w:color w:val="auto"/>
              </w:rPr>
              <w:t>June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7"/>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404,449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455,720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430,407</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68"/>
        </w:trPr>
        <w:tc>
          <w:tcPr>
            <w:tcW w:w="50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Accumulated other comprehensive (income) loss for regulatory</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purposes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66,344</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(30,304)</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CECL (1)</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465,443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443,065</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490,704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469,023</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503,981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481,569</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490,704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469,023</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Subordinated debt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5040" w:type="dxa"/>
            <w:vAlign w:val="bottom"/>
          </w:tcPr>
          <w:p>
            <w:pPr>
              <w:ind w:left="320"/>
              <w:spacing w:after="0" w:line="167" w:lineRule="exact"/>
              <w:rPr>
                <w:sz w:val="20"/>
                <w:szCs w:val="20"/>
                <w:color w:val="auto"/>
              </w:rPr>
            </w:pPr>
            <w:r>
              <w:rPr>
                <w:rFonts w:ascii="Times New Roman" w:cs="Times New Roman" w:eastAsia="Times New Roman" w:hAnsi="Times New Roman"/>
                <w:sz w:val="17"/>
                <w:szCs w:val="17"/>
                <w:color w:val="auto"/>
              </w:rPr>
              <w:t>Allowance for credit losses and allowance for unfunded lending</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2"/>
        </w:trPr>
        <w:tc>
          <w:tcPr>
            <w:tcW w:w="5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commitments limited to 1.25% of total risk-weighted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52,582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52,403</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52,527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52,351</w:t>
            </w:r>
          </w:p>
        </w:tc>
      </w:tr>
      <w:tr>
        <w:trPr>
          <w:trHeight w:val="23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573,972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543,231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580" w:hanging="560"/>
        <w:spacing w:after="0"/>
        <w:tabs>
          <w:tab w:leader="none" w:pos="5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elected the three year CECL transition method for regulatory purposes.</w:t>
      </w:r>
    </w:p>
    <w:p>
      <w:pPr>
        <w:spacing w:after="0" w:line="281"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9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Level 1 securities include equity securities at fair value at June 30, 2024.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mortgage loans held for sale, carried at fair value is based on agency cash window loan pricing for comparable assets (recurring Level 2).</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w w:val="99"/>
              </w:rPr>
              <w:t>Fair Value Measurements Using</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ind w:left="234"/>
              <w:spacing w:after="0" w:line="161" w:lineRule="exact"/>
              <w:rPr>
                <w:sz w:val="20"/>
                <w:szCs w:val="20"/>
                <w:color w:val="auto"/>
              </w:rPr>
            </w:pPr>
            <w:r>
              <w:rPr>
                <w:rFonts w:ascii="Times New Roman" w:cs="Times New Roman" w:eastAsia="Times New Roman" w:hAnsi="Times New Roman"/>
                <w:sz w:val="17"/>
                <w:szCs w:val="17"/>
                <w:color w:val="auto"/>
              </w:rPr>
              <w:t>Quoted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ind w:left="21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jc w:val="center"/>
              <w:ind w:left="23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ind w:left="23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37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110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ind w:left="23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374"/>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Un-</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w w:val="96"/>
              </w:rPr>
              <w:t>Fair Value</w:t>
            </w:r>
          </w:p>
        </w:tc>
        <w:tc>
          <w:tcPr>
            <w:tcW w:w="960" w:type="dxa"/>
            <w:vAlign w:val="bottom"/>
          </w:tcPr>
          <w:p>
            <w:pPr>
              <w:jc w:val="center"/>
              <w:ind w:left="23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35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11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Measure-</w:t>
            </w:r>
          </w:p>
        </w:tc>
        <w:tc>
          <w:tcPr>
            <w:tcW w:w="960" w:type="dxa"/>
            <w:vAlign w:val="bottom"/>
          </w:tcPr>
          <w:p>
            <w:pPr>
              <w:jc w:val="center"/>
              <w:ind w:left="23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37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ments</w:t>
            </w:r>
          </w:p>
        </w:tc>
        <w:tc>
          <w:tcPr>
            <w:tcW w:w="96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7"/>
                <w:szCs w:val="17"/>
                <w:color w:val="auto"/>
              </w:rPr>
              <w:t>(Level 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7"/>
                <w:szCs w:val="17"/>
                <w:color w:val="auto"/>
              </w:rPr>
              <w:t>(Level 2)</w:t>
            </w: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920" w:type="dxa"/>
            <w:vAlign w:val="bottom"/>
            <w:gridSpan w:val="4"/>
          </w:tcPr>
          <w:p>
            <w:pPr>
              <w:jc w:val="right"/>
              <w:ind w:right="1014"/>
              <w:spacing w:after="0"/>
              <w:rPr>
                <w:sz w:val="20"/>
                <w:szCs w:val="20"/>
                <w:color w:val="auto"/>
              </w:rPr>
            </w:pPr>
            <w:r>
              <w:rPr>
                <w:rFonts w:ascii="Times New Roman" w:cs="Times New Roman" w:eastAsia="Times New Roman" w:hAnsi="Times New Roman"/>
                <w:sz w:val="17"/>
                <w:szCs w:val="17"/>
                <w:color w:val="auto"/>
              </w:rPr>
              <w:t>(In thousands)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872</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872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8,766</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8,766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75,900</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75,900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11,896</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11,896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80,842</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80,842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51,430</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51,430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292,214</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292,214</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69,975</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69,975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951</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951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15,935</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15,935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44,406</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44,406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41,423</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41,423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19,266</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19,266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5,061</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5,061</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828</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400</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108</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99</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204</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67</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1"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loss allocations based on collateral value.</w:t>
      </w: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9,507</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9,507</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81,217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81,217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12,297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12,297</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86,469</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86,469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112,931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112,931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302,737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302,737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73,250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73,250</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942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12,063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12,063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42,243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38,683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21,835</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551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impaired loans with specific loss allocations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Changes in Fair Values for the Six</w:t>
      </w:r>
    </w:p>
    <w:p>
      <w:pPr>
        <w:jc w:val="center"/>
        <w:ind w:left="6600"/>
        <w:spacing w:after="0" w:line="205" w:lineRule="auto"/>
        <w:rPr>
          <w:sz w:val="20"/>
          <w:szCs w:val="20"/>
          <w:color w:val="auto"/>
        </w:rPr>
      </w:pPr>
      <w:r>
        <w:rPr>
          <w:rFonts w:ascii="Times New Roman" w:cs="Times New Roman" w:eastAsia="Times New Roman" w:hAnsi="Times New Roman"/>
          <w:sz w:val="17"/>
          <w:szCs w:val="17"/>
          <w:color w:val="auto"/>
        </w:rPr>
        <w:t>Month Periods Ended June 30 for</w:t>
      </w:r>
    </w:p>
    <w:p>
      <w:pPr>
        <w:jc w:val="center"/>
        <w:ind w:left="6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7"/>
                <w:szCs w:val="17"/>
                <w:color w:val="auto"/>
                <w:w w:val="99"/>
              </w:rPr>
              <w:t>Net Gains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on Assets</w:t>
            </w: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Mortgage</w:t>
            </w:r>
          </w:p>
        </w:tc>
        <w:tc>
          <w:tcPr>
            <w:tcW w:w="260" w:type="dxa"/>
            <w:vAlign w:val="bottom"/>
          </w:tcPr>
          <w:p>
            <w:pPr>
              <w:spacing w:after="0"/>
              <w:rPr>
                <w:sz w:val="13"/>
                <w:szCs w:val="13"/>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383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(15)</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3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and six month periods ended June 30, 2024 and 2023 relating to assets measured at fair value on a non-recurring basis:</w:t>
      </w:r>
    </w:p>
    <w:p>
      <w:pPr>
        <w:spacing w:after="0" w:line="1" w:lineRule="exact"/>
        <w:rPr>
          <w:sz w:val="20"/>
          <w:szCs w:val="20"/>
          <w:color w:val="auto"/>
        </w:rPr>
      </w:pPr>
    </w:p>
    <w:p>
      <w:pPr>
        <w:jc w:val="both"/>
        <w:ind w:left="620" w:hanging="307"/>
        <w:spacing w:after="0" w:line="256"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$6.9 million, which is net of a valuation allowance of $2.1 million at June 30, 2024, and had a carrying amount of $2.0 million, which is net of a valuation allowance of $1.3 million at December 31, 2023. The provision for credit losses included in our results of operations relating to collateral dependent loans was a net expense (recovery) of $(0.1) million and $1.7 million for the three month periods ending June 30, 2024 and 2023, respectively, and a net expense of $1.6 million and $2.0 million for the six month periods ending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60"/>
        </w:trPr>
        <w:tc>
          <w:tcPr>
            <w:tcW w:w="5040" w:type="dxa"/>
            <w:vAlign w:val="bottom"/>
          </w:tcPr>
          <w:p>
            <w:pPr>
              <w:spacing w:after="0"/>
              <w:rPr>
                <w:sz w:val="13"/>
                <w:szCs w:val="13"/>
                <w:color w:val="auto"/>
              </w:rPr>
            </w:pPr>
          </w:p>
        </w:tc>
        <w:tc>
          <w:tcPr>
            <w:tcW w:w="2500" w:type="dxa"/>
            <w:vAlign w:val="bottom"/>
            <w:gridSpan w:val="4"/>
          </w:tcPr>
          <w:p>
            <w:pPr>
              <w:jc w:val="center"/>
              <w:ind w:left="474"/>
              <w:spacing w:after="0" w:line="161" w:lineRule="exact"/>
              <w:rPr>
                <w:sz w:val="20"/>
                <w:szCs w:val="20"/>
                <w:color w:val="auto"/>
              </w:rPr>
            </w:pPr>
            <w:r>
              <w:rPr>
                <w:rFonts w:ascii="Times New Roman" w:cs="Times New Roman" w:eastAsia="Times New Roman" w:hAnsi="Times New Roman"/>
                <w:sz w:val="17"/>
                <w:szCs w:val="17"/>
                <w:color w:val="auto"/>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234"/>
              <w:spacing w:after="0" w:line="161" w:lineRule="exact"/>
              <w:rPr>
                <w:sz w:val="20"/>
                <w:szCs w:val="20"/>
                <w:color w:val="auto"/>
              </w:rPr>
            </w:pPr>
            <w:r>
              <w:rPr>
                <w:rFonts w:ascii="Times New Roman" w:cs="Times New Roman" w:eastAsia="Times New Roman" w:hAnsi="Times New Roman"/>
                <w:sz w:val="17"/>
                <w:szCs w:val="17"/>
                <w:color w:val="auto"/>
              </w:rPr>
              <w:t>Six Months Ended</w:t>
            </w:r>
          </w:p>
        </w:tc>
      </w:tr>
      <w:tr>
        <w:trPr>
          <w:trHeight w:val="223"/>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gridSpan w:val="3"/>
          </w:tcPr>
          <w:p>
            <w:pPr>
              <w:jc w:val="center"/>
              <w:ind w:right="294"/>
              <w:spacing w:after="0"/>
              <w:rPr>
                <w:sz w:val="20"/>
                <w:szCs w:val="20"/>
                <w:color w:val="auto"/>
              </w:rPr>
            </w:pPr>
            <w:r>
              <w:rPr>
                <w:rFonts w:ascii="Times New Roman" w:cs="Times New Roman" w:eastAsia="Times New Roman" w:hAnsi="Times New Roman"/>
                <w:sz w:val="17"/>
                <w:szCs w:val="17"/>
                <w:color w:val="auto"/>
              </w:rPr>
              <w:t>June 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w w:val="98"/>
              </w:rPr>
              <w:t>June 30,</w:t>
            </w:r>
          </w:p>
        </w:tc>
        <w:tc>
          <w:tcPr>
            <w:tcW w:w="960" w:type="dxa"/>
            <w:vAlign w:val="bottom"/>
          </w:tcPr>
          <w:p>
            <w:pPr>
              <w:spacing w:after="0"/>
              <w:rPr>
                <w:sz w:val="19"/>
                <w:szCs w:val="19"/>
                <w:color w:val="auto"/>
              </w:rPr>
            </w:pPr>
          </w:p>
        </w:tc>
      </w:tr>
      <w:tr>
        <w:trPr>
          <w:trHeight w:val="228"/>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3"/>
          </w:tcPr>
          <w:p>
            <w:pPr>
              <w:jc w:val="center"/>
              <w:ind w:right="294"/>
              <w:spacing w:after="0"/>
              <w:rPr>
                <w:sz w:val="20"/>
                <w:szCs w:val="20"/>
                <w:color w:val="auto"/>
              </w:rPr>
            </w:pPr>
            <w:r>
              <w:rPr>
                <w:rFonts w:ascii="Times New Roman" w:cs="Times New Roman" w:eastAsia="Times New Roman" w:hAnsi="Times New Roman"/>
                <w:sz w:val="17"/>
                <w:szCs w:val="17"/>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18"/>
                <w:szCs w:val="18"/>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43,577</w:t>
            </w:r>
          </w:p>
        </w:tc>
        <w:tc>
          <w:tcPr>
            <w:tcW w:w="102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42,489</w:t>
            </w: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Amount of total gains (losses) for the period included in earnings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2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attributable to the change in unrealized gains (losses) relating to assets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5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liabilities still held at June 30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138670" cy="3600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tabs>
          <w:tab w:leader="none" w:pos="1500" w:val="left"/>
          <w:tab w:leader="none" w:pos="2060" w:val="left"/>
          <w:tab w:leader="none" w:pos="3200" w:val="left"/>
          <w:tab w:leader="none" w:pos="3640" w:val="left"/>
          <w:tab w:leader="none" w:pos="4800" w:val="left"/>
        </w:tabs>
        <w:rPr>
          <w:sz w:val="20"/>
          <w:szCs w:val="20"/>
          <w:color w:val="auto"/>
        </w:rPr>
      </w:pPr>
      <w:r>
        <w:rPr>
          <w:rFonts w:ascii="Times New Roman" w:cs="Times New Roman" w:eastAsia="Times New Roman" w:hAnsi="Times New Roman"/>
          <w:sz w:val="17"/>
          <w:szCs w:val="17"/>
          <w:color w:val="auto"/>
        </w:rPr>
        <w:t>(123)  $</w:t>
      </w:r>
      <w:r>
        <w:rPr>
          <w:sz w:val="20"/>
          <w:szCs w:val="20"/>
          <w:color w:val="auto"/>
        </w:rPr>
        <w:tab/>
      </w:r>
      <w:r>
        <w:rPr>
          <w:rFonts w:ascii="Times New Roman" w:cs="Times New Roman" w:eastAsia="Times New Roman" w:hAnsi="Times New Roman"/>
          <w:sz w:val="17"/>
          <w:szCs w:val="17"/>
          <w:color w:val="auto"/>
        </w:rPr>
        <w:t>1,481</w:t>
        <w:tab/>
        <w:t>$</w:t>
      </w:r>
      <w:r>
        <w:rPr>
          <w:sz w:val="20"/>
          <w:szCs w:val="20"/>
          <w:color w:val="auto"/>
        </w:rPr>
        <w:tab/>
      </w:r>
      <w:r>
        <w:rPr>
          <w:rFonts w:ascii="Times New Roman" w:cs="Times New Roman" w:eastAsia="Times New Roman" w:hAnsi="Times New Roman"/>
          <w:sz w:val="17"/>
          <w:szCs w:val="17"/>
          <w:color w:val="auto"/>
        </w:rPr>
        <w:t>383</w:t>
        <w:tab/>
        <w:t>$</w:t>
      </w:r>
      <w:r>
        <w:rPr>
          <w:sz w:val="20"/>
          <w:szCs w:val="20"/>
          <w:color w:val="auto"/>
        </w:rPr>
        <w:tab/>
      </w: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41910</wp:posOffset>
            </wp:positionV>
            <wp:extent cx="3937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5400" w:space="720"/>
            <w:col w:w="5120"/>
          </w:cols>
          <w:pgMar w:left="320" w:top="119" w:right="339" w:bottom="1440" w:gutter="0" w:footer="0" w:header="0"/>
          <w:type w:val="continuous"/>
        </w:sectPr>
      </w:pP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19" w:right="339" w:bottom="1440" w:gutter="0" w:footer="0" w:header="0"/>
          <w:type w:val="continuous"/>
        </w:sectPr>
      </w:pPr>
    </w:p>
    <w:p>
      <w:pPr>
        <w:spacing w:after="0" w:line="16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Asset</w:t>
      </w:r>
    </w:p>
    <w:p>
      <w:pPr>
        <w:ind w:left="2700"/>
        <w:spacing w:after="0" w:line="221" w:lineRule="auto"/>
        <w:rPr>
          <w:sz w:val="20"/>
          <w:szCs w:val="20"/>
          <w:color w:val="auto"/>
        </w:rPr>
      </w:pPr>
      <w:r>
        <w:rPr>
          <w:rFonts w:ascii="Times New Roman" w:cs="Times New Roman" w:eastAsia="Times New Roman" w:hAnsi="Times New Roman"/>
          <w:sz w:val="17"/>
          <w:szCs w:val="17"/>
          <w:color w:val="auto"/>
        </w:rPr>
        <w:t>Fair</w:t>
      </w:r>
    </w:p>
    <w:p>
      <w:pPr>
        <w:jc w:val="center"/>
        <w:ind w:left="2340"/>
        <w:spacing w:after="0"/>
        <w:rPr>
          <w:sz w:val="20"/>
          <w:szCs w:val="20"/>
          <w:color w:val="auto"/>
        </w:rPr>
      </w:pPr>
      <w:r>
        <w:rPr>
          <w:rFonts w:ascii="Times New Roman" w:cs="Times New Roman" w:eastAsia="Times New Roman" w:hAnsi="Times New Roman"/>
          <w:sz w:val="17"/>
          <w:szCs w:val="17"/>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5715</wp:posOffset>
            </wp:positionV>
            <wp:extent cx="925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jc w:val="center"/>
        <w:ind w:left="2340"/>
        <w:spacing w:after="0"/>
        <w:rPr>
          <w:sz w:val="20"/>
          <w:szCs w:val="20"/>
          <w:color w:val="auto"/>
        </w:rPr>
      </w:pPr>
      <w:r>
        <w:rPr>
          <w:rFonts w:ascii="Times New Roman" w:cs="Times New Roman" w:eastAsia="Times New Roman" w:hAnsi="Times New Roman"/>
          <w:sz w:val="17"/>
          <w:szCs w:val="17"/>
          <w:color w:val="auto"/>
        </w:rPr>
        <w:t>(In thousands)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Valuation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Unobservable</w:t>
            </w: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Weighted</w:t>
            </w:r>
          </w:p>
        </w:tc>
      </w:tr>
      <w:tr>
        <w:trPr>
          <w:trHeight w:val="232"/>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c>
          <w:tcPr>
            <w:tcW w:w="100" w:type="dxa"/>
            <w:vAlign w:val="bottom"/>
          </w:tcPr>
          <w:p>
            <w:pPr>
              <w:spacing w:after="0"/>
              <w:rPr>
                <w:sz w:val="20"/>
                <w:szCs w:val="20"/>
                <w:color w:val="auto"/>
              </w:rPr>
            </w:pPr>
          </w:p>
        </w:tc>
        <w:tc>
          <w:tcPr>
            <w:tcW w:w="17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Range</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Average</w:t>
            </w:r>
          </w:p>
        </w:tc>
      </w:tr>
    </w:tbl>
    <w:p>
      <w:pPr>
        <w:spacing w:after="0" w:line="219" w:lineRule="exact"/>
        <w:rPr>
          <w:sz w:val="20"/>
          <w:szCs w:val="20"/>
          <w:color w:val="auto"/>
        </w:rPr>
      </w:pPr>
    </w:p>
    <w:p>
      <w:pPr>
        <w:sectPr>
          <w:pgSz w:w="11900" w:h="16838" w:orient="portrait"/>
          <w:cols w:equalWidth="0" w:num="2">
            <w:col w:w="3320" w:space="340"/>
            <w:col w:w="758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June 30, 2024</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4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44,406</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-244475</wp:posOffset>
            </wp:positionV>
            <wp:extent cx="7138670" cy="2540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147955</wp:posOffset>
            </wp:positionV>
            <wp:extent cx="7138670" cy="139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426085</wp:posOffset>
            </wp:positionV>
            <wp:extent cx="7138670" cy="139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10.38 %</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to $817</w:t>
            </w:r>
          </w:p>
        </w:tc>
        <w:tc>
          <w:tcPr>
            <w:tcW w:w="6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78</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 to 30</w:t>
            </w:r>
          </w:p>
        </w:tc>
        <w:tc>
          <w:tcPr>
            <w:tcW w:w="60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4.38 %</w:t>
            </w:r>
          </w:p>
        </w:tc>
      </w:t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8.50 %</w:t>
            </w:r>
          </w:p>
        </w:tc>
      </w:tr>
    </w:tbl>
    <w:p>
      <w:pPr>
        <w:spacing w:after="0" w:line="1" w:lineRule="exact"/>
        <w:rPr>
          <w:sz w:val="20"/>
          <w:szCs w:val="20"/>
          <w:color w:val="auto"/>
        </w:rPr>
      </w:pPr>
    </w:p>
    <w:p>
      <w:pPr>
        <w:sectPr>
          <w:pgSz w:w="11900" w:h="16838" w:orient="portrait"/>
          <w:cols w:equalWidth="0" w:num="3">
            <w:col w:w="3500" w:space="320"/>
            <w:col w:w="1880" w:space="180"/>
            <w:col w:w="536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4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42,243</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-244475</wp:posOffset>
            </wp:positionV>
            <wp:extent cx="7138670" cy="254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147955</wp:posOffset>
            </wp:positionV>
            <wp:extent cx="7138670"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426085</wp:posOffset>
            </wp:positionV>
            <wp:extent cx="7138670" cy="139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10.25 %</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to $442</w:t>
            </w:r>
          </w:p>
        </w:tc>
        <w:tc>
          <w:tcPr>
            <w:tcW w:w="6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 to 30</w:t>
            </w:r>
          </w:p>
        </w:tc>
        <w:tc>
          <w:tcPr>
            <w:tcW w:w="60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3.82 %</w:t>
            </w:r>
          </w:p>
        </w:tc>
      </w:t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r>
    </w:tbl>
    <w:p>
      <w:pPr>
        <w:spacing w:after="0" w:line="200" w:lineRule="exact"/>
        <w:rPr>
          <w:sz w:val="20"/>
          <w:szCs w:val="20"/>
          <w:color w:val="auto"/>
        </w:rPr>
      </w:pPr>
    </w:p>
    <w:p>
      <w:pPr>
        <w:sectPr>
          <w:pgSz w:w="11900" w:h="16838" w:orient="portrait"/>
          <w:cols w:equalWidth="0" w:num="3">
            <w:col w:w="3500" w:space="320"/>
            <w:col w:w="1880" w:space="180"/>
            <w:col w:w="5360"/>
          </w:cols>
          <w:pgMar w:left="320" w:top="119"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Asset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Fair</w:t>
            </w: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3"/>
              </w:rPr>
              <w:t>Value</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30, 2024</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Commercial(1)</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5,889</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28"/>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503"/>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15"/>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-2201545</wp:posOffset>
            </wp:positionV>
            <wp:extent cx="7138670" cy="556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-1350645</wp:posOffset>
            </wp:positionV>
            <wp:extent cx="7138670" cy="294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-892175</wp:posOffset>
            </wp:positionV>
            <wp:extent cx="7138670" cy="155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-581025</wp:posOffset>
            </wp:positionV>
            <wp:extent cx="7138670" cy="294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120"/>
        <w:spacing w:after="0"/>
        <w:tabs>
          <w:tab w:leader="none" w:pos="16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22860</wp:posOffset>
            </wp:positionV>
            <wp:extent cx="20059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28.0% to 50.0%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29.9 %</w:t>
            </w:r>
          </w:p>
        </w:tc>
      </w:tr>
      <w:tr>
        <w:trPr>
          <w:trHeight w:val="464"/>
        </w:trPr>
        <w:tc>
          <w:tcPr>
            <w:tcW w:w="16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9"/>
              </w:rPr>
              <w:t>(18.0)% to 65.0%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477"/>
        </w:trPr>
        <w:tc>
          <w:tcPr>
            <w:tcW w:w="16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(25.5) to 16.6</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15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(5.0)% to 6.0%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464"/>
        </w:trPr>
        <w:tc>
          <w:tcPr>
            <w:tcW w:w="15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(4.1) to 10.5</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r>
    </w:tbl>
    <w:p>
      <w:pPr>
        <w:spacing w:after="0" w:line="200" w:lineRule="exact"/>
        <w:rPr>
          <w:sz w:val="20"/>
          <w:szCs w:val="20"/>
          <w:color w:val="auto"/>
        </w:rPr>
      </w:pPr>
    </w:p>
    <w:p>
      <w:pPr>
        <w:sectPr>
          <w:pgSz w:w="11900" w:h="16838" w:orient="portrait"/>
          <w:cols w:equalWidth="0" w:num="2">
            <w:col w:w="8000" w:space="620"/>
            <w:col w:w="2620"/>
          </w:cols>
          <w:pgMar w:left="320" w:top="119" w:right="339" w:bottom="1440" w:gutter="0" w:footer="0" w:header="0"/>
          <w:type w:val="continuous"/>
        </w:sectPr>
      </w:pPr>
    </w:p>
    <w:p>
      <w:pPr>
        <w:spacing w:after="0" w:line="105" w:lineRule="exact"/>
        <w:rPr>
          <w:sz w:val="20"/>
          <w:szCs w:val="20"/>
          <w:color w:val="auto"/>
        </w:rPr>
      </w:pPr>
    </w:p>
    <w:p>
      <w:pPr>
        <w:jc w:val="both"/>
        <w:ind w:left="580" w:right="20" w:hanging="560"/>
        <w:spacing w:after="0" w:line="270" w:lineRule="auto"/>
        <w:tabs>
          <w:tab w:leader="none" w:pos="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 million of this amount primarily relates to one collateral dependent relationship credit. Collateral securing this relationship primarily included accounts receivable, inventory and machinery and equipment at June 30, 2024. Valuation techniques at June 30, 2024 included discounting financial statement values for accounts receivable and inventory and appraised values for machinery and equipment.</w:t>
      </w:r>
    </w:p>
    <w:p>
      <w:pPr>
        <w:spacing w:after="0" w:line="10" w:lineRule="exact"/>
        <w:rPr>
          <w:rFonts w:ascii="Times New Roman" w:cs="Times New Roman" w:eastAsia="Times New Roman" w:hAnsi="Times New Roman"/>
          <w:sz w:val="17"/>
          <w:szCs w:val="17"/>
          <w:color w:val="auto"/>
        </w:rPr>
      </w:pPr>
    </w:p>
    <w:p>
      <w:pPr>
        <w:jc w:val="both"/>
        <w:ind w:left="580" w:right="20" w:hanging="560"/>
        <w:spacing w:after="0" w:line="270" w:lineRule="auto"/>
        <w:tabs>
          <w:tab w:leader="none" w:pos="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June 30, 2024 and December 31, 2023 certain collateral dependent installment loans totaling approximately $0.37 million and $0.45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Difference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25"/>
        </w:trPr>
        <w:tc>
          <w:tcPr>
            <w:tcW w:w="3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2024</w:t>
            </w:r>
          </w:p>
        </w:tc>
        <w:tc>
          <w:tcPr>
            <w:tcW w:w="3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15,836</w:t>
            </w:r>
          </w:p>
        </w:tc>
      </w:tr>
      <w:tr>
        <w:trPr>
          <w:trHeight w:val="232"/>
        </w:trPr>
        <w:tc>
          <w:tcPr>
            <w:tcW w:w="3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12,063</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12,124</w:t>
            </w:r>
          </w:p>
        </w:tc>
      </w:tr>
      <w:tr>
        <w:trPr>
          <w:trHeight w:val="877"/>
        </w:trPr>
        <w:tc>
          <w:tcPr>
            <w:tcW w:w="3600" w:type="dxa"/>
            <w:vAlign w:val="bottom"/>
          </w:tcPr>
          <w:p>
            <w:pPr>
              <w:spacing w:after="0"/>
              <w:rPr>
                <w:sz w:val="24"/>
                <w:szCs w:val="24"/>
                <w:color w:val="auto"/>
              </w:rPr>
            </w:pPr>
          </w:p>
        </w:tc>
        <w:tc>
          <w:tcPr>
            <w:tcW w:w="302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20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6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0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6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0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54,910</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54,910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54,910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159,438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159,438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159,438</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872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872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872</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591,974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591,974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591,974</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344,220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305,654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305,654</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16,099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3,811,583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3,557,598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15,935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3,541,663</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19,405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19,405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5,908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13,407</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41,423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41,423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41,423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3,783,170</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3,783,170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3,783,170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831,158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827,107</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827,107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50,012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49,927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49,927</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39,548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39,091</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39,091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39,762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39,390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39,390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3,774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3,774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437</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3,337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19,266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19,266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19,266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68,208</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68,208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68,208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101,573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101,573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101,573</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679,350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679,350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679,350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353,988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318,606</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318,606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16,821</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3,748,306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3,453,790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12,063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3,441,727</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19,044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19,044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6,486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38,683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3,704,808</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3,704,808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3,704,808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918,071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914,404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914,404</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50,026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49,831</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49,831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39,510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40,352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40,352</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39,728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38,103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38,103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6,534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6,534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6,052</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21,835</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67" w:lineRule="exact"/>
        <w:rPr>
          <w:sz w:val="20"/>
          <w:szCs w:val="20"/>
          <w:color w:val="auto"/>
        </w:rPr>
      </w:pPr>
    </w:p>
    <w:p>
      <w:pPr>
        <w:ind w:left="580" w:right="20" w:hanging="560"/>
        <w:spacing w:after="0" w:line="180" w:lineRule="auto"/>
        <w:tabs>
          <w:tab w:leader="none" w:pos="580" w:val="left"/>
        </w:tabs>
        <w:numPr>
          <w:ilvl w:val="0"/>
          <w:numId w:val="2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2"/>
          <w:szCs w:val="12"/>
          <w:color w:val="auto"/>
        </w:rPr>
        <w:t>Deposits with no stated maturity include reciprocal deposits with a recorded book balance of $807.480 million and $723.014 million at June 30, 2024 and December 31, 2023, respectively. Deposits with a stated maturity include reciprocal deposits with a recorded book balance of $118.348 million and $109.006 million at June 30, 2024 and December 31, 2023, respectively.</w:t>
      </w:r>
    </w:p>
    <w:p>
      <w:pPr>
        <w:spacing w:after="0" w:line="2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Pressures from various global and national macroeconomic conditions, including heightened inflation, uncertainty regarding future interest rates, foreign currency exchange rate fluctuations, recent adverse weather conditions, the continuation of the Russia-Ukraine and Israel-Hamas wars, and potential governmental responses to these events, continue to create significant economic uncertainty.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Pursuant to the exchange offer, we agreed not to sell more than one-third (831 shares) of our Class C shares before June 20, 2024 and agreed not to sell more than two-thirds (1,662 shares), in total, of our Class C shares before August 4, 2024. The Class B-2 shares have the same transfer restrictions as the transfer restrictions on the Class B-1 shares and can only be sold to other Class B shareholders.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representing cost basis less impairment.</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With the completion of the exchange, we recorded a gain related to the Class C shares of $2.677 million based on the conversion privilege of those shares and the closing price of the Class A shares on May 3, 2024 (the exchange expiration date) of $268.49 per share. Subsequent to the exchange, we sold 1,662 of our Class C shares for net proceeds of $1.821 million. The fair value of our remaining 831 Class C shares was $0.872 million at June 30, 2024, using a closing price of the Class A shares of $262.47 per share on Friday, June 28, 2024, and is recorded as equity securities at fair value on our Condensed Consolidated Statements of Financial Condition.</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light of the continued uncertainty regarding the likelihood, ultimate timing and eventual exchange rate for Class B-2 shares into Class A shares, we are carrying the Class B-2 shares at zero, representing cost basis less impairment.</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 Based on the disclosures that have been made by Visa regarding the status of this litigation and other circumstances relating to the exchange offer and potential future, similar exchange offers, we believe the likelihood we will have to make any payments under the Makewhole Agreement is remote.</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right="6760" w:firstLine="3"/>
        <w:spacing w:after="0" w:line="498" w:lineRule="auto"/>
        <w:tabs>
          <w:tab w:leader="none" w:pos="38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Loss (“AOCL”) </w:t>
      </w:r>
      <w:r>
        <w:rPr>
          <w:rFonts w:ascii="Times New Roman" w:cs="Times New Roman" w:eastAsia="Times New Roman" w:hAnsi="Times New Roman"/>
          <w:sz w:val="17"/>
          <w:szCs w:val="17"/>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Unrealized Gains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 the three months ended June 30,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(71,629)</w:t>
            </w:r>
          </w:p>
        </w:tc>
      </w:tr>
      <w:tr>
        <w:trPr>
          <w:trHeight w:val="209"/>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r>
      <w:tr>
        <w:trPr>
          <w:trHeight w:val="239"/>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189"/>
        </w:trPr>
        <w:tc>
          <w:tcPr>
            <w:tcW w:w="4040" w:type="dxa"/>
            <w:vAlign w:val="bottom"/>
            <w:tcBorders>
              <w:top w:val="single" w:sz="8" w:color="CCEEFF"/>
            </w:tcBorders>
            <w:shd w:val="clear" w:color="auto" w:fill="CCEEFF"/>
          </w:tcPr>
          <w:p>
            <w:pPr>
              <w:ind w:left="640"/>
              <w:spacing w:after="0" w:line="189"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36"/>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(49,482)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(70,828)</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
        </w:trPr>
        <w:tc>
          <w:tcPr>
            <w:tcW w:w="4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(80,811)</w:t>
            </w:r>
          </w:p>
        </w:tc>
      </w:tr>
      <w:tr>
        <w:trPr>
          <w:trHeight w:val="203"/>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51"/>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183"/>
        </w:trPr>
        <w:tc>
          <w:tcPr>
            <w:tcW w:w="4040" w:type="dxa"/>
            <w:vAlign w:val="bottom"/>
          </w:tcPr>
          <w:p>
            <w:pPr>
              <w:ind w:left="640"/>
              <w:spacing w:after="0" w:line="183"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9"/>
        </w:trPr>
        <w:tc>
          <w:tcPr>
            <w:tcW w:w="4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(80,510)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six months ended June 30,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(72,142)</w:t>
            </w:r>
          </w:p>
        </w:tc>
      </w:tr>
      <w:tr>
        <w:trPr>
          <w:trHeight w:val="203"/>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51"/>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183"/>
        </w:trPr>
        <w:tc>
          <w:tcPr>
            <w:tcW w:w="4040" w:type="dxa"/>
            <w:vAlign w:val="bottom"/>
          </w:tcPr>
          <w:p>
            <w:pPr>
              <w:ind w:left="480"/>
              <w:spacing w:after="0" w:line="183"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(70,828)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(92,763)</w:t>
            </w:r>
          </w:p>
        </w:tc>
      </w:tr>
      <w:tr>
        <w:trPr>
          <w:trHeight w:val="209"/>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11,990</w:t>
            </w:r>
          </w:p>
        </w:tc>
      </w:tr>
      <w:tr>
        <w:trPr>
          <w:trHeight w:val="239"/>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189"/>
        </w:trPr>
        <w:tc>
          <w:tcPr>
            <w:tcW w:w="4040" w:type="dxa"/>
            <w:vAlign w:val="bottom"/>
            <w:tcBorders>
              <w:top w:val="single" w:sz="8" w:color="CCEEFF"/>
            </w:tcBorders>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12,253</w:t>
            </w: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(57,695)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(80,510)</w:t>
            </w: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ind w:left="5700" w:right="1720" w:hanging="5697"/>
        <w:spacing w:after="0" w:line="983" w:lineRule="auto"/>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AFS.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three months ended June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6100" w:hanging="1219"/>
        <w:spacing w:after="0"/>
        <w:tabs>
          <w:tab w:leader="none" w:pos="61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Net losses on securities available for sale</w:t>
      </w:r>
    </w:p>
    <w:p>
      <w:pPr>
        <w:spacing w:after="0" w:line="49"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4880"/>
        <w:spacing w:after="0"/>
        <w:tabs>
          <w:tab w:leader="none" w:pos="608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tab/>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349  Interest income</w:t>
      </w:r>
    </w:p>
    <w:p>
      <w:pPr>
        <w:spacing w:after="0" w:line="4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73</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(276)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2023</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100" w:hanging="1219"/>
        <w:spacing w:after="0"/>
        <w:tabs>
          <w:tab w:leader="none" w:pos="61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Net losses on securities available for sale</w:t>
      </w:r>
    </w:p>
    <w:p>
      <w:pPr>
        <w:spacing w:after="0" w:line="49"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4880"/>
        <w:spacing w:after="0"/>
        <w:tabs>
          <w:tab w:leader="none" w:pos="608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tab/>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100" w:hanging="1219"/>
        <w:spacing w:after="0"/>
        <w:tabs>
          <w:tab w:leader="none" w:pos="61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55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29" w:lineRule="exact"/>
        <w:rPr>
          <w:sz w:val="20"/>
          <w:szCs w:val="20"/>
          <w:color w:val="auto"/>
        </w:rPr>
      </w:pPr>
    </w:p>
    <w:p>
      <w:pPr>
        <w:ind w:left="6200"/>
        <w:spacing w:after="0"/>
        <w:tabs>
          <w:tab w:leader="none" w:pos="6440" w:val="left"/>
        </w:tabs>
        <w:rPr>
          <w:sz w:val="20"/>
          <w:szCs w:val="20"/>
          <w:color w:val="auto"/>
        </w:rPr>
      </w:pPr>
      <w:r>
        <w:rPr>
          <w:rFonts w:ascii="Times New Roman" w:cs="Times New Roman" w:eastAsia="Times New Roman" w:hAnsi="Times New Roman"/>
          <w:sz w:val="17"/>
          <w:szCs w:val="17"/>
          <w:color w:val="auto"/>
        </w:rPr>
        <w:t>5</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2" w:lineRule="exact"/>
        <w:rPr>
          <w:sz w:val="20"/>
          <w:szCs w:val="20"/>
          <w:color w:val="auto"/>
        </w:rPr>
      </w:pPr>
    </w:p>
    <w:p>
      <w:pPr>
        <w:ind w:left="6100" w:hanging="1219"/>
        <w:spacing w:after="0"/>
        <w:tabs>
          <w:tab w:leader="none" w:pos="61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60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(22)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six months ended June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5940" w:hanging="1059"/>
        <w:spacing w:after="0"/>
        <w:tabs>
          <w:tab w:leader="none" w:pos="5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(269)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615  Interest income</w:t>
      </w:r>
    </w:p>
    <w:p>
      <w:pPr>
        <w:spacing w:after="0" w:line="49" w:lineRule="exact"/>
        <w:rPr>
          <w:rFonts w:ascii="Times New Roman" w:cs="Times New Roman" w:eastAsia="Times New Roman" w:hAnsi="Times New Roman"/>
          <w:sz w:val="17"/>
          <w:szCs w:val="17"/>
          <w:color w:val="auto"/>
        </w:rPr>
      </w:pPr>
    </w:p>
    <w:p>
      <w:pPr>
        <w:ind w:left="6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(699)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2023</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(222)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040" w:hanging="1159"/>
        <w:spacing w:after="0"/>
        <w:tabs>
          <w:tab w:leader="none" w:pos="60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55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2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23</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2" w:lineRule="exact"/>
        <w:rPr>
          <w:sz w:val="20"/>
          <w:szCs w:val="20"/>
          <w:color w:val="auto"/>
        </w:rPr>
      </w:pPr>
    </w:p>
    <w:p>
      <w:pPr>
        <w:ind w:left="6100" w:hanging="1219"/>
        <w:spacing w:after="0"/>
        <w:tabs>
          <w:tab w:leader="none" w:pos="61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(263)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hanging="377"/>
        <w:spacing w:after="0"/>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87.4% and 86.8% of total revenues for the six month periods ending June 30, 2024 and 2023, respectively.</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2024 and December 31, 2023.</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six month periods ending June 30, 2024 and 2023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Disaggregation of our revenue sources by attribute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Service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w w:val="98"/>
              </w:rPr>
              <w:t>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Charges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Deposit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w w:val="99"/>
              </w:rPr>
              <w:t>on Deposit</w:t>
            </w: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Related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Accounts</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w w:val="97"/>
              </w:rPr>
              <w:t>Income</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June 30, 2024</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51"/>
        </w:trPr>
        <w:tc>
          <w:tcPr>
            <w:tcW w:w="4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6"/>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Operations: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39"/>
        </w:trPr>
        <w:tc>
          <w:tcPr>
            <w:tcW w:w="40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64"/>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w:t>
            </w:r>
          </w:p>
        </w:tc>
      </w:tr>
      <w:tr>
        <w:trPr>
          <w:trHeight w:val="270"/>
        </w:trPr>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Service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w w:val="98"/>
              </w:rPr>
              <w:t>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Charges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Deposit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w w:val="99"/>
              </w:rPr>
              <w:t>on Deposit</w:t>
            </w: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Related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Accounts</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w w:val="97"/>
              </w:rPr>
              <w:t>Income</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Three months ending June 30, 2023</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51"/>
        </w:trPr>
        <w:tc>
          <w:tcPr>
            <w:tcW w:w="4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Operations: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51"/>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1,457</w:t>
            </w:r>
          </w:p>
        </w:tc>
      </w:tr>
      <w:tr>
        <w:trPr>
          <w:trHeight w:val="270"/>
        </w:trPr>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2"/>
        </w:trPr>
        <w:tc>
          <w:tcPr>
            <w:tcW w:w="3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ending June 30, 2024</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45"/>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15,471</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w:t>
            </w:r>
          </w:p>
        </w:tc>
      </w:tr>
      <w:tr>
        <w:trPr>
          <w:trHeight w:val="264"/>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65"/>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w:t>
            </w: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28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ending June 30, 2023</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r>
      <w:tr>
        <w:trPr>
          <w:trHeight w:val="251"/>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15,633</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2,572</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June 30, 2024).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9"/>
        </w:trPr>
        <w:tc>
          <w:tcPr>
            <w:tcW w:w="5040" w:type="dxa"/>
            <w:vAlign w:val="bottom"/>
          </w:tcPr>
          <w:p>
            <w:pPr>
              <w:spacing w:after="0"/>
              <w:rPr>
                <w:sz w:val="24"/>
                <w:szCs w:val="24"/>
                <w:color w:val="auto"/>
              </w:rPr>
            </w:pPr>
          </w:p>
        </w:tc>
        <w:tc>
          <w:tcPr>
            <w:tcW w:w="2580" w:type="dxa"/>
            <w:vAlign w:val="bottom"/>
            <w:gridSpan w:val="4"/>
          </w:tcPr>
          <w:p>
            <w:pPr>
              <w:jc w:val="center"/>
              <w:ind w:left="354"/>
              <w:spacing w:after="0"/>
              <w:rPr>
                <w:sz w:val="20"/>
                <w:szCs w:val="20"/>
                <w:color w:val="auto"/>
              </w:rPr>
            </w:pPr>
            <w:r>
              <w:rPr>
                <w:rFonts w:ascii="Times New Roman" w:cs="Times New Roman" w:eastAsia="Times New Roman" w:hAnsi="Times New Roman"/>
                <w:sz w:val="17"/>
                <w:szCs w:val="17"/>
                <w:color w:val="auto"/>
              </w:rPr>
              <w:t>Three Months Ended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3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23"/>
        </w:trPr>
        <w:tc>
          <w:tcPr>
            <w:tcW w:w="5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gridSpan w:val="3"/>
          </w:tcPr>
          <w:p>
            <w:pPr>
              <w:jc w:val="center"/>
              <w:ind w:right="434"/>
              <w:spacing w:after="0"/>
              <w:rPr>
                <w:sz w:val="20"/>
                <w:szCs w:val="20"/>
                <w:color w:val="auto"/>
              </w:rPr>
            </w:pPr>
            <w:r>
              <w:rPr>
                <w:rFonts w:ascii="Times New Roman" w:cs="Times New Roman" w:eastAsia="Times New Roman" w:hAnsi="Times New Roman"/>
                <w:sz w:val="17"/>
                <w:szCs w:val="17"/>
                <w:color w:val="auto"/>
              </w:rPr>
              <w:t>June 30,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June 30,</w:t>
            </w:r>
          </w:p>
        </w:tc>
        <w:tc>
          <w:tcPr>
            <w:tcW w:w="980" w:type="dxa"/>
            <w:vAlign w:val="bottom"/>
          </w:tcPr>
          <w:p>
            <w:pPr>
              <w:spacing w:after="0"/>
              <w:rPr>
                <w:sz w:val="19"/>
                <w:szCs w:val="19"/>
                <w:color w:val="auto"/>
              </w:rPr>
            </w:pPr>
          </w:p>
        </w:tc>
      </w:tr>
      <w:tr>
        <w:trPr>
          <w:trHeight w:val="264"/>
        </w:trPr>
        <w:tc>
          <w:tcPr>
            <w:tcW w:w="5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4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3"/>
          </w:tcPr>
          <w:p>
            <w:pPr>
              <w:jc w:val="center"/>
              <w:ind w:right="434"/>
              <w:spacing w:after="0"/>
              <w:rPr>
                <w:sz w:val="20"/>
                <w:szCs w:val="20"/>
                <w:color w:val="auto"/>
              </w:rPr>
            </w:pPr>
            <w:r>
              <w:rPr>
                <w:rFonts w:ascii="Times New Roman" w:cs="Times New Roman" w:eastAsia="Times New Roman" w:hAnsi="Times New Roman"/>
                <w:sz w:val="17"/>
                <w:szCs w:val="17"/>
                <w:color w:val="auto"/>
              </w:rPr>
              <w:t>(In thousands)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20"/>
                <w:szCs w:val="20"/>
                <w:color w:val="auto"/>
              </w:rPr>
            </w:pPr>
          </w:p>
        </w:tc>
      </w:tr>
      <w:tr>
        <w:trPr>
          <w:trHeight w:val="25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44"/>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w:t>
            </w:r>
          </w:p>
        </w:tc>
      </w:tr>
      <w:tr>
        <w:trPr>
          <w:trHeight w:val="20"/>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3"/>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June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219"/>
        </w:trPr>
        <w:tc>
          <w:tcPr>
            <w:tcW w:w="7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4,911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6,906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5,114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June 30, 2024 based on required contractual payments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ending December 31, 2024</w:t>
            </w:r>
          </w:p>
        </w:tc>
        <w:tc>
          <w:tcPr>
            <w:tcW w:w="5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3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2029 and thereafter</w:t>
            </w:r>
          </w:p>
        </w:tc>
        <w:tc>
          <w:tcPr>
            <w:tcW w:w="5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0" w:type="dxa"/>
            <w:vAlign w:val="bottom"/>
          </w:tcPr>
          <w:p>
            <w:pPr>
              <w:spacing w:after="0"/>
              <w:rPr>
                <w:sz w:val="1"/>
                <w:szCs w:val="1"/>
                <w:color w:val="auto"/>
              </w:rPr>
            </w:pPr>
          </w:p>
        </w:tc>
      </w:tr>
      <w:tr>
        <w:trPr>
          <w:trHeight w:val="244"/>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8,040</w:t>
            </w: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65"/>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 Independent Bank (the “Bank”), and their subsidiaries. This section should be read in conjunction with the Condensed Consolidated Financial Statements. We also encourage you to read our 2023 Annual Report on Form 10-K filed with the U.S. Securities and Exchange Commission (“SEC”). That report includes a list of risk factors that you should consider in connection with any decision to buy or sell our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Pressures from various global and national macroeconomic conditions, including heightened inflation, uncertainty regarding future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rates, foreign currency exchange rate fluctuations, recent adverse weather conditions, the continuation of the Russia-Ukraine and Israel-Hamas wars, and potential governmental responses to these events, continue to create significant economic uncertainty.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second quarter of 2024 as compared to earlier periods.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$18.5 million and $14.8 million during the three months ended June 30, 2024 and 2023, respectively. The increase in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quarter results as compared to 2023 is due to an increase in net interest income and a decrease in the provision for credit losses that were partially offset by increases in non-interest expense and income tax expense and a decrease in non-interest income.</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recorded net income of $34.5 million and $27.8 million during the six months ended June 30, 2024 and 2023, respectively. The increase in 2024 year-to-date results as compared to 2023 is primarily due to increases in net-interest income and non-interest income and a decrease in the provision for credit losses that were partially offset by increases in non-interest expense and income tax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4780" w:type="dxa"/>
            <w:vAlign w:val="bottom"/>
          </w:tcPr>
          <w:p>
            <w:pPr>
              <w:spacing w:after="0"/>
              <w:rPr>
                <w:sz w:val="21"/>
                <w:szCs w:val="21"/>
                <w:color w:val="auto"/>
              </w:rPr>
            </w:pPr>
          </w:p>
        </w:tc>
        <w:tc>
          <w:tcPr>
            <w:tcW w:w="3280" w:type="dxa"/>
            <w:vAlign w:val="bottom"/>
            <w:gridSpan w:val="6"/>
          </w:tcPr>
          <w:p>
            <w:pPr>
              <w:ind w:left="58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360" w:type="dxa"/>
            <w:vAlign w:val="bottom"/>
          </w:tcPr>
          <w:p>
            <w:pPr>
              <w:spacing w:after="0"/>
              <w:rPr>
                <w:sz w:val="21"/>
                <w:szCs w:val="21"/>
                <w:color w:val="auto"/>
              </w:rPr>
            </w:pPr>
          </w:p>
        </w:tc>
        <w:tc>
          <w:tcPr>
            <w:tcW w:w="282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37"/>
        </w:trPr>
        <w:tc>
          <w:tcPr>
            <w:tcW w:w="4780" w:type="dxa"/>
            <w:vAlign w:val="bottom"/>
          </w:tcPr>
          <w:p>
            <w:pPr>
              <w:spacing w:after="0"/>
              <w:rPr>
                <w:sz w:val="20"/>
                <w:szCs w:val="20"/>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9"/>
              </w:rPr>
              <w:t>2024</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r>
      <w:tr>
        <w:trPr>
          <w:trHeight w:val="239"/>
        </w:trPr>
        <w:tc>
          <w:tcPr>
            <w:tcW w:w="4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17.98 %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15.54 %</w:t>
            </w:r>
          </w:p>
        </w:tc>
      </w:tr>
      <w:tr>
        <w:trPr>
          <w:trHeight w:val="264"/>
        </w:trPr>
        <w:tc>
          <w:tcPr>
            <w:tcW w:w="47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w:t>
            </w:r>
          </w:p>
        </w:tc>
      </w:tr>
      <w:tr>
        <w:trPr>
          <w:trHeight w:val="232"/>
        </w:trPr>
        <w:tc>
          <w:tcPr>
            <w:tcW w:w="4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960" w:type="dxa"/>
            <w:vAlign w:val="bottom"/>
          </w:tcPr>
          <w:p>
            <w:pPr>
              <w:spacing w:after="0"/>
              <w:rPr>
                <w:sz w:val="20"/>
                <w:szCs w:val="20"/>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$41.3 million during the second quarter of 2024, an increase of $3.0 million, or 7.8% from the year-ago period. This increase primarily reflects a $130.0 million increase in average interest-earning assets and a 16 basis point increase in our tax equivalent net interest income as a percent of average interest-earning assets (the “net interest margin”).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first six months of 2024, net interest income totaled $81.5 million, an increase of $4.8 million, or 6.2% from 2023. This increase primarily reflects a $171.8 million increase in average interest-earning assets and a seven basis point increase in our net interest margin.</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in both the three and six month periods in 2024 as compared to the same periods in 2023 primarily reflects growth in commercial and mortgage loans funded from an increase in deposits.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increases in our net interest margin during the three and six month periods in 2024 is attributed to increases in interest income as a percent of average interest-earning assets ("Asset Yield") that were only partially offset by increases in interest expense as a percent of average interest-earning assets ("Cost of Funds"). These increases are primarily attributed to the increases in the federal funds rate since January of 2023. Our Asset Yield has been positively impacted by new loans being originated at higher rates than existing loans being paid off as well as a shift in earning asset mix from generally lower rate investment securities to higher rate loans while our Cost of Funds has been negatively impacted by changes in funding mix (such as shifting from non-interest bearing deposits to interest-bearing deposits and an increase in time deposits) as well as higher deposit pricing sensitivity to the increases in interest rates discussed above. This change in funding mix and pricing is expected to continue to have an impact on our Cost of Funds during 2024. See Asset/liability management.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second quarter and first six months of 2024, non-accrual loans averaged $4.0 million and $3.9 million, respectively. In the second quarter and first six months of 2023, non-accrual loans averaged $3.9 million and $3.8 million, respectively. In addition, in the second quarter and first six months of 2024 we had net recoveries of $0.1 million and $0.4 million, respectively of unpaid interest on loans placed on or taken off non-accrual or on loans previously charged-off compared to net recoveries of $0.3 million and $0.4 million, respectively, during the same periods in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3,840,343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5.93 %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3,561,333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47,617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5.36 %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633,400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4,713</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2.98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5,919</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311,035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3,551</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16,440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7.46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5.22</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4,893,367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66,513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4,763,295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58,180</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237,298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5,181,317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5,044,746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2,674,731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2.13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2,519,009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10,515</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807,033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8,686</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761,705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6,946</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130,208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6.54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134,907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6.35</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3,611,972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24,992</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3,415,621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19,598</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1,050,153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1,167,129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414,549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5,181,317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5,044,746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41,521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38,582</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3.24 %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326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tcPr>
          <w:p>
            <w:pPr>
              <w:jc w:val="center"/>
              <w:ind w:left="274"/>
              <w:spacing w:after="0"/>
              <w:rPr>
                <w:sz w:val="20"/>
                <w:szCs w:val="20"/>
                <w:color w:val="auto"/>
              </w:rPr>
            </w:pPr>
            <w:r>
              <w:rPr>
                <w:rFonts w:ascii="Times New Roman" w:cs="Times New Roman" w:eastAsia="Times New Roman" w:hAnsi="Times New Roman"/>
                <w:sz w:val="17"/>
                <w:szCs w:val="17"/>
                <w:color w:val="auto"/>
              </w:rPr>
              <w:t>Six Months Ended June 30,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Rate</w:t>
            </w: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Balance</w:t>
            </w: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Interest</w:t>
            </w: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Rate</w:t>
            </w: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Balance</w:t>
            </w: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Interest</w:t>
            </w: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6"/>
          </w:tcPr>
          <w:p>
            <w:pPr>
              <w:jc w:val="center"/>
              <w:ind w:left="274"/>
              <w:spacing w:after="0"/>
              <w:rPr>
                <w:sz w:val="20"/>
                <w:szCs w:val="20"/>
                <w:color w:val="auto"/>
              </w:rPr>
            </w:pPr>
            <w:r>
              <w:rPr>
                <w:rFonts w:ascii="Times New Roman" w:cs="Times New Roman" w:eastAsia="Times New Roman" w:hAnsi="Times New Roman"/>
                <w:sz w:val="17"/>
                <w:szCs w:val="17"/>
                <w:color w:val="auto"/>
              </w:rPr>
              <w:t>(Dollars in thousands)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$3,821,164</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$111,652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5.87 %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$3,524,639</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$91,851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9"/>
              </w:rPr>
              <w:t>5.24 %</w:t>
            </w: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8,699</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6,608</w:t>
            </w: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656,766</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805,733</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securities (1)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315,021</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7,099</w:t>
            </w:r>
          </w:p>
        </w:tc>
        <w:tc>
          <w:tcPr>
            <w:tcW w:w="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323,045</w:t>
            </w: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6,854</w:t>
            </w:r>
          </w:p>
        </w:tc>
        <w:tc>
          <w:tcPr>
            <w:tcW w:w="8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4.24</w:t>
            </w: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83,738</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52,531</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16,630</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8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17,668</w:t>
            </w: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189"/>
        </w:trPr>
        <w:tc>
          <w:tcPr>
            <w:tcW w:w="1520" w:type="dxa"/>
            <w:vAlign w:val="bottom"/>
            <w:tcBorders>
              <w:top w:val="single" w:sz="8" w:color="CCEEFF"/>
            </w:tcBorders>
            <w:gridSpan w:val="2"/>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Interest Earning</w:t>
            </w: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4,902,018</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131,819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4,730,224</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112,404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03"/>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banks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53,101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58,182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236,266</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228,342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$5,191,385</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$5,016,748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bearing checking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$2,654,125</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27,557</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$2,526,982</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19,372</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835,852</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8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709,983</w:t>
            </w: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11,849</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129,731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6.56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123,585</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6.32</w:t>
            </w:r>
          </w:p>
        </w:tc>
        <w:tc>
          <w:tcPr>
            <w:tcW w:w="0" w:type="dxa"/>
            <w:vAlign w:val="bottom"/>
          </w:tcPr>
          <w:p>
            <w:pPr>
              <w:spacing w:after="0"/>
              <w:rPr>
                <w:sz w:val="1"/>
                <w:szCs w:val="1"/>
                <w:color w:val="auto"/>
              </w:rPr>
            </w:pPr>
          </w:p>
        </w:tc>
      </w:tr>
      <w:tr>
        <w:trPr>
          <w:trHeight w:val="183"/>
        </w:trPr>
        <w:tc>
          <w:tcPr>
            <w:tcW w:w="1520" w:type="dxa"/>
            <w:vAlign w:val="bottom"/>
            <w:gridSpan w:val="2"/>
          </w:tcPr>
          <w:p>
            <w:pPr>
              <w:ind w:left="320"/>
              <w:spacing w:after="0" w:line="183" w:lineRule="exact"/>
              <w:rPr>
                <w:sz w:val="20"/>
                <w:szCs w:val="20"/>
                <w:color w:val="auto"/>
              </w:rPr>
            </w:pPr>
            <w:r>
              <w:rPr>
                <w:rFonts w:ascii="Times New Roman" w:cs="Times New Roman" w:eastAsia="Times New Roman" w:hAnsi="Times New Roman"/>
                <w:sz w:val="17"/>
                <w:szCs w:val="17"/>
                <w:color w:val="auto"/>
              </w:rPr>
              <w:t>Interest Bearing</w:t>
            </w: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3,619,708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49,921</w:t>
            </w:r>
          </w:p>
        </w:tc>
        <w:tc>
          <w:tcPr>
            <w:tcW w:w="8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3,360,550</w:t>
            </w: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35,093</w:t>
            </w:r>
          </w:p>
        </w:tc>
        <w:tc>
          <w:tcPr>
            <w:tcW w:w="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09"/>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deposits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1,056,803</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1,195,593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105,987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100,152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408,887</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360,453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liabilities and</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shareholders’</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$5,191,385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$5,016,748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w:t>
            </w: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$ 81,898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 a Percent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Interest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3.35 %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9"/>
              </w:rPr>
              <w:t>3.28 %</w:t>
            </w:r>
          </w:p>
        </w:tc>
        <w:tc>
          <w:tcPr>
            <w:tcW w:w="0" w:type="dxa"/>
            <w:vAlign w:val="bottom"/>
          </w:tcPr>
          <w:p>
            <w:pPr>
              <w:spacing w:after="0"/>
              <w:rPr>
                <w:sz w:val="1"/>
                <w:szCs w:val="1"/>
                <w:color w:val="auto"/>
              </w:rPr>
            </w:pPr>
          </w:p>
        </w:tc>
      </w:tr>
      <w:tr>
        <w:trPr>
          <w:trHeight w:val="24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 Assets</w:t>
            </w: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ectPr>
          <w:pgSz w:w="11900" w:h="16838" w:orient="portrait"/>
          <w:cols w:equalWidth="0" w:num="1">
            <w:col w:w="10139"/>
          </w:cols>
          <w:pgMar w:left="320" w:top="112"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360" w:type="dxa"/>
            <w:vAlign w:val="bottom"/>
          </w:tcPr>
          <w:p>
            <w:pPr>
              <w:spacing w:after="0"/>
              <w:rPr>
                <w:sz w:val="24"/>
                <w:szCs w:val="24"/>
                <w:color w:val="auto"/>
              </w:rPr>
            </w:pPr>
          </w:p>
        </w:tc>
        <w:tc>
          <w:tcPr>
            <w:tcW w:w="284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50"/>
        </w:trPr>
        <w:tc>
          <w:tcPr>
            <w:tcW w:w="3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32"/>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(Dollars 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74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5"/>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41,346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38,350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81,543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76,791</w:t>
            </w:r>
          </w:p>
        </w:tc>
      </w:tr>
      <w:tr>
        <w:trPr>
          <w:trHeight w:val="251"/>
        </w:trPr>
        <w:tc>
          <w:tcPr>
            <w:tcW w:w="4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520</w:t>
            </w:r>
          </w:p>
        </w:tc>
      </w:tr>
      <w:tr>
        <w:trPr>
          <w:trHeight w:val="27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41,521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38,582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81,898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77,311</w:t>
            </w: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3.26 %</w:t>
            </w: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(FTE) (1)</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$0.02 million and an expense of $3.32 million for the three months ended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and 2023, respectively. During the six-month periods ended June 30, 2024 and 2023, the provision for credit losses was an expense of $0.76 million and a expense of $5.48 million,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2024. The decrease in the provision for credit losses expense from the prior year period is primarily due to a decrease in net newly allocated losses in the commercial loan portfolio primarily driven by a large specific reserve in the prior year as well as a decrease in loan growth and a decrease in the adjustment to allocations based on subjective factors.</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year-to-date provision for credit losses on loans in 2024 compared to 2023, decreased $0.60 million. The provision for credit losses on securities HTM in 2024 and 2023 was an expense (credit) of $(1.13) million and $2.99 million, respectively. The change in provision for credit losses on securities HTM reflects a charge-off in the first quarter of 2023 and a subsequent partial recovery during the first quarter of 2024 of one corporate security (Signature Bank). See “Securities” below and note #3 to the Condensed Consolidated Financial Statements.</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$15.2 million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quarter of 2024 compared to $15.4 million in the second quarter of 2023. For the first six months of 2024, non-interest income totaled $27.7 million compared to $26.0 million for the first six months of 2023.</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60"/>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3"/>
        </w:trPr>
        <w:tc>
          <w:tcPr>
            <w:tcW w:w="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140" w:type="dxa"/>
            <w:vAlign w:val="bottom"/>
            <w:gridSpan w:val="6"/>
          </w:tcPr>
          <w:p>
            <w:pPr>
              <w:ind w:left="50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520" w:type="dxa"/>
            <w:vAlign w:val="bottom"/>
          </w:tcPr>
          <w:p>
            <w:pPr>
              <w:spacing w:after="0"/>
              <w:rPr>
                <w:sz w:val="24"/>
                <w:szCs w:val="24"/>
                <w:color w:val="auto"/>
              </w:rPr>
            </w:pPr>
          </w:p>
        </w:tc>
        <w:tc>
          <w:tcPr>
            <w:tcW w:w="2540" w:type="dxa"/>
            <w:vAlign w:val="bottom"/>
            <w:gridSpan w:val="4"/>
          </w:tcPr>
          <w:p>
            <w:pPr>
              <w:jc w:val="right"/>
              <w:ind w:right="49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38"/>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w:t>
            </w:r>
          </w:p>
        </w:tc>
      </w:tr>
      <w:tr>
        <w:trPr>
          <w:trHeight w:val="23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assets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3,376</w:t>
            </w:r>
          </w:p>
        </w:tc>
      </w:tr>
      <w:tr>
        <w:trPr>
          <w:trHeight w:val="251"/>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w:t>
            </w:r>
          </w:p>
        </w:tc>
      </w:tr>
      <w:tr>
        <w:trPr>
          <w:trHeight w:val="23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239"/>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4,083</w:t>
            </w:r>
          </w:p>
        </w:tc>
      </w:tr>
      <w:tr>
        <w:trPr>
          <w:trHeight w:val="263"/>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15,172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25,968</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charges on deposit accounts decreased by $0.2 million on both a comparative quarterly basis and on a year-to-date basis in 2024 as compared to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decreases were principally due to decreases in non-sufficient funds occurrences (and related fees).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7"/>
        </w:trPr>
        <w:tc>
          <w:tcPr>
            <w:tcW w:w="4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3"/>
          </w:tcPr>
          <w:p>
            <w:pPr>
              <w:jc w:val="right"/>
              <w:ind w:right="51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420" w:type="dxa"/>
            <w:vAlign w:val="bottom"/>
          </w:tcPr>
          <w:p>
            <w:pPr>
              <w:spacing w:after="0"/>
              <w:rPr>
                <w:sz w:val="24"/>
                <w:szCs w:val="24"/>
                <w:color w:val="auto"/>
              </w:rPr>
            </w:pPr>
          </w:p>
        </w:tc>
        <w:tc>
          <w:tcPr>
            <w:tcW w:w="2840" w:type="dxa"/>
            <w:vAlign w:val="bottom"/>
            <w:gridSpan w:val="3"/>
          </w:tcPr>
          <w:p>
            <w:pPr>
              <w:jc w:val="right"/>
              <w:ind w:right="57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64"/>
        </w:trPr>
        <w:tc>
          <w:tcPr>
            <w:tcW w:w="4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00" w:type="dxa"/>
            <w:vAlign w:val="bottom"/>
            <w:gridSpan w:val="3"/>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142,602</w:t>
            </w:r>
          </w:p>
        </w:tc>
        <w:tc>
          <w:tcPr>
            <w:tcW w:w="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160,515</w:t>
            </w:r>
          </w:p>
        </w:tc>
        <w:tc>
          <w:tcPr>
            <w:tcW w:w="4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236,596</w:t>
            </w:r>
          </w:p>
        </w:tc>
        <w:tc>
          <w:tcPr>
            <w:tcW w:w="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273,536</w:t>
            </w: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340" w:type="dxa"/>
            <w:vAlign w:val="bottom"/>
          </w:tcPr>
          <w:p>
            <w:pPr>
              <w:spacing w:after="0"/>
              <w:rPr>
                <w:sz w:val="20"/>
                <w:szCs w:val="20"/>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91,540</w:t>
            </w:r>
          </w:p>
        </w:tc>
        <w:tc>
          <w:tcPr>
            <w:tcW w:w="400" w:type="dxa"/>
            <w:vAlign w:val="bottom"/>
          </w:tcPr>
          <w:p>
            <w:pPr>
              <w:spacing w:after="0"/>
              <w:rPr>
                <w:sz w:val="20"/>
                <w:szCs w:val="20"/>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99,025</w:t>
            </w:r>
          </w:p>
        </w:tc>
        <w:tc>
          <w:tcPr>
            <w:tcW w:w="420" w:type="dxa"/>
            <w:vAlign w:val="bottom"/>
          </w:tcPr>
          <w:p>
            <w:pPr>
              <w:spacing w:after="0"/>
              <w:rPr>
                <w:sz w:val="20"/>
                <w:szCs w:val="20"/>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172,358</w:t>
            </w:r>
          </w:p>
        </w:tc>
        <w:tc>
          <w:tcPr>
            <w:tcW w:w="40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205,871</w:t>
            </w:r>
          </w:p>
        </w:tc>
      </w:tr>
      <w:tr>
        <w:trPr>
          <w:trHeight w:val="25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1,333</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2,120</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2,697</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3,376</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2"/>
        </w:trPr>
        <w:tc>
          <w:tcPr>
            <w:tcW w:w="4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Margin")</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1.46 %</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2.14 %</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1.64 %</w:t>
            </w:r>
          </w:p>
        </w:tc>
      </w:tr>
      <w:tr>
        <w:trPr>
          <w:trHeight w:val="26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0.14</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1.03</w:t>
            </w:r>
          </w:p>
        </w:tc>
        <w:tc>
          <w:tcPr>
            <w:tcW w:w="4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0.28</w:t>
            </w: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1.12</w:t>
            </w:r>
          </w:p>
        </w:tc>
      </w:tr>
    </w:tbl>
    <w:p>
      <w:pPr>
        <w:spacing w:after="0" w:line="241" w:lineRule="exact"/>
        <w:rPr>
          <w:sz w:val="20"/>
          <w:szCs w:val="20"/>
          <w:color w:val="auto"/>
        </w:rPr>
      </w:pPr>
    </w:p>
    <w:p>
      <w:pPr>
        <w:jc w:val="both"/>
        <w:ind w:firstLine="3"/>
        <w:spacing w:after="0" w:line="270" w:lineRule="auto"/>
        <w:tabs>
          <w:tab w:leader="none" w:pos="24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 loan sales in the second quarters of 2024 and 2023 include $1.4 million and $10.2 million, respectively, of portfolio loan transactions. Mortgage loan sales during the first six months of 2024 and 2023 include $8.1 million and $51.5 million, respectively, of portfolio loan transactions. These transactions were performed for interest rate risk purposes.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Mortgage loans originated decreased in 2024 as compared to 2023 due primarily to higher mortgage loan interest rates in 2024 reducing this activity. Mortgage loans sold decreased in 2024 as compared to 2023 due to lower portfolio loan sales.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gains on mortgage loans totaled $1.3 million and $2.1 million during the second quarters of 2024 and 2023, respectively. For the first six months of 2024 and 2023, net gains on mortgage loans totaled $2.7 million and $3.4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 The decrease from the prior year periods was due to decreases in the loan sale margin and the volume of mortgage loans sold.</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Gain on equity securities at fair value totaled $2.7 million during the second quarter of 2024. This gain is the consequence of the exchange of our shares of Visa Class B-1 common stock on May 6, 2024 into a combination of Visa Class C common stock and Visa Class B-2 common stock. With the completion of this exchange, we were able to record the fair value of the Visa Class C common stock through income (as it is convertible into publicly traded Visa Class A common stock) while the Visa Class B-2 common stock continues to be carried at zero. See note #13 to the Condensed Consolidated Financial Statements.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a net loss of $0.3 million and a net loss $0.2 million on securities AFS for the first six months of 2024 and 2023, respectively. We recorded no credit related charges in either 2024 or 2023 on securities AFS. See “Securities” below and note #3 to the Condensed Consolidated Financial Statements.</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Mortgage loan servicing, net, generated income of $2.1 million and $3.7 million in the second quarters of 2024 and 2023, respectively. For the first six months of 2024 and 2023, mortgage loan servicing, net, generated income of $4.8 million and $4.4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5"/>
        </w:trPr>
        <w:tc>
          <w:tcPr>
            <w:tcW w:w="488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Six Months Ended June 30,</w:t>
            </w:r>
          </w:p>
        </w:tc>
        <w:tc>
          <w:tcPr>
            <w:tcW w:w="540" w:type="dxa"/>
            <w:vAlign w:val="bottom"/>
          </w:tcPr>
          <w:p>
            <w:pPr>
              <w:spacing w:after="0"/>
              <w:rPr>
                <w:sz w:val="24"/>
                <w:szCs w:val="24"/>
                <w:color w:val="auto"/>
              </w:rPr>
            </w:pPr>
          </w:p>
        </w:tc>
      </w:tr>
      <w:tr>
        <w:trPr>
          <w:trHeight w:val="263"/>
        </w:trPr>
        <w:tc>
          <w:tcPr>
            <w:tcW w:w="48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Borders>
              <w:bottom w:val="single" w:sz="8" w:color="auto"/>
            </w:tcBorders>
          </w:tcPr>
          <w:p>
            <w:pPr>
              <w:spacing w:after="0"/>
              <w:rPr>
                <w:sz w:val="22"/>
                <w:szCs w:val="22"/>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(In thousands)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51"/>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2,193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4,433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4,415</w:t>
            </w:r>
          </w:p>
        </w:tc>
      </w:tr>
      <w:tr>
        <w:trPr>
          <w:trHeight w:val="239"/>
        </w:trPr>
        <w:tc>
          <w:tcPr>
            <w:tcW w:w="4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80" w:type="dxa"/>
            <w:vAlign w:val="bottom"/>
          </w:tcPr>
          <w:p>
            <w:pPr>
              <w:spacing w:after="0"/>
              <w:rPr>
                <w:sz w:val="20"/>
                <w:szCs w:val="20"/>
                <w:color w:val="auto"/>
              </w:rPr>
            </w:pP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2,443</w:t>
            </w:r>
          </w:p>
        </w:tc>
        <w:tc>
          <w:tcPr>
            <w:tcW w:w="100" w:type="dxa"/>
            <w:vAlign w:val="bottom"/>
          </w:tcPr>
          <w:p>
            <w:pPr>
              <w:spacing w:after="0"/>
              <w:rPr>
                <w:sz w:val="20"/>
                <w:szCs w:val="20"/>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2,176</w:t>
            </w:r>
          </w:p>
        </w:tc>
        <w:tc>
          <w:tcPr>
            <w:tcW w:w="100" w:type="dxa"/>
            <w:vAlign w:val="bottom"/>
          </w:tcPr>
          <w:p>
            <w:pPr>
              <w:spacing w:after="0"/>
              <w:rPr>
                <w:sz w:val="20"/>
                <w:szCs w:val="20"/>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1,808</w:t>
            </w:r>
          </w:p>
        </w:tc>
      </w:tr>
      <w:tr>
        <w:trPr>
          <w:trHeight w:val="245"/>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(1,793)</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(1,823)</w:t>
            </w:r>
          </w:p>
        </w:tc>
      </w:tr>
      <w:tr>
        <w:trPr>
          <w:trHeight w:val="244"/>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3,674</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4,816</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4,400</w:t>
            </w: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8"/>
        </w:trPr>
        <w:tc>
          <w:tcPr>
            <w:tcW w:w="4880" w:type="dxa"/>
            <w:vAlign w:val="bottom"/>
          </w:tcPr>
          <w:p>
            <w:pPr>
              <w:spacing w:after="0"/>
              <w:rPr>
                <w:sz w:val="24"/>
                <w:szCs w:val="24"/>
                <w:color w:val="auto"/>
              </w:rPr>
            </w:pPr>
          </w:p>
        </w:tc>
        <w:tc>
          <w:tcPr>
            <w:tcW w:w="3160" w:type="dxa"/>
            <w:vAlign w:val="bottom"/>
            <w:gridSpan w:val="6"/>
          </w:tcPr>
          <w:p>
            <w:pPr>
              <w:ind w:left="5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560" w:type="dxa"/>
            <w:vAlign w:val="bottom"/>
          </w:tcPr>
          <w:p>
            <w:pPr>
              <w:spacing w:after="0"/>
              <w:rPr>
                <w:sz w:val="24"/>
                <w:szCs w:val="24"/>
                <w:color w:val="auto"/>
              </w:rPr>
            </w:pPr>
          </w:p>
        </w:tc>
        <w:tc>
          <w:tcPr>
            <w:tcW w:w="2640" w:type="dxa"/>
            <w:vAlign w:val="bottom"/>
            <w:gridSpan w:val="4"/>
          </w:tcPr>
          <w:p>
            <w:pPr>
              <w:jc w:val="right"/>
              <w:ind w:right="59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64"/>
        </w:trPr>
        <w:tc>
          <w:tcPr>
            <w:tcW w:w="48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4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43,577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42,489</w:t>
            </w:r>
          </w:p>
        </w:tc>
      </w:tr>
      <w:tr>
        <w:trPr>
          <w:trHeight w:val="239"/>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51"/>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44,406</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44,427</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44,406</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44,427</w:t>
            </w:r>
          </w:p>
        </w:tc>
      </w:tr>
      <w:tr>
        <w:trPr>
          <w:trHeight w:val="25"/>
        </w:trPr>
        <w:tc>
          <w:tcPr>
            <w:tcW w:w="48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June 30, 2024 we were servicing approximately $3.55 billion in mortgage loans for others on which servicing rights have been capitalized. This servicing portfolio had a weighted average coupon rate of 4.01% and a weighted average service fee of approximately 25.6 basis points. Capitalized mortgage loan servicing rights at June 30, 2024 totaled $44.4 million, representing approximately 125.3 basis points on the related amount of mortgage loans serviced for others.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in the table above decreased by $0.6 million and $0.7 million in the second quarter and first six months of 2024, respectively, compared to the same prior year periods. These decreases were primarily due to lower commercial swap fee income and the prior year periods including a one time gain on a purchase credit impaired loan.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Non-interest expense increased by $1.1 million to $33.3 million and increased by $2.3 million to $65.5 million during the three- and six-month periods ended June 30, 2024, respectively, compared to the same periods in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4"/>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000" w:type="dxa"/>
            <w:vAlign w:val="bottom"/>
          </w:tcPr>
          <w:p>
            <w:pPr>
              <w:spacing w:after="0"/>
              <w:rPr>
                <w:sz w:val="24"/>
                <w:szCs w:val="24"/>
                <w:color w:val="auto"/>
              </w:rPr>
            </w:pPr>
          </w:p>
        </w:tc>
        <w:tc>
          <w:tcPr>
            <w:tcW w:w="3160" w:type="dxa"/>
            <w:vAlign w:val="bottom"/>
            <w:gridSpan w:val="6"/>
          </w:tcPr>
          <w:p>
            <w:pPr>
              <w:ind w:left="50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520" w:type="dxa"/>
            <w:vAlign w:val="bottom"/>
          </w:tcPr>
          <w:p>
            <w:pPr>
              <w:spacing w:after="0"/>
              <w:rPr>
                <w:sz w:val="24"/>
                <w:szCs w:val="24"/>
                <w:color w:val="auto"/>
              </w:rPr>
            </w:pPr>
          </w:p>
        </w:tc>
        <w:tc>
          <w:tcPr>
            <w:tcW w:w="2560" w:type="dxa"/>
            <w:vAlign w:val="bottom"/>
            <w:gridSpan w:val="4"/>
          </w:tcPr>
          <w:p>
            <w:pPr>
              <w:jc w:val="right"/>
              <w:ind w:right="49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64"/>
        </w:trPr>
        <w:tc>
          <w:tcPr>
            <w:tcW w:w="50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5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26,792</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5,465</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3,859</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w:t>
            </w:r>
          </w:p>
        </w:tc>
      </w:tr>
      <w:tr>
        <w:trPr>
          <w:trHeight w:val="232"/>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39,941</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5,882</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Supplies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Correspondent bank service fees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loss reimbursement on sold loans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losses on other real estate and repossessed assets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6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related to unfunded lending commitments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3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3,101</w:t>
            </w:r>
          </w:p>
        </w:tc>
      </w:tr>
      <w:tr>
        <w:trPr>
          <w:trHeight w:val="263"/>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32,248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Compensation and employee benefits expenses, in total, increased $0.6 million on a quarterly comparative basis and increased $2.1 million for the first six months of 2024 compared to the same periods in 2023.</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Compensation expense decreased by $0.1 million and $0.1 million in the second quarter and first six months of 2024, respectively, compared to the same periods in 2023. These comparative decreases in 2024 were primarily due to a decrease in mortgage lending and other retail personnel that was only partially offset by salary increases that were predominantly effective on January 1, 2024.</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Performance-based compensation increased by $0.7 million and $1.9 million in the second quarter and first six months of 2024, respectively, compared to the same periods in 2023. The increases were primarily due to higher expected incentive compensation payout for salaried and hourly employees.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Data processing expense increased by $0.4 million and $0.6 million in the second quarter and first six months of 2024, respectively, compared to the same prior year periods due in part to core data processor annual asset growth and CPI related cost increases as well as new solutions implemented during this time frame.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Advertising increased by $0.4 million in both the second quarter and first six months of 2024, respectively, compared to the same prior year periods due primarily to modifications in strategic marketing spend as well as costs related to certain website redesign initiatives.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Communications decreased by $0.1 million and $0.2 million in the second quarter and first six months of 2024, respectively, compared to the same periods in 2023 due primarily to lower telephony and networking related costs.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(gains) losses on other real estate and repossessed assets primarily represent the net gain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Costs (recoveries) related to unfunded lending commitments decreased by $0.2 million and $0.4 million in the second quarter and first six months of 2024, respectively compared to the same prior year periods. The decrease in the first six months of 2023 is due to decreases in both the balance of lending commitments and the loss rates applied to those lending commitments.</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$4.6 million and $8.5 million in the second quarter and the first six months of 2024, respectively.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compares to an income tax expense of $3.4 million and $6.3 million in the second quarter and the first six months of 2023, respectively. The changes in expense for the first six months of 2024 compared to the same period in 2023 is primarily due to changes in pretax income.</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2024 and 2023 and at December 31, 2023, that the realization of substantially all of our deferred tax assets continues to be more likely than not.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increased by $13.8 million during the first six months of 2024. Loans, excluding loans held for sale, were $3.85 billion at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compared to $3.79 billion at December 31, 2023. Commercial loans and mortgage loans each increased while installment loans decreased during the first six months of 2024. (See “Portfolio Loans and asset quality.”)</w:t>
      </w:r>
    </w:p>
    <w:p>
      <w:pPr>
        <w:spacing w:after="0" w:line="1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Deposits totaled $4.61 billion at June 30, 2024, a decrease of $8.6 million from December 31, 2023. The decrease in deposits from December 31, 2023, is due to scheduled maturities of brokered time deposits and a decrease in non-interest bearing deposits.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reverse.(See “Asset/liability management.”)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would receive full value for these securities.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654,609</w:t>
            </w:r>
          </w:p>
        </w:tc>
        <w:tc>
          <w:tcPr>
            <w:tcW w:w="880" w:type="dxa"/>
            <w:vAlign w:val="bottom"/>
            <w:gridSpan w:val="2"/>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502</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591,974</w:t>
            </w:r>
          </w:p>
        </w:tc>
        <w:tc>
          <w:tcPr>
            <w:tcW w:w="0" w:type="dxa"/>
            <w:vAlign w:val="bottom"/>
          </w:tcPr>
          <w:p>
            <w:pPr>
              <w:spacing w:after="0"/>
              <w:rPr>
                <w:sz w:val="1"/>
                <w:szCs w:val="1"/>
                <w:color w:val="auto"/>
              </w:rPr>
            </w:pPr>
          </w:p>
        </w:tc>
      </w:tr>
      <w:tr>
        <w:trPr>
          <w:trHeight w:val="223"/>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744,050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464</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679,350</w:t>
            </w:r>
          </w:p>
        </w:tc>
        <w:tc>
          <w:tcPr>
            <w:tcW w:w="0" w:type="dxa"/>
            <w:vAlign w:val="bottom"/>
          </w:tcPr>
          <w:p>
            <w:pPr>
              <w:spacing w:after="0"/>
              <w:rPr>
                <w:sz w:val="1"/>
                <w:szCs w:val="1"/>
                <w:color w:val="auto"/>
              </w:rPr>
            </w:pPr>
          </w:p>
        </w:tc>
      </w:tr>
      <w:tr>
        <w:trPr>
          <w:trHeight w:val="461"/>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4"/>
              <w:spacing w:after="0" w:line="186"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6"/>
                <w:szCs w:val="16"/>
                <w:color w:val="auto"/>
              </w:rPr>
            </w:pPr>
          </w:p>
        </w:tc>
        <w:tc>
          <w:tcPr>
            <w:tcW w:w="1100" w:type="dxa"/>
            <w:vAlign w:val="bottom"/>
          </w:tcPr>
          <w:p>
            <w:pPr>
              <w:jc w:val="center"/>
              <w:ind w:right="114"/>
              <w:spacing w:after="0" w:line="186" w:lineRule="exact"/>
              <w:rPr>
                <w:sz w:val="20"/>
                <w:szCs w:val="20"/>
                <w:color w:val="auto"/>
              </w:rPr>
            </w:pPr>
            <w:r>
              <w:rPr>
                <w:rFonts w:ascii="Times New Roman" w:cs="Times New Roman" w:eastAsia="Times New Roman" w:hAnsi="Times New Roman"/>
                <w:sz w:val="17"/>
                <w:szCs w:val="17"/>
                <w:color w:val="auto"/>
                <w:w w:val="99"/>
              </w:rPr>
              <w:t>Unrealized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17,828</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155</w:t>
            </w:r>
          </w:p>
        </w:tc>
        <w:tc>
          <w:tcPr>
            <w:tcW w:w="6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362,203</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56,559</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305,654</w:t>
            </w:r>
          </w:p>
        </w:tc>
        <w:tc>
          <w:tcPr>
            <w:tcW w:w="0" w:type="dxa"/>
            <w:vAlign w:val="bottom"/>
          </w:tcPr>
          <w:p>
            <w:pPr>
              <w:spacing w:after="0"/>
              <w:rPr>
                <w:sz w:val="1"/>
                <w:szCs w:val="1"/>
                <w:color w:val="auto"/>
              </w:rPr>
            </w:pPr>
          </w:p>
        </w:tc>
      </w:tr>
      <w:tr>
        <w:trPr>
          <w:trHeight w:val="223"/>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353,988</w:t>
            </w:r>
          </w:p>
        </w:tc>
        <w:tc>
          <w:tcPr>
            <w:tcW w:w="2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19,503</w:t>
            </w:r>
          </w:p>
        </w:tc>
        <w:tc>
          <w:tcPr>
            <w:tcW w:w="3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157</w:t>
            </w:r>
          </w:p>
        </w:tc>
        <w:tc>
          <w:tcPr>
            <w:tcW w:w="600" w:type="dxa"/>
            <w:vAlign w:val="bottom"/>
          </w:tcPr>
          <w:p>
            <w:pPr>
              <w:spacing w:after="0"/>
              <w:rPr>
                <w:sz w:val="19"/>
                <w:szCs w:val="19"/>
                <w:color w:val="auto"/>
              </w:rPr>
            </w:pPr>
          </w:p>
        </w:tc>
        <w:tc>
          <w:tcPr>
            <w:tcW w:w="8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373,648</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868</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55,910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318,606</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2024. The decrease in unrealized losses during the first six months of 2024 is primarily attributed to pay downs of security balances, par reversion and the narrowing of certain interest rate spreads. See note #3 to the Condensed Consolidated Financial Statements included within this report for further discussion.</w:t>
      </w: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See note #3 to the Condensed Consolidated Financial Statements included within this report for further discussion.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of securities available for sale were as follows (See “Non-interest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of Securities Available for Sale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5"/>
        </w:trPr>
        <w:tc>
          <w:tcPr>
            <w:tcW w:w="4880" w:type="dxa"/>
            <w:vAlign w:val="bottom"/>
          </w:tcPr>
          <w:p>
            <w:pPr>
              <w:spacing w:after="0"/>
              <w:rPr>
                <w:sz w:val="24"/>
                <w:szCs w:val="24"/>
                <w:color w:val="auto"/>
              </w:rPr>
            </w:pPr>
          </w:p>
        </w:tc>
        <w:tc>
          <w:tcPr>
            <w:tcW w:w="2700" w:type="dxa"/>
            <w:vAlign w:val="bottom"/>
            <w:gridSpan w:val="4"/>
          </w:tcPr>
          <w:p>
            <w:pPr>
              <w:jc w:val="center"/>
              <w:ind w:left="29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45"/>
        </w:trPr>
        <w:tc>
          <w:tcPr>
            <w:tcW w:w="488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gridSpan w:val="3"/>
          </w:tcPr>
          <w:p>
            <w:pPr>
              <w:jc w:val="center"/>
              <w:ind w:right="534"/>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19"/>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8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(losses)</w:t>
            </w: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Securities at Fair Value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With the completion of the exchange, we recorded a gain related to the Class C shares of $2.677 million based on the conversion privilege of those shares and the closing price of the Class A shares on May 3, 2024 (the exchange expiration date) of $268.49 per share. Subsequent to the exchange, we sold 1,662 of our Class C shares for net proceeds of $1.821 million. The fair value of our remaining 831 Class C shares was $0.872 million at June 30, 2024, using a closing price of the Class A shares of $262.47 per share on Friday, June 28, 2024, and is recorded as equity securities at fair value on our Condensed Consolidated Statements of Financial Condition. See note #13 to the Condensed Consolidated Financial Statements included within this report for further discussion.</w:t>
      </w:r>
    </w:p>
    <w:p>
      <w:pPr>
        <w:spacing w:after="0" w:line="1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and fixed rate jumbo mortgage loans as Portfolio Loans, while 15- and 30-year fixed-rate conforming mortgage loans are generally sold to mitigate exposure to changes in interest rates. (See “Non-interest income.”) The growth in mortgage loans during the first six months of 2024 has primarily been attributed to the origination of adjustable-rate mortgage loans and advances on adjustable rate construction mortgage loans and home equity lines of credit. (See “Asset/liability management.”).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June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20"/>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280" w:type="dxa"/>
            <w:vAlign w:val="bottom"/>
          </w:tcPr>
          <w:p>
            <w:pPr>
              <w:spacing w:after="0"/>
              <w:rPr>
                <w:sz w:val="19"/>
                <w:szCs w:val="19"/>
                <w:color w:val="auto"/>
              </w:rPr>
            </w:pPr>
          </w:p>
        </w:tc>
        <w:tc>
          <w:tcPr>
            <w:tcW w:w="27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5"/>
        </w:trPr>
        <w:tc>
          <w:tcPr>
            <w:tcW w:w="8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1,271,968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1,248,911</w:t>
            </w:r>
          </w:p>
        </w:tc>
        <w:tc>
          <w:tcPr>
            <w:tcW w:w="0" w:type="dxa"/>
            <w:vAlign w:val="bottom"/>
          </w:tcPr>
          <w:p>
            <w:pPr>
              <w:spacing w:after="0"/>
              <w:rPr>
                <w:sz w:val="1"/>
                <w:szCs w:val="1"/>
                <w:color w:val="auto"/>
              </w:rPr>
            </w:pPr>
          </w:p>
        </w:tc>
      </w:tr>
      <w:tr>
        <w:trPr>
          <w:trHeight w:val="21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157,006</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241,715</w:t>
            </w:r>
          </w:p>
        </w:tc>
        <w:tc>
          <w:tcPr>
            <w:tcW w:w="0" w:type="dxa"/>
            <w:vAlign w:val="bottom"/>
          </w:tcPr>
          <w:p>
            <w:pPr>
              <w:spacing w:after="0"/>
              <w:rPr>
                <w:sz w:val="1"/>
                <w:szCs w:val="1"/>
                <w:color w:val="auto"/>
              </w:rPr>
            </w:pPr>
          </w:p>
        </w:tc>
      </w:tr>
      <w:tr>
        <w:trPr>
          <w:trHeight w:val="21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Other(2)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1,017,203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1,036,590</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612,380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619,374</w:t>
            </w:r>
          </w:p>
        </w:tc>
        <w:tc>
          <w:tcPr>
            <w:tcW w:w="0" w:type="dxa"/>
            <w:vAlign w:val="bottom"/>
          </w:tcPr>
          <w:p>
            <w:pPr>
              <w:spacing w:after="0"/>
              <w:rPr>
                <w:sz w:val="1"/>
                <w:szCs w:val="1"/>
                <w:color w:val="auto"/>
              </w:rPr>
            </w:pP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483,129</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0" w:type="dxa"/>
            <w:vAlign w:val="bottom"/>
          </w:tcPr>
          <w:p>
            <w:pPr>
              <w:spacing w:after="0"/>
              <w:rPr>
                <w:sz w:val="1"/>
                <w:szCs w:val="1"/>
                <w:color w:val="auto"/>
              </w:rPr>
            </w:pPr>
          </w:p>
        </w:tc>
      </w:tr>
      <w:tr>
        <w:trPr>
          <w:trHeight w:val="212"/>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3,851,889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3,790,901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residential and non-residential commercial loans secured by real estate.</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loans secured by multi-family residential and non-farm, non-residential property.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0"/>
        </w:trPr>
        <w:tc>
          <w:tcPr>
            <w:tcW w:w="7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June 30,</w:t>
            </w: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6,991</w:t>
            </w: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3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432</w:t>
            </w:r>
          </w:p>
        </w:tc>
      </w:tr>
      <w:tr>
        <w:trPr>
          <w:trHeight w:val="212"/>
        </w:trPr>
        <w:tc>
          <w:tcPr>
            <w:tcW w:w="79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Subtotal</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5,974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7,423</w:t>
            </w: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2,191</w:t>
            </w:r>
          </w:p>
        </w:tc>
      </w:tr>
      <w:tr>
        <w:trPr>
          <w:trHeight w:val="212"/>
        </w:trPr>
        <w:tc>
          <w:tcPr>
            <w:tcW w:w="7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5,232</w:t>
            </w: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945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569</w:t>
            </w:r>
          </w:p>
        </w:tc>
      </w:tr>
      <w:tr>
        <w:trPr>
          <w:trHeight w:val="237"/>
        </w:trPr>
        <w:tc>
          <w:tcPr>
            <w:tcW w:w="7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5,801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0.14 %</w:t>
            </w:r>
          </w:p>
        </w:tc>
      </w:tr>
      <w:tr>
        <w:trPr>
          <w:trHeight w:val="21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30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0.11</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1044.69 %</w:t>
            </w: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Non-performing loans have declined modestly as a percent of Portfolio Loans since year-end 2023, reflecting our ongoing collection efforts. Our collection and resolution efforts have generally resulted in a positive trend in non-performing loans.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$0.95 million and $0.57 million at June 30, 2024, and December 31, 2023, respectively.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reflect activity in our ACL on loans, securities and unfunded lending commitments as well as the allocation of our ACL on loans.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5"/>
        </w:trPr>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59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Allowance for credit losses on loans and unfunded lending commitments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274"/>
              <w:spacing w:after="0"/>
              <w:rPr>
                <w:sz w:val="20"/>
                <w:szCs w:val="20"/>
                <w:color w:val="auto"/>
              </w:rPr>
            </w:pPr>
            <w:r>
              <w:rPr>
                <w:rFonts w:ascii="Times New Roman" w:cs="Times New Roman" w:eastAsia="Times New Roman" w:hAnsi="Times New Roman"/>
                <w:sz w:val="17"/>
                <w:szCs w:val="17"/>
                <w:color w:val="auto"/>
              </w:rPr>
              <w:t>Six months ended 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color w:val="auto"/>
              </w:rPr>
              <w:t>Unfunded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color w:val="auto"/>
                <w:w w:val="99"/>
              </w:rPr>
              <w:t>Unfunded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Commitments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7"/>
                <w:szCs w:val="17"/>
                <w:color w:val="auto"/>
              </w:rPr>
              <w:t>Loans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Securities</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Commitments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434"/>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52,435</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Additions included in non-interest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56,241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4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Net loans charged (recovered) against the</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allowance to average Portfolio Loans</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8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4"/>
          </w:tcPr>
          <w:p>
            <w:pPr>
              <w:jc w:val="right"/>
              <w:ind w:right="520"/>
              <w:spacing w:after="0"/>
              <w:rPr>
                <w:sz w:val="20"/>
                <w:szCs w:val="20"/>
                <w:color w:val="auto"/>
              </w:rPr>
            </w:pPr>
            <w:r>
              <w:rPr>
                <w:rFonts w:ascii="Times New Roman" w:cs="Times New Roman" w:eastAsia="Times New Roman" w:hAnsi="Times New Roman"/>
                <w:sz w:val="17"/>
                <w:szCs w:val="17"/>
                <w:color w:val="auto"/>
                <w:w w:val="98"/>
              </w:rPr>
              <w:t>June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w w:val="99"/>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54"/>
              <w:spacing w:after="0"/>
              <w:rPr>
                <w:sz w:val="20"/>
                <w:szCs w:val="20"/>
                <w:color w:val="auto"/>
              </w:rPr>
            </w:pPr>
            <w:r>
              <w:rPr>
                <w:rFonts w:ascii="Times New Roman" w:cs="Times New Roman" w:eastAsia="Times New Roman" w:hAnsi="Times New Roman"/>
                <w:sz w:val="17"/>
                <w:szCs w:val="17"/>
                <w:color w:val="auto"/>
              </w:rPr>
              <w:t>(Dollars 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$1.6 million to $56.2 million at June 30, 2024 from $54.7 million at December 31, 2023, and was equal to 1.46% and 1.44% of total Portfolio Loans at June 30, 2024, and December 31,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December 31, 2023, the ACL related to specific loans increased $0.8 million due primarily to one commercial loan addition during the first quarter of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ACL related to pooled analysis of loans and subjective factors increased $0.6 million and $0.2 million, respectively due in part to loan growth.</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Deposits totaled $4.61 billion and $4.62 billion at June 30, 2024, and December 31, 2023, respectively. The decrease in deposits is primarily due to decreases in non-interest bearing and brokered time deposits that were partially offset by growth in savings and interest-bearing checking deposits, reciprocal deposits and time deposits. Reciprocal deposits totaled $925.8 million and $832.0 million at June 30, 2024 and December 31, 2023,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June 30,</w:t>
            </w:r>
          </w:p>
        </w:tc>
        <w:tc>
          <w:tcPr>
            <w:tcW w:w="320" w:type="dxa"/>
            <w:vAlign w:val="bottom"/>
          </w:tcPr>
          <w:p>
            <w:pPr>
              <w:spacing w:after="0"/>
              <w:rPr>
                <w:sz w:val="17"/>
                <w:szCs w:val="17"/>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978,110</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961,974</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21.8 %</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22.2 %</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20.98</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20.38</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1,023,090</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890,289</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20.5 %</w:t>
            </w:r>
          </w:p>
        </w:tc>
      </w:tr>
    </w:tbl>
    <w:p>
      <w:pPr>
        <w:spacing w:after="0" w:line="241" w:lineRule="exact"/>
        <w:rPr>
          <w:sz w:val="20"/>
          <w:szCs w:val="20"/>
          <w:color w:val="auto"/>
        </w:rPr>
      </w:pPr>
    </w:p>
    <w:p>
      <w:pPr>
        <w:ind w:firstLine="3"/>
        <w:spacing w:after="0" w:line="287" w:lineRule="auto"/>
        <w:tabs>
          <w:tab w:leader="none" w:pos="26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$51.4 million and $51.2 million respectively. Uninsured deposits reported in our Call Report at June 30, 2024 and December 31, 2023 totaled $1,029.6 million and $1,013.2 million,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borrowings, comprised primarily of FRB and FHLB borrowings, totaled $50.0 million and $50.0 million at June 30, 2024, and December 31, 2023, respectively.</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June 30, 2024, our use of such wholesale funding sources (including reciprocal deposits) amounted to approximately $1.10 billion, or 23.6%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historically employed derivative financial instruments to manage our exposure to changes in interest rates. During the first six months of 2024 and 2023, we entered into $54.5 million and $57.4 million (aggregate notional amounts), respectively, of interest rate swaps with commercial loan customers, which were offset with interest rate swaps that the Bank entered into with a broker-dealer. We recorded $0.6 million and $1.0 million of fee income related to these transactions during the first six months of 2024 and 2023, respectively. See note #6 to the Condensed Consolidated Financial Statements included within this report for more information on our derivative financial instruments.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June 30, 2024, in addition to liquidity available from our normal operating, funding and investing activities we had unused credit lines with the FHLB and FRB of approximately $1.001 billion and $438.5 million, respectively. We also had approximately $787.4 million in fair value of unpledged securities AFS and HTM at June 30, 2024, which could be pledged for an estimated additional borrowing capacity at the FHLB and FRB of approximately $732.5 million.</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June 30, 2024, we had $746.9 million of time deposits that mature in the next 12 months. Historically, a majority of these maturing time deposits are renewed by our customers. Additionally, $3.78 billion of our deposits at June 30, 2024,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(including time deposits) of approximately $46.6 million as of June 30, 2024,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4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June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4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debt</w:t>
            </w:r>
          </w:p>
        </w:tc>
        <w:tc>
          <w:tcPr>
            <w:tcW w:w="39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39,510</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39,728</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3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3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78,538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78,504</w:t>
            </w:r>
          </w:p>
        </w:tc>
        <w:tc>
          <w:tcPr>
            <w:tcW w:w="0" w:type="dxa"/>
            <w:vAlign w:val="bottom"/>
          </w:tcPr>
          <w:p>
            <w:pPr>
              <w:spacing w:after="0"/>
              <w:rPr>
                <w:sz w:val="1"/>
                <w:szCs w:val="1"/>
                <w:color w:val="auto"/>
              </w:rPr>
            </w:pPr>
          </w:p>
        </w:tc>
      </w:tr>
      <w:tr>
        <w:trPr>
          <w:trHeight w:val="19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3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317,676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317,483</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159,108</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(70,828)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(72,142)</w:t>
            </w: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430,459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404,449</w:t>
            </w:r>
          </w:p>
        </w:tc>
        <w:tc>
          <w:tcPr>
            <w:tcW w:w="0" w:type="dxa"/>
            <w:vAlign w:val="bottom"/>
          </w:tcPr>
          <w:p>
            <w:pPr>
              <w:spacing w:after="0"/>
              <w:rPr>
                <w:sz w:val="1"/>
                <w:szCs w:val="1"/>
                <w:color w:val="auto"/>
              </w:rPr>
            </w:pPr>
          </w:p>
        </w:tc>
      </w:tr>
      <w:tr>
        <w:trPr>
          <w:trHeight w:val="212"/>
        </w:trPr>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capitalization</w:t>
            </w:r>
          </w:p>
        </w:tc>
        <w:tc>
          <w:tcPr>
            <w:tcW w:w="362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508,997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482,953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20" w:type="dxa"/>
            <w:vAlign w:val="bottom"/>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45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June 30, 2024, balance of $39.5 million is net of remaining unamortized deferred issuance costs of approximately $0.5 million that are being amortized through the maturity date into interest expense on other borrowings and subordinated debt and debentures in our Condensed Consolidated Statements of Operations.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four special purpose entities with $39.8 million of outstanding cumulative trust preferred securities as of June 30, 2024.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2024, and December 31, 2023.</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Common shareholders’ equity increased to $430.5 million at June 30, 2024, from $404.4 million at December 31, 2023. The increase is primarily due to earnings retention. Our tangible common equity (“TCE”) totaled $400.4 million and $374.1 million, respectively, at those same dates. Our ratio of TCE to tangible assets was 7.63% and 7.15% at June 30, 2024, and December 31, 2023, respectively. TCE and the ratio of TCE to tangible assets are non-GAAP measures. TCE represents total common equity less goodwill and other intangible assets.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2023, our Board of Directors authorized a 2024 share repurchase plan. Under the terms of the 2024 share repurchase plan, we are authorized to buy back up to 1,100,000, or approximately 5% of our outstanding common stock. There were no shares repurchased during the first six months of 2024. During the first six months of 2023, we repurchased 200,000 shares of common stock, for an aggregate purchase price of $3.3 million.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pay a quarterly cash dividend on our common stock. These dividends totaled $0.48 per share and $0.46 per share in the first six months of 2024 and 2023, respectively. We generally favor a dividend payout ratio between 30% and 50% of net income.</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June 30, 2024 and December 31, 2023, our Bank (and holding company) continued to meet the requirements to be considered “well-capitalized” under federal regulatory standards (also see note #10 to the Condensed Consolidated Financial Statements included within this report).</w:t>
      </w:r>
    </w:p>
    <w:p>
      <w:pPr>
        <w:spacing w:after="0" w:line="1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June 30, 2024, both our interest rate risk profile as measured by our short term earnings simulation and our longer term interest rate risk measure based on changes in economic value indicates exposure to rising rates. These measures have decreased modestly from December 31, 2023 due to a shift in the asset mix to shorter duration interest bearing deposits and loans while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sensitivity measures relating to funding mix were relatively stable. In addition, at June 30, 2024 our simulation base-rate scenario for market value of portfolio equity increased from December 31, 2023 due primarily to an increase in the Bank’s tangible equity, an increase in the value of non-maturity deposits caused by an increase in long term market rates, spread narrowing on most loan products and spread narrowing in certain sectors of the fixed income bond market.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MARKET VALUE OF PORTFOLIO EQUITY, NET INTEREST INCOME AND NET INTEREST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Portfolio</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Equity(1)</w:t>
            </w:r>
          </w:p>
        </w:tc>
        <w:tc>
          <w:tcPr>
            <w:tcW w:w="13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 w:type="dxa"/>
            <w:vAlign w:val="bottom"/>
          </w:tcPr>
          <w:p>
            <w:pPr>
              <w:spacing w:after="0"/>
              <w:rPr>
                <w:sz w:val="21"/>
                <w:szCs w:val="21"/>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80" w:type="dxa"/>
            <w:vAlign w:val="bottom"/>
          </w:tcPr>
          <w:p>
            <w:pPr>
              <w:spacing w:after="0"/>
              <w:rPr>
                <w:sz w:val="21"/>
                <w:szCs w:val="21"/>
                <w:color w:val="auto"/>
              </w:rPr>
            </w:pPr>
          </w:p>
        </w:tc>
        <w:tc>
          <w:tcPr>
            <w:tcW w:w="14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0"/>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60" w:type="dxa"/>
            <w:vAlign w:val="bottom"/>
            <w:gridSpan w:val="3"/>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521,800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173,300</w:t>
            </w:r>
          </w:p>
        </w:tc>
        <w:tc>
          <w:tcPr>
            <w:tcW w:w="128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7"/>
                <w:szCs w:val="17"/>
                <w:color w:val="auto"/>
              </w:rPr>
              <w:t>(0.35)%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3.44 %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(0.29)%</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562,100</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(6.27)</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174,300</w:t>
            </w:r>
          </w:p>
        </w:tc>
        <w:tc>
          <w:tcPr>
            <w:tcW w:w="1280" w:type="dxa"/>
            <w:vAlign w:val="bottom"/>
          </w:tcPr>
          <w:p>
            <w:pPr>
              <w:jc w:val="center"/>
              <w:ind w:left="454"/>
              <w:spacing w:after="0"/>
              <w:rPr>
                <w:sz w:val="20"/>
                <w:szCs w:val="20"/>
                <w:color w:val="auto"/>
              </w:rPr>
            </w:pPr>
            <w:r>
              <w:rPr>
                <w:rFonts w:ascii="Times New Roman" w:cs="Times New Roman" w:eastAsia="Times New Roman" w:hAnsi="Times New Roman"/>
                <w:sz w:val="17"/>
                <w:szCs w:val="17"/>
                <w:color w:val="auto"/>
              </w:rPr>
              <w:t>0.23</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Pr>
          <w:p>
            <w:pPr>
              <w:spacing w:after="0"/>
              <w:rPr>
                <w:sz w:val="19"/>
                <w:szCs w:val="19"/>
                <w:color w:val="auto"/>
              </w:rPr>
            </w:pPr>
          </w:p>
        </w:tc>
        <w:tc>
          <w:tcPr>
            <w:tcW w:w="142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599,700</w:t>
            </w:r>
          </w:p>
        </w:tc>
        <w:tc>
          <w:tcPr>
            <w:tcW w:w="1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173,900</w:t>
            </w:r>
          </w:p>
        </w:tc>
        <w:tc>
          <w:tcPr>
            <w:tcW w:w="1360" w:type="dxa"/>
            <w:vAlign w:val="bottom"/>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628,500</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4.80</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172,300</w:t>
            </w:r>
          </w:p>
        </w:tc>
        <w:tc>
          <w:tcPr>
            <w:tcW w:w="128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7"/>
              </w:rPr>
              <w:t>(0.92)</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3.42</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(0.87)</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645,600</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7.65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172,400</w:t>
            </w:r>
          </w:p>
        </w:tc>
        <w:tc>
          <w:tcPr>
            <w:tcW w:w="128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w w:val="97"/>
              </w:rPr>
              <w:t>(0.86)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(0.87)</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447,600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166,000</w:t>
            </w:r>
          </w:p>
        </w:tc>
        <w:tc>
          <w:tcPr>
            <w:tcW w:w="12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3.30 %</w:t>
            </w:r>
          </w:p>
        </w:tc>
        <w:tc>
          <w:tcPr>
            <w:tcW w:w="80" w:type="dxa"/>
            <w:vAlign w:val="bottom"/>
          </w:tcPr>
          <w:p>
            <w:pPr>
              <w:spacing w:after="0"/>
              <w:rPr>
                <w:sz w:val="19"/>
                <w:szCs w:val="19"/>
                <w:color w:val="auto"/>
              </w:rPr>
            </w:pPr>
          </w:p>
        </w:tc>
        <w:tc>
          <w:tcPr>
            <w:tcW w:w="142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494,500</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(8.63)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168,300</w:t>
            </w:r>
          </w:p>
        </w:tc>
        <w:tc>
          <w:tcPr>
            <w:tcW w:w="128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w w:val="97"/>
              </w:rPr>
              <w:t>(0.71)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(0.89)</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541,200</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169,500</w:t>
            </w:r>
          </w:p>
        </w:tc>
        <w:tc>
          <w:tcPr>
            <w:tcW w:w="1360" w:type="dxa"/>
            <w:vAlign w:val="bottom"/>
            <w:gridSpan w:val="2"/>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tcPr>
          <w:p>
            <w:pPr>
              <w:spacing w:after="0"/>
              <w:rPr>
                <w:sz w:val="19"/>
                <w:szCs w:val="19"/>
                <w:color w:val="auto"/>
              </w:rPr>
            </w:pPr>
          </w:p>
        </w:tc>
        <w:tc>
          <w:tcPr>
            <w:tcW w:w="142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582,800</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7.69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169,000</w:t>
            </w:r>
          </w:p>
        </w:tc>
        <w:tc>
          <w:tcPr>
            <w:tcW w:w="128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w w:val="97"/>
              </w:rPr>
              <w:t>(0.29)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(0.59)</w:t>
            </w:r>
          </w:p>
        </w:tc>
        <w:tc>
          <w:tcPr>
            <w:tcW w:w="0" w:type="dxa"/>
            <w:vAlign w:val="bottom"/>
          </w:tcPr>
          <w:p>
            <w:pPr>
              <w:spacing w:after="0"/>
              <w:rPr>
                <w:sz w:val="1"/>
                <w:szCs w:val="1"/>
                <w:color w:val="auto"/>
              </w:rPr>
            </w:pPr>
          </w:p>
        </w:tc>
      </w:tr>
      <w:tr>
        <w:trPr>
          <w:trHeight w:val="22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603,200</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11.46</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167,800</w:t>
            </w:r>
          </w:p>
        </w:tc>
        <w:tc>
          <w:tcPr>
            <w:tcW w:w="128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7"/>
              </w:rPr>
              <w:t>(1.00)</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jc w:val="both"/>
        <w:ind w:left="320" w:hanging="317"/>
        <w:spacing w:after="0" w:line="260" w:lineRule="auto"/>
        <w:tabs>
          <w:tab w:leader="none" w:pos="31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statement of financial condition, which includes debt and related financial derivative instruments, and do not consider loan fees or loan origination costs.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counterclaims by the opposing party or parties, but we have excluded such matters from the disclosure contained in the preceding paragraph in all cases where we believe the possibility of us paying damages to any opposing party is remote.</w:t>
      </w:r>
    </w:p>
    <w:p>
      <w:pPr>
        <w:spacing w:after="0" w:line="1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Condensed Consolidated Financial Statements included elsewhere in this report for details on recently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pronouncements and their impact on our interim condensed consolidated financial statements.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at fair value,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2024,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June 30, 2024,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-113030</wp:posOffset>
            </wp:positionV>
            <wp:extent cx="581025" cy="1225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risk factors disclosed in Item 1A. Risk Factors of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2024, the Company issued 366 shares of common stock to non-employee directors on a current basis and 2,049 shares of common stock to the trust for distribution to directors on a deferred basis. These shares were issued on April 1, 2024 representing aggregate fees of $0.06 million. The shares on a current basis were issued at a price of $25.35 per share and the shares on a deferred basis were issued at a price of $22.82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June 30,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Paid 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2024</w:t>
            </w:r>
          </w:p>
        </w:tc>
        <w:tc>
          <w:tcPr>
            <w:tcW w:w="14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2024</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2024</w:t>
            </w:r>
          </w:p>
        </w:tc>
        <w:tc>
          <w:tcPr>
            <w:tcW w:w="1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w w:val="93"/>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w w:val="93"/>
              </w:rPr>
              <w:t>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24.87</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hanging="317"/>
        <w:spacing w:after="0" w:line="271" w:lineRule="auto"/>
        <w:tabs>
          <w:tab w:leader="none" w:pos="25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June represents shares withheld from the shares that would otherwise have been issued to a certain officer in order to satisfy the tax withholding obligations resulting from the vesting of restricted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30" w:lineRule="exact"/>
        <w:rPr>
          <w:sz w:val="20"/>
          <w:szCs w:val="20"/>
          <w:color w:val="auto"/>
        </w:rPr>
      </w:pPr>
    </w:p>
    <w:p>
      <w:pPr>
        <w:ind w:left="920" w:hanging="561"/>
        <w:spacing w:after="0"/>
        <w:tabs>
          <w:tab w:leader="none" w:pos="9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7"/>
          <w:szCs w:val="17"/>
          <w:color w:val="auto"/>
        </w:rPr>
      </w:pPr>
    </w:p>
    <w:p>
      <w:pPr>
        <w:ind w:left="1600" w:hanging="683"/>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9"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-1005840</wp:posOffset>
            </wp:positionV>
            <wp:extent cx="7138670" cy="2540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line="239" w:lineRule="auto"/>
        <w:tabs>
          <w:tab w:leader="none" w:pos="1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600" w:hanging="677"/>
        <w:spacing w:after="0"/>
        <w:tabs>
          <w:tab w:leader="none" w:pos="1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4" w:lineRule="exact"/>
        <w:rPr>
          <w:sz w:val="20"/>
          <w:szCs w:val="20"/>
          <w:color w:val="auto"/>
        </w:rPr>
      </w:pPr>
    </w:p>
    <w:p>
      <w:pPr>
        <w:ind w:left="1600" w:hanging="677"/>
        <w:spacing w:after="0"/>
        <w:tabs>
          <w:tab w:leader="none" w:pos="1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4" w:lineRule="exact"/>
        <w:rPr>
          <w:sz w:val="20"/>
          <w:szCs w:val="20"/>
          <w:color w:val="auto"/>
        </w:rPr>
      </w:pPr>
    </w:p>
    <w:p>
      <w:pPr>
        <w:ind w:left="1600" w:hanging="677"/>
        <w:spacing w:after="0"/>
        <w:tabs>
          <w:tab w:leader="none" w:pos="1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20"/>
        <w:spacing w:after="0"/>
        <w:tabs>
          <w:tab w:leader="none" w:pos="240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82" w:lineRule="exact"/>
        <w:rPr>
          <w:sz w:val="20"/>
          <w:szCs w:val="20"/>
          <w:color w:val="auto"/>
        </w:rPr>
      </w:pPr>
    </w:p>
    <w:p>
      <w:pPr>
        <w:ind w:left="20"/>
        <w:spacing w:after="0"/>
        <w:tabs>
          <w:tab w:leader="none" w:pos="240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40"/>
          </w:cols>
          <w:pgMar w:left="320" w:top="11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7"/>
          <w:szCs w:val="17"/>
          <w:color w:val="auto"/>
        </w:rPr>
        <w:t>Date: August 5, 2024</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5, 2024</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106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June 30, 2024,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June 30, 2024,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Date: August 5, 2024</w:t>
            </w:r>
          </w:p>
        </w:tc>
        <w:tc>
          <w:tcPr>
            <w:tcW w:w="5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William B. Kessel</w:t>
            </w:r>
          </w:p>
        </w:tc>
      </w:tr>
      <w:tr>
        <w:trPr>
          <w:trHeight w:val="209"/>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William B. Kessel</w:t>
            </w:r>
          </w:p>
        </w:tc>
      </w:tr>
      <w:tr>
        <w:trPr>
          <w:trHeight w:val="223"/>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June 30, 2024,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June 30, 2024,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5, 2024</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2"/>
    </w:lvl>
  </w:abstractNum>
  <w:abstractNum w:abstractNumId="3">
    <w:nsid w:val="22221A70"/>
    <w:multiLevelType w:val="hybridMultilevel"/>
    <w:lvl w:ilvl="0">
      <w:lvlJc w:val="left"/>
      <w:lvlText w:val="%1."/>
      <w:numFmt w:val="decimal"/>
      <w:start w:val="3"/>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4"/>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5"/>
    </w:lvl>
  </w:abstractNum>
  <w:abstractNum w:abstractNumId="8">
    <w:nsid w:val="5577F8E1"/>
    <w:multiLevelType w:val="hybridMultilevel"/>
    <w:lvl w:ilvl="0">
      <w:lvlJc w:val="left"/>
      <w:lvlText w:val="%1."/>
      <w:numFmt w:val="decimal"/>
      <w:start w:val="6"/>
    </w:lvl>
  </w:abstractNum>
  <w:abstractNum w:abstractNumId="9">
    <w:nsid w:val="440BADFC"/>
    <w:multiLevelType w:val="hybridMultilevel"/>
    <w:lvl w:ilvl="0">
      <w:lvlJc w:val="left"/>
      <w:lvlText w:val="\endash "/>
      <w:numFmt w:val="bullet"/>
      <w:start w:val="1"/>
    </w:lvl>
  </w:abstractNum>
  <w:abstractNum w:abstractNumId="10">
    <w:nsid w:val="5072367"/>
    <w:multiLevelType w:val="hybridMultilevel"/>
    <w:lvl w:ilvl="0">
      <w:lvlJc w:val="left"/>
      <w:lvlText w:val="%1."/>
      <w:numFmt w:val="decimal"/>
      <w:start w:val="8"/>
    </w:lvl>
  </w:abstractNum>
  <w:abstractNum w:abstractNumId="11">
    <w:nsid w:val="3804823E"/>
    <w:multiLevelType w:val="hybridMultilevel"/>
    <w:lvl w:ilvl="0">
      <w:lvlJc w:val="left"/>
      <w:lvlText w:val="%1."/>
      <w:numFmt w:val="decimal"/>
      <w:start w:val="10"/>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lvl w:ilvl="1">
      <w:lvlJc w:val="left"/>
      <w:lvlText w:val="(%2)"/>
      <w:numFmt w:val="decimal"/>
      <w:start w:val="1"/>
    </w:lvl>
  </w:abstractNum>
  <w:abstractNum w:abstractNumId="14">
    <w:nsid w:val="5C482A97"/>
    <w:multiLevelType w:val="hybridMultilevel"/>
    <w:lvl w:ilvl="0">
      <w:lvlJc w:val="left"/>
      <w:lvlText w:val="%1."/>
      <w:numFmt w:val="decimal"/>
      <w:start w:val="11"/>
    </w:lvl>
    <w:lvl w:ilvl="1">
      <w:lvlJc w:val="left"/>
      <w:lvlText w:val="%2"/>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2"/>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3"/>
    </w:lvl>
  </w:abstractNum>
  <w:abstractNum w:abstractNumId="22">
    <w:nsid w:val="70A64E2A"/>
    <w:multiLevelType w:val="hybridMultilevel"/>
    <w:lvl w:ilvl="0">
      <w:lvlJc w:val="left"/>
      <w:lvlText w:val="%1."/>
      <w:numFmt w:val="decimal"/>
      <w:start w:val="14"/>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lvl w:ilvl="1">
      <w:lvlJc w:val="left"/>
      <w:lvlText w:val="(%2)"/>
      <w:numFmt w:val="decimal"/>
      <w:start w:val="56"/>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lvl w:ilvl="1">
      <w:lvlJc w:val="left"/>
      <w:lvlText w:val="(%2)"/>
      <w:numFmt w:val="decimal"/>
      <w:start w:val="47"/>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5"/>
    </w:lvl>
  </w:abstractNum>
  <w:abstractNum w:abstractNumId="39">
    <w:nsid w:val="3DC240FB"/>
    <w:multiLevelType w:val="hybridMultilevel"/>
    <w:lvl w:ilvl="0">
      <w:lvlJc w:val="left"/>
      <w:lvlText w:val="%1."/>
      <w:numFmt w:val="decimal"/>
      <w:start w:val="16"/>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decimal"/>
      <w:start w:val="101"/>
    </w:lvl>
  </w:abstractNum>
  <w:abstractNum w:abstractNumId="51">
    <w:nsid w:val="39386575"/>
    <w:multiLevelType w:val="hybridMultilevel"/>
    <w:lvl w:ilvl="0">
      <w:lvlJc w:val="left"/>
      <w:lvlText w:val="%1."/>
      <w:numFmt w:val="decimal"/>
      <w:start w:val="101"/>
    </w:lvl>
  </w:abstractNum>
  <w:abstractNum w:abstractNumId="52">
    <w:nsid w:val="1CF10FD8"/>
    <w:multiLevelType w:val="hybridMultilevel"/>
    <w:lvl w:ilvl="0">
      <w:lvlJc w:val="left"/>
      <w:lvlText w:val="%1."/>
      <w:numFmt w:val="decimal"/>
      <w:start w:val="101"/>
    </w:lvl>
  </w:abstractNum>
  <w:abstractNum w:abstractNumId="53">
    <w:nsid w:val="180115BE"/>
    <w:multiLevelType w:val="hybridMultilevel"/>
    <w:lvl w:ilvl="0">
      <w:lvlJc w:val="left"/>
      <w:lvlText w:val="%1."/>
      <w:numFmt w:val="decimal"/>
      <w:start w:val="101"/>
    </w:lvl>
  </w:abstractNum>
  <w:abstractNum w:abstractNumId="54">
    <w:nsid w:val="235BA861"/>
    <w:multiLevelType w:val="hybridMultilevel"/>
    <w:lvl w:ilvl="0">
      <w:lvlJc w:val="left"/>
      <w:lvlText w:val="%1."/>
      <w:numFmt w:val="decimal"/>
      <w:start w:val="101"/>
    </w:lvl>
  </w:abstractNum>
  <w:abstractNum w:abstractNumId="55">
    <w:nsid w:val="47398C89"/>
    <w:multiLevelType w:val="hybridMultilevel"/>
    <w:lvl w:ilvl="0">
      <w:lvlJc w:val="left"/>
      <w:lvlText w:val="%1."/>
      <w:numFmt w:val="decimal"/>
      <w:start w:val="101"/>
    </w:lvl>
  </w:abstractNum>
  <w:abstractNum w:abstractNumId="56">
    <w:nsid w:val="354FE9F9"/>
    <w:multiLevelType w:val="hybridMultilevel"/>
    <w:lvl w:ilvl="0">
      <w:lvlJc w:val="left"/>
      <w:lvlText w:val="%1"/>
      <w:numFmt w:val="decimal"/>
      <w:start w:val="104"/>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2024-08-05T13:01:14Z</dcterms:created>
  <dcterms:modified xsi:type="dcterms:W3CDTF">2024-08-05T13:01:14Z</dcterms:modified>
</cp:coreProperties>
</file>