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form10q.htm"/>
      <w:bookmarkStart w:id="1" w:name="ksform10q"/>
      <w:bookmarkStart w:id="2" w:name="form10q.htm"/>
      <w:bookmarkStart w:id="3" w:name="ksform10q"/>
      <w:bookmarkEnd w:id="2"/>
      <w:bookmarkEnd w:id="3"/>
    </w:p>
    <w:p>
      <w:pPr>
        <w:pStyle w:val="TextBody"/>
        <w:spacing w:before="0" w:after="0"/>
        <w:jc w:val="center"/>
        <w:rPr>
          <w:sz w:val="23"/>
        </w:rPr>
      </w:pPr>
      <w:r>
        <w:rPr>
          <w:sz w:val="23"/>
        </w:rPr>
        <w:t>SECURITIES AND EXCHANGE COMMISSION</w:t>
      </w:r>
    </w:p>
    <w:p>
      <w:pPr>
        <w:pStyle w:val="TextBody"/>
        <w:spacing w:before="0" w:after="0"/>
        <w:jc w:val="center"/>
        <w:rPr>
          <w:sz w:val="20"/>
        </w:rPr>
      </w:pPr>
      <w:r>
        <w:rPr>
          <w:sz w:val="20"/>
        </w:rPr>
        <w:t>WASHINGTON, D.C.  20549</w:t>
      </w:r>
    </w:p>
    <w:p>
      <w:pPr>
        <w:pStyle w:val="TextBody"/>
        <w:spacing w:before="0" w:after="0"/>
        <w:rPr/>
      </w:pPr>
      <w:r>
        <w:rPr/>
      </w:r>
    </w:p>
    <w:p>
      <w:pPr>
        <w:pStyle w:val="TextBody"/>
        <w:spacing w:before="0" w:after="0"/>
        <w:jc w:val="center"/>
        <w:rPr>
          <w:sz w:val="30"/>
        </w:rPr>
      </w:pPr>
      <w:r>
        <w:rPr>
          <w:sz w:val="30"/>
        </w:rPr>
        <w:t>FORM 10-Q</w:t>
      </w:r>
    </w:p>
    <w:p>
      <w:pPr>
        <w:pStyle w:val="TextBody"/>
        <w:spacing w:before="0" w:after="0"/>
        <w:rPr/>
      </w:pPr>
      <w:r>
        <w:rPr/>
      </w:r>
    </w:p>
    <w:p>
      <w:pPr>
        <w:pStyle w:val="TextBody"/>
        <w:spacing w:before="0" w:after="0"/>
        <w:rPr/>
      </w:pPr>
      <w:r>
        <w:rPr/>
        <w:t xml:space="preserve">QUARTERLY REPORT PURSUANT TO SECTION 13 OR 15(d) OF THE SECURITIES EXCHANGE ACT OF 1934 FOR THE QUARTERLY PERIOD ENDED </w:t>
      </w:r>
      <w:r>
        <w:rPr>
          <w:u w:val="single"/>
        </w:rPr>
        <w:t>June 30, 2019</w:t>
      </w:r>
    </w:p>
    <w:p>
      <w:pPr>
        <w:pStyle w:val="TextBody"/>
        <w:spacing w:before="0" w:after="0"/>
        <w:rPr/>
      </w:pPr>
      <w:r>
        <w:rPr/>
      </w:r>
    </w:p>
    <w:p>
      <w:pPr>
        <w:pStyle w:val="TextBody"/>
        <w:spacing w:before="0" w:after="0"/>
        <w:rPr/>
      </w:pPr>
      <w:r>
        <w:rPr/>
        <w:t>Commission file number</w:t>
      </w:r>
      <w:r>
        <w:rPr>
          <w:u w:val="single"/>
        </w:rPr>
        <w:t>   0-7818</w:t>
      </w:r>
    </w:p>
    <w:p>
      <w:pPr>
        <w:pStyle w:val="TextBody"/>
        <w:spacing w:before="0" w:after="0"/>
        <w:rPr/>
      </w:pPr>
      <w:r>
        <w:rPr/>
      </w:r>
    </w:p>
    <w:p>
      <w:pPr>
        <w:pStyle w:val="Normal"/>
        <w:spacing w:before="0" w:after="0"/>
        <w:rPr>
          <w:sz w:val="4"/>
          <w:szCs w:val="4"/>
        </w:rPr>
      </w:pPr>
      <w:r>
        <w:rPr>
          <w:sz w:val="4"/>
          <w:szCs w:val="4"/>
        </w:rPr>
      </w:r>
      <w:bookmarkStart w:id="4" w:name="zafe14de222af4fd9b9224ff4fa17e3e2"/>
      <w:bookmarkStart w:id="5" w:name="zafe14de222af4fd9b9224ff4fa17e3e2"/>
      <w:bookmarkEnd w:id="5"/>
    </w:p>
    <w:tbl>
      <w:tblPr>
        <w:tblW w:w="6965" w:type="dxa"/>
        <w:jc w:val="left"/>
        <w:tblInd w:w="0" w:type="dxa"/>
        <w:tblCellMar>
          <w:top w:w="0" w:type="dxa"/>
          <w:left w:w="0" w:type="dxa"/>
          <w:bottom w:w="28" w:type="dxa"/>
          <w:right w:w="0" w:type="dxa"/>
        </w:tblCellMar>
      </w:tblPr>
      <w:tblGrid>
        <w:gridCol w:w="6965"/>
      </w:tblGrid>
      <w:tr>
        <w:trPr/>
        <w:tc>
          <w:tcPr>
            <w:tcW w:w="6965" w:type="dxa"/>
            <w:tcBorders>
              <w:bottom w:val="single" w:sz="12" w:space="0" w:color="000000"/>
            </w:tcBorders>
            <w:shd w:fill="auto" w:val="clear"/>
            <w:vAlign w:val="center"/>
          </w:tcPr>
          <w:p>
            <w:pPr>
              <w:pStyle w:val="TableContents"/>
              <w:spacing w:before="0" w:after="0"/>
              <w:jc w:val="center"/>
              <w:rPr>
                <w:sz w:val="40"/>
              </w:rPr>
            </w:pPr>
            <w:r>
              <w:rPr>
                <w:sz w:val="40"/>
              </w:rPr>
              <w:t>INDEPENDENT BANK CORPORATION</w:t>
            </w:r>
          </w:p>
        </w:tc>
      </w:tr>
      <w:tr>
        <w:trPr/>
        <w:tc>
          <w:tcPr>
            <w:tcW w:w="6965" w:type="dxa"/>
            <w:tcBorders/>
            <w:shd w:fill="auto" w:val="clear"/>
            <w:tcMar>
              <w:bottom w:w="0" w:type="dxa"/>
            </w:tcMar>
            <w:vAlign w:val="center"/>
          </w:tcPr>
          <w:p>
            <w:pPr>
              <w:pStyle w:val="TableContents"/>
              <w:spacing w:before="0" w:after="0"/>
              <w:jc w:val="center"/>
              <w:rPr/>
            </w:pPr>
            <w:r>
              <w:rPr/>
              <w:t>(Exact name of registrant as specified in its charter)</w:t>
            </w:r>
          </w:p>
        </w:tc>
      </w:tr>
    </w:tbl>
    <w:p>
      <w:pPr>
        <w:pStyle w:val="TextBody"/>
        <w:spacing w:before="0" w:after="0"/>
        <w:rPr/>
      </w:pPr>
      <w:r>
        <w:rPr/>
      </w:r>
    </w:p>
    <w:p>
      <w:pPr>
        <w:pStyle w:val="Normal"/>
        <w:spacing w:before="0" w:after="0"/>
        <w:rPr>
          <w:sz w:val="4"/>
          <w:szCs w:val="4"/>
        </w:rPr>
      </w:pPr>
      <w:r>
        <w:rPr>
          <w:sz w:val="4"/>
          <w:szCs w:val="4"/>
        </w:rPr>
      </w:r>
      <w:bookmarkStart w:id="6" w:name="z2f0f2f2d44474b6cb34b0f4be0311875"/>
      <w:bookmarkStart w:id="7" w:name="z2f0f2f2d44474b6cb34b0f4be0311875"/>
      <w:bookmarkEnd w:id="7"/>
    </w:p>
    <w:tbl>
      <w:tblPr>
        <w:tblW w:w="9018" w:type="dxa"/>
        <w:jc w:val="left"/>
        <w:tblInd w:w="0" w:type="dxa"/>
        <w:tblCellMar>
          <w:top w:w="0" w:type="dxa"/>
          <w:left w:w="0" w:type="dxa"/>
          <w:bottom w:w="28" w:type="dxa"/>
          <w:right w:w="0" w:type="dxa"/>
        </w:tblCellMar>
      </w:tblPr>
      <w:tblGrid>
        <w:gridCol w:w="5135"/>
        <w:gridCol w:w="23"/>
        <w:gridCol w:w="3860"/>
      </w:tblGrid>
      <w:tr>
        <w:trPr/>
        <w:tc>
          <w:tcPr>
            <w:tcW w:w="5135" w:type="dxa"/>
            <w:tcBorders>
              <w:bottom w:val="single" w:sz="12" w:space="0" w:color="000000"/>
            </w:tcBorders>
            <w:shd w:fill="auto" w:val="clear"/>
            <w:vAlign w:val="center"/>
          </w:tcPr>
          <w:p>
            <w:pPr>
              <w:pStyle w:val="TableContents"/>
              <w:spacing w:before="0" w:after="0"/>
              <w:jc w:val="center"/>
              <w:rPr/>
            </w:pPr>
            <w:r>
              <w:rPr/>
              <w:t>Michigan</w:t>
            </w:r>
          </w:p>
        </w:tc>
        <w:tc>
          <w:tcPr>
            <w:tcW w:w="23" w:type="dxa"/>
            <w:tcBorders/>
            <w:shd w:fill="auto" w:val="clear"/>
            <w:tcMar>
              <w:bottom w:w="0" w:type="dxa"/>
            </w:tcMar>
            <w:vAlign w:val="center"/>
          </w:tcPr>
          <w:p>
            <w:pPr>
              <w:pStyle w:val="TableContents"/>
              <w:spacing w:before="0" w:after="283"/>
              <w:rPr/>
            </w:pPr>
            <w:r>
              <w:rPr/>
            </w:r>
          </w:p>
        </w:tc>
        <w:tc>
          <w:tcPr>
            <w:tcW w:w="3860" w:type="dxa"/>
            <w:tcBorders>
              <w:bottom w:val="single" w:sz="12" w:space="0" w:color="000000"/>
            </w:tcBorders>
            <w:shd w:fill="auto" w:val="clear"/>
            <w:vAlign w:val="center"/>
          </w:tcPr>
          <w:p>
            <w:pPr>
              <w:pStyle w:val="TableContents"/>
              <w:spacing w:before="0" w:after="0"/>
              <w:jc w:val="center"/>
              <w:rPr/>
            </w:pPr>
            <w:r>
              <w:rPr/>
              <w:t>38-2032782</w:t>
            </w:r>
          </w:p>
        </w:tc>
      </w:tr>
      <w:tr>
        <w:trPr/>
        <w:tc>
          <w:tcPr>
            <w:tcW w:w="5135" w:type="dxa"/>
            <w:tcBorders/>
            <w:shd w:fill="auto" w:val="clear"/>
            <w:tcMar>
              <w:bottom w:w="0" w:type="dxa"/>
            </w:tcMar>
            <w:vAlign w:val="center"/>
          </w:tcPr>
          <w:p>
            <w:pPr>
              <w:pStyle w:val="TableContents"/>
              <w:spacing w:before="0" w:after="0"/>
              <w:jc w:val="center"/>
              <w:rPr/>
            </w:pPr>
            <w:r>
              <w:rPr/>
              <w:t>(State or jurisdiction of Incorporation or Organization)</w:t>
            </w:r>
          </w:p>
        </w:tc>
        <w:tc>
          <w:tcPr>
            <w:tcW w:w="23" w:type="dxa"/>
            <w:tcBorders/>
            <w:shd w:fill="auto" w:val="clear"/>
            <w:tcMar>
              <w:bottom w:w="0" w:type="dxa"/>
            </w:tcMar>
            <w:vAlign w:val="center"/>
          </w:tcPr>
          <w:p>
            <w:pPr>
              <w:pStyle w:val="TableContents"/>
              <w:spacing w:before="0" w:after="283"/>
              <w:rPr/>
            </w:pPr>
            <w:r>
              <w:rPr/>
            </w:r>
          </w:p>
        </w:tc>
        <w:tc>
          <w:tcPr>
            <w:tcW w:w="3860" w:type="dxa"/>
            <w:tcBorders/>
            <w:shd w:fill="auto" w:val="clear"/>
            <w:tcMar>
              <w:bottom w:w="0" w:type="dxa"/>
            </w:tcMar>
            <w:vAlign w:val="center"/>
          </w:tcPr>
          <w:p>
            <w:pPr>
              <w:pStyle w:val="TableContents"/>
              <w:spacing w:before="0" w:after="0"/>
              <w:jc w:val="center"/>
              <w:rPr/>
            </w:pPr>
            <w:r>
              <w:rPr/>
              <w:t>(I.R.S. Employer Identification Number)</w:t>
            </w:r>
          </w:p>
        </w:tc>
      </w:tr>
    </w:tbl>
    <w:p>
      <w:pPr>
        <w:pStyle w:val="TextBody"/>
        <w:spacing w:before="0" w:after="0"/>
        <w:rPr/>
      </w:pPr>
      <w:r>
        <w:rPr/>
      </w:r>
    </w:p>
    <w:p>
      <w:pPr>
        <w:pStyle w:val="Normal"/>
        <w:spacing w:before="0" w:after="0"/>
        <w:rPr>
          <w:sz w:val="4"/>
          <w:szCs w:val="4"/>
        </w:rPr>
      </w:pPr>
      <w:r>
        <w:rPr>
          <w:sz w:val="4"/>
          <w:szCs w:val="4"/>
        </w:rPr>
      </w:r>
      <w:bookmarkStart w:id="8" w:name="z737645ef7022477d95063ce32d13011a"/>
      <w:bookmarkStart w:id="9" w:name="z737645ef7022477d95063ce32d13011a"/>
      <w:bookmarkEnd w:id="9"/>
    </w:p>
    <w:tbl>
      <w:tblPr>
        <w:tblW w:w="4970" w:type="dxa"/>
        <w:jc w:val="left"/>
        <w:tblInd w:w="0" w:type="dxa"/>
        <w:tblCellMar>
          <w:top w:w="0" w:type="dxa"/>
          <w:left w:w="0" w:type="dxa"/>
          <w:bottom w:w="28" w:type="dxa"/>
          <w:right w:w="0" w:type="dxa"/>
        </w:tblCellMar>
      </w:tblPr>
      <w:tblGrid>
        <w:gridCol w:w="4970"/>
      </w:tblGrid>
      <w:tr>
        <w:trPr/>
        <w:tc>
          <w:tcPr>
            <w:tcW w:w="4970" w:type="dxa"/>
            <w:tcBorders>
              <w:bottom w:val="single" w:sz="12" w:space="0" w:color="000000"/>
            </w:tcBorders>
            <w:shd w:fill="auto" w:val="clear"/>
            <w:vAlign w:val="center"/>
          </w:tcPr>
          <w:p>
            <w:pPr>
              <w:pStyle w:val="TableContents"/>
              <w:spacing w:before="0" w:after="0"/>
              <w:jc w:val="center"/>
              <w:rPr/>
            </w:pPr>
            <w:r>
              <w:rPr/>
              <w:t>4200 East Beltline, Grand Rapids, Michigan  49525</w:t>
            </w:r>
          </w:p>
        </w:tc>
      </w:tr>
      <w:tr>
        <w:trPr/>
        <w:tc>
          <w:tcPr>
            <w:tcW w:w="4970" w:type="dxa"/>
            <w:tcBorders/>
            <w:shd w:fill="auto" w:val="clear"/>
            <w:tcMar>
              <w:bottom w:w="0" w:type="dxa"/>
            </w:tcMar>
            <w:vAlign w:val="center"/>
          </w:tcPr>
          <w:p>
            <w:pPr>
              <w:pStyle w:val="TableContents"/>
              <w:spacing w:before="0" w:after="0"/>
              <w:jc w:val="center"/>
              <w:rPr/>
            </w:pPr>
            <w:r>
              <w:rPr/>
              <w:t>(Address of principal executive offices)</w:t>
            </w:r>
          </w:p>
        </w:tc>
      </w:tr>
    </w:tbl>
    <w:p>
      <w:pPr>
        <w:pStyle w:val="TextBody"/>
        <w:spacing w:before="0" w:after="0"/>
        <w:rPr/>
      </w:pPr>
      <w:r>
        <w:rPr/>
      </w:r>
    </w:p>
    <w:p>
      <w:pPr>
        <w:pStyle w:val="TextBody"/>
        <w:spacing w:before="0" w:after="0"/>
        <w:jc w:val="center"/>
        <w:rPr>
          <w:u w:val="single"/>
        </w:rPr>
      </w:pPr>
      <w:r>
        <w:rPr>
          <w:u w:val="single"/>
        </w:rPr>
        <w:t>(616) 527-5820</w:t>
      </w:r>
    </w:p>
    <w:p>
      <w:pPr>
        <w:pStyle w:val="TextBody"/>
        <w:spacing w:before="0" w:after="0"/>
        <w:jc w:val="center"/>
        <w:rPr/>
      </w:pPr>
      <w:r>
        <w:rPr/>
        <w:t>(Registrant’s telephone number, including area code)</w:t>
      </w:r>
    </w:p>
    <w:p>
      <w:pPr>
        <w:pStyle w:val="TextBody"/>
        <w:spacing w:before="0" w:after="0"/>
        <w:rPr/>
      </w:pPr>
      <w:r>
        <w:rPr/>
      </w:r>
    </w:p>
    <w:p>
      <w:pPr>
        <w:pStyle w:val="Normal"/>
        <w:spacing w:before="0" w:after="0"/>
        <w:rPr>
          <w:sz w:val="4"/>
          <w:szCs w:val="4"/>
        </w:rPr>
      </w:pPr>
      <w:r>
        <w:rPr>
          <w:sz w:val="4"/>
          <w:szCs w:val="4"/>
        </w:rPr>
      </w:r>
      <w:bookmarkStart w:id="10" w:name="zc8ea1cad7e334d15aeecbbb70f4adaaf"/>
      <w:bookmarkStart w:id="11" w:name="zc8ea1cad7e334d15aeecbbb70f4adaaf"/>
      <w:bookmarkEnd w:id="11"/>
    </w:p>
    <w:tbl>
      <w:tblPr>
        <w:tblW w:w="6260" w:type="dxa"/>
        <w:jc w:val="left"/>
        <w:tblInd w:w="0" w:type="dxa"/>
        <w:tblCellMar>
          <w:top w:w="0" w:type="dxa"/>
          <w:left w:w="0" w:type="dxa"/>
          <w:bottom w:w="28" w:type="dxa"/>
          <w:right w:w="0" w:type="dxa"/>
        </w:tblCellMar>
      </w:tblPr>
      <w:tblGrid>
        <w:gridCol w:w="6260"/>
      </w:tblGrid>
      <w:tr>
        <w:trPr/>
        <w:tc>
          <w:tcPr>
            <w:tcW w:w="6260" w:type="dxa"/>
            <w:tcBorders>
              <w:bottom w:val="single" w:sz="12" w:space="0" w:color="000000"/>
            </w:tcBorders>
            <w:shd w:fill="auto" w:val="clear"/>
            <w:vAlign w:val="center"/>
          </w:tcPr>
          <w:p>
            <w:pPr>
              <w:pStyle w:val="TableContents"/>
              <w:spacing w:before="0" w:after="0"/>
              <w:jc w:val="center"/>
              <w:rPr/>
            </w:pPr>
            <w:r>
              <w:rPr/>
              <w:t>NONE</w:t>
            </w:r>
          </w:p>
        </w:tc>
      </w:tr>
      <w:tr>
        <w:trPr/>
        <w:tc>
          <w:tcPr>
            <w:tcW w:w="6260" w:type="dxa"/>
            <w:tcBorders/>
            <w:shd w:fill="auto" w:val="clear"/>
            <w:tcMar>
              <w:bottom w:w="0" w:type="dxa"/>
            </w:tcMar>
            <w:vAlign w:val="center"/>
          </w:tcPr>
          <w:p>
            <w:pPr>
              <w:pStyle w:val="TableContents"/>
              <w:spacing w:before="0" w:after="0"/>
              <w:jc w:val="center"/>
              <w:rPr/>
            </w:pPr>
            <w:r>
              <w:rPr/>
              <w:t>Former name, address and fiscal year, if changed since last report.</w:t>
            </w:r>
          </w:p>
        </w:tc>
      </w:tr>
    </w:tbl>
    <w:p>
      <w:pPr>
        <w:pStyle w:val="TextBody"/>
        <w:spacing w:before="0" w:after="0"/>
        <w:rPr/>
      </w:pPr>
      <w:r>
        <w:rPr/>
      </w:r>
    </w:p>
    <w:p>
      <w:pPr>
        <w:pStyle w:val="TextBody"/>
        <w:spacing w:before="0" w:after="0"/>
        <w:rPr/>
      </w:pPr>
      <w:r>
        <w:rPr/>
        <w:t>Securities registered pursuant to Section 12(b) of the Act:</w:t>
      </w:r>
    </w:p>
    <w:p>
      <w:pPr>
        <w:pStyle w:val="TextBody"/>
        <w:spacing w:before="0" w:after="0"/>
        <w:rPr/>
      </w:pPr>
      <w:r>
        <w:rPr/>
      </w:r>
    </w:p>
    <w:p>
      <w:pPr>
        <w:pStyle w:val="Normal"/>
        <w:spacing w:before="0" w:after="0"/>
        <w:rPr>
          <w:sz w:val="4"/>
          <w:szCs w:val="4"/>
        </w:rPr>
      </w:pPr>
      <w:r>
        <w:rPr>
          <w:sz w:val="4"/>
          <w:szCs w:val="4"/>
        </w:rPr>
      </w:r>
      <w:bookmarkStart w:id="12" w:name="za6a6c761829a4e8eaffe92dca782ff6e"/>
      <w:bookmarkStart w:id="13" w:name="za6a6c761829a4e8eaffe92dca782ff6e"/>
      <w:bookmarkEnd w:id="13"/>
    </w:p>
    <w:tbl>
      <w:tblPr>
        <w:tblW w:w="8355" w:type="dxa"/>
        <w:jc w:val="left"/>
        <w:tblInd w:w="0" w:type="dxa"/>
        <w:tblCellMar>
          <w:top w:w="0" w:type="dxa"/>
          <w:left w:w="0" w:type="dxa"/>
          <w:bottom w:w="28" w:type="dxa"/>
          <w:right w:w="0" w:type="dxa"/>
        </w:tblCellMar>
      </w:tblPr>
      <w:tblGrid>
        <w:gridCol w:w="2750"/>
        <w:gridCol w:w="60"/>
        <w:gridCol w:w="1565"/>
        <w:gridCol w:w="60"/>
        <w:gridCol w:w="3920"/>
      </w:tblGrid>
      <w:tr>
        <w:trPr/>
        <w:tc>
          <w:tcPr>
            <w:tcW w:w="2750" w:type="dxa"/>
            <w:tcBorders>
              <w:bottom w:val="single" w:sz="12" w:space="0" w:color="000000"/>
            </w:tcBorders>
            <w:shd w:fill="auto" w:val="clear"/>
            <w:vAlign w:val="center"/>
          </w:tcPr>
          <w:p>
            <w:pPr>
              <w:pStyle w:val="TableContents"/>
              <w:spacing w:before="0" w:after="0"/>
              <w:jc w:val="center"/>
              <w:rPr/>
            </w:pPr>
            <w:r>
              <w:rPr/>
              <w:t>Title of each Class</w:t>
            </w:r>
          </w:p>
        </w:tc>
        <w:tc>
          <w:tcPr>
            <w:tcW w:w="60" w:type="dxa"/>
            <w:tcBorders/>
            <w:shd w:fill="auto" w:val="clear"/>
            <w:tcMar>
              <w:bottom w:w="0" w:type="dxa"/>
            </w:tcMar>
            <w:vAlign w:val="center"/>
          </w:tcPr>
          <w:p>
            <w:pPr>
              <w:pStyle w:val="TableContents"/>
              <w:spacing w:before="0" w:after="283"/>
              <w:rPr/>
            </w:pPr>
            <w:r>
              <w:rPr/>
              <w:t> </w:t>
            </w:r>
          </w:p>
        </w:tc>
        <w:tc>
          <w:tcPr>
            <w:tcW w:w="1565" w:type="dxa"/>
            <w:tcBorders>
              <w:bottom w:val="single" w:sz="12" w:space="0" w:color="000000"/>
            </w:tcBorders>
            <w:shd w:fill="auto" w:val="clear"/>
            <w:vAlign w:val="center"/>
          </w:tcPr>
          <w:p>
            <w:pPr>
              <w:pStyle w:val="TableContents"/>
              <w:spacing w:before="0" w:after="0"/>
              <w:jc w:val="center"/>
              <w:rPr/>
            </w:pPr>
            <w:r>
              <w:rPr/>
              <w:t>Trading Symbol</w:t>
            </w:r>
          </w:p>
        </w:tc>
        <w:tc>
          <w:tcPr>
            <w:tcW w:w="60" w:type="dxa"/>
            <w:tcBorders/>
            <w:shd w:fill="auto" w:val="clear"/>
            <w:tcMar>
              <w:bottom w:w="0" w:type="dxa"/>
            </w:tcMar>
            <w:vAlign w:val="center"/>
          </w:tcPr>
          <w:p>
            <w:pPr>
              <w:pStyle w:val="TableContents"/>
              <w:spacing w:before="0" w:after="283"/>
              <w:rPr/>
            </w:pPr>
            <w:r>
              <w:rPr/>
              <w:t> </w:t>
            </w:r>
          </w:p>
        </w:tc>
        <w:tc>
          <w:tcPr>
            <w:tcW w:w="3920" w:type="dxa"/>
            <w:tcBorders>
              <w:bottom w:val="single" w:sz="12" w:space="0" w:color="000000"/>
            </w:tcBorders>
            <w:shd w:fill="auto" w:val="clear"/>
            <w:vAlign w:val="center"/>
          </w:tcPr>
          <w:p>
            <w:pPr>
              <w:pStyle w:val="TableContents"/>
              <w:spacing w:before="0" w:after="0"/>
              <w:jc w:val="center"/>
              <w:rPr/>
            </w:pPr>
            <w:r>
              <w:rPr/>
              <w:t>Name of each exchange which registered</w:t>
            </w:r>
          </w:p>
        </w:tc>
      </w:tr>
      <w:tr>
        <w:trPr/>
        <w:tc>
          <w:tcPr>
            <w:tcW w:w="2750" w:type="dxa"/>
            <w:tcBorders/>
            <w:shd w:fill="auto" w:val="clear"/>
            <w:tcMar>
              <w:bottom w:w="0" w:type="dxa"/>
            </w:tcMar>
            <w:vAlign w:val="center"/>
          </w:tcPr>
          <w:p>
            <w:pPr>
              <w:pStyle w:val="TableContents"/>
              <w:spacing w:before="0" w:after="0"/>
              <w:jc w:val="center"/>
              <w:rPr/>
            </w:pPr>
            <w:r>
              <w:rPr/>
              <w:t>Common stock, no par value</w:t>
            </w:r>
          </w:p>
        </w:tc>
        <w:tc>
          <w:tcPr>
            <w:tcW w:w="60" w:type="dxa"/>
            <w:tcBorders/>
            <w:shd w:fill="auto" w:val="clear"/>
            <w:tcMar>
              <w:bottom w:w="0" w:type="dxa"/>
            </w:tcMar>
            <w:vAlign w:val="center"/>
          </w:tcPr>
          <w:p>
            <w:pPr>
              <w:pStyle w:val="TableContents"/>
              <w:spacing w:before="0" w:after="283"/>
              <w:rPr/>
            </w:pPr>
            <w:r>
              <w:rPr/>
              <w:t> </w:t>
            </w:r>
          </w:p>
        </w:tc>
        <w:tc>
          <w:tcPr>
            <w:tcW w:w="1565" w:type="dxa"/>
            <w:tcBorders/>
            <w:shd w:fill="auto" w:val="clear"/>
            <w:tcMar>
              <w:bottom w:w="0" w:type="dxa"/>
            </w:tcMar>
            <w:vAlign w:val="center"/>
          </w:tcPr>
          <w:p>
            <w:pPr>
              <w:pStyle w:val="TableContents"/>
              <w:spacing w:before="0" w:after="0"/>
              <w:jc w:val="center"/>
              <w:rPr/>
            </w:pPr>
            <w:r>
              <w:rPr/>
              <w:t>IBCP</w:t>
            </w:r>
          </w:p>
        </w:tc>
        <w:tc>
          <w:tcPr>
            <w:tcW w:w="60" w:type="dxa"/>
            <w:tcBorders/>
            <w:shd w:fill="auto" w:val="clear"/>
            <w:tcMar>
              <w:bottom w:w="0" w:type="dxa"/>
            </w:tcMar>
            <w:vAlign w:val="center"/>
          </w:tcPr>
          <w:p>
            <w:pPr>
              <w:pStyle w:val="TableContents"/>
              <w:spacing w:before="0" w:after="283"/>
              <w:rPr/>
            </w:pPr>
            <w:r>
              <w:rPr/>
              <w:t> </w:t>
            </w:r>
          </w:p>
        </w:tc>
        <w:tc>
          <w:tcPr>
            <w:tcW w:w="3920" w:type="dxa"/>
            <w:tcBorders/>
            <w:shd w:fill="auto" w:val="clear"/>
            <w:tcMar>
              <w:bottom w:w="0" w:type="dxa"/>
            </w:tcMar>
            <w:vAlign w:val="center"/>
          </w:tcPr>
          <w:p>
            <w:pPr>
              <w:pStyle w:val="TableContents"/>
              <w:spacing w:before="0" w:after="0"/>
              <w:jc w:val="center"/>
              <w:rPr/>
            </w:pPr>
            <w:r>
              <w:rPr/>
              <w:t>The Nasdaq Stock Market, LLC</w:t>
            </w:r>
          </w:p>
        </w:tc>
      </w:tr>
    </w:tbl>
    <w:p>
      <w:pPr>
        <w:pStyle w:val="TextBody"/>
        <w:spacing w:before="0" w:after="0"/>
        <w:rPr/>
      </w:pPr>
      <w:r>
        <w:rPr/>
      </w:r>
    </w:p>
    <w:p>
      <w:pPr>
        <w:pStyle w:val="TextBody"/>
        <w:spacing w:before="0" w:after="0"/>
        <w:rPr/>
      </w:pPr>
      <w:r>
        <w:rPr/>
        <w:t>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rPr/>
      </w:pPr>
      <w:r>
        <w:rPr/>
      </w:r>
    </w:p>
    <w:p>
      <w:pPr>
        <w:pStyle w:val="TextBody"/>
        <w:spacing w:before="0" w:after="0"/>
        <w:rPr/>
      </w:pPr>
      <w:r>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pStyle w:val="TextBody"/>
        <w:spacing w:before="0" w:after="0"/>
        <w:rPr/>
      </w:pPr>
      <w:r>
        <w:rPr/>
        <w:t>YES ☒   NO ☐</w:t>
      </w:r>
    </w:p>
    <w:p>
      <w:pPr>
        <w:pStyle w:val="TextBody"/>
        <w:spacing w:before="0" w:after="0"/>
        <w:rPr/>
      </w:pPr>
      <w:r>
        <w:rPr/>
      </w:r>
    </w:p>
    <w:p>
      <w:pPr>
        <w:pStyle w:val="TextBody"/>
        <w:spacing w:before="0" w:after="0"/>
        <w:rPr/>
      </w:pPr>
      <w:r>
        <w:rPr/>
        <w:t>Indicate by check mark whether the Registrant is a large accelerated filer, an accelerated filer, non-accelerated filer, smaller reporting company or an emerging growth company.</w:t>
      </w:r>
    </w:p>
    <w:p>
      <w:pPr>
        <w:pStyle w:val="TextBody"/>
        <w:spacing w:before="0" w:after="0"/>
        <w:rPr/>
      </w:pPr>
      <w:r>
        <w:rPr/>
        <w:t xml:space="preserve">Large accelerated filer  ☐  Accelerated filer  ☒  Non-accelerated filer  ☐  Smaller reporting company  ☐  Emerging growth company  ☐ </w:t>
      </w:r>
    </w:p>
    <w:p>
      <w:pPr>
        <w:pStyle w:val="TextBody"/>
        <w:spacing w:before="0" w:after="0"/>
        <w:rPr/>
      </w:pPr>
      <w:r>
        <w:rPr/>
      </w:r>
    </w:p>
    <w:p>
      <w:pPr>
        <w:pStyle w:val="TextBody"/>
        <w:spacing w:before="0" w:after="0"/>
        <w:rPr/>
      </w:pPr>
      <w:r>
        <w:rPr/>
        <w:t>If an emerging growth company, indicate by check mark if the registrant has elected not to use the extended transition period for complying with any new or revised financial accounting standards provided pursuant to section 13(a) of the Exchange Act.  Yes ☐ No ☐</w:t>
      </w:r>
    </w:p>
    <w:p>
      <w:pPr>
        <w:pStyle w:val="TextBody"/>
        <w:spacing w:before="0" w:after="0"/>
        <w:rPr/>
      </w:pPr>
      <w:r>
        <w:rPr/>
      </w:r>
    </w:p>
    <w:p>
      <w:pPr>
        <w:pStyle w:val="TextBody"/>
        <w:spacing w:before="0" w:after="0"/>
        <w:rPr/>
      </w:pPr>
      <w:r>
        <w:rPr/>
        <w:t>Indicate by check mark whether the Registrant is a shell company (as defined in Rule 12b-2 of the Exchange Act).</w:t>
      </w:r>
    </w:p>
    <w:p>
      <w:pPr>
        <w:pStyle w:val="TextBody"/>
        <w:spacing w:before="0" w:after="0"/>
        <w:rPr/>
      </w:pPr>
      <w:r>
        <w:rPr/>
        <w:t>YES ☐  NO ☒</w:t>
      </w:r>
    </w:p>
    <w:p>
      <w:pPr>
        <w:pStyle w:val="TextBody"/>
        <w:spacing w:before="0" w:after="0"/>
        <w:rPr/>
      </w:pPr>
      <w:r>
        <w:rPr/>
      </w:r>
    </w:p>
    <w:p>
      <w:pPr>
        <w:pStyle w:val="TextBody"/>
        <w:spacing w:before="0" w:after="0"/>
        <w:rPr/>
      </w:pPr>
      <w:r>
        <w:rPr/>
        <w:t>Indicate the number of shares outstanding of each of the issuer’s classes of common stock, as of the latest practicable date: common stock, no par value, 22,499,498 as of August 1, 2019.</w:t>
      </w:r>
    </w:p>
    <w:p>
      <w:pPr>
        <w:pStyle w:val="TextBody"/>
        <w:spacing w:before="0" w:after="0"/>
        <w:rPr/>
      </w:pPr>
      <w:r>
        <w:rPr/>
      </w:r>
    </w:p>
    <w:p>
      <w:pPr>
        <w:pStyle w:val="HorizontalLine"/>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INDEPENDENT BANK CORPORATION AND SUBSIDIARIES</w:t>
      </w:r>
    </w:p>
    <w:p>
      <w:pPr>
        <w:pStyle w:val="TextBody"/>
        <w:spacing w:before="0" w:after="0"/>
        <w:rPr/>
      </w:pPr>
      <w:r>
        <w:rPr/>
      </w:r>
    </w:p>
    <w:p>
      <w:pPr>
        <w:pStyle w:val="TextBody"/>
        <w:spacing w:before="0" w:after="0"/>
        <w:jc w:val="center"/>
        <w:rPr>
          <w:u w:val="single"/>
        </w:rPr>
      </w:pPr>
      <w:bookmarkStart w:id="14" w:name="INDEX"/>
      <w:bookmarkEnd w:id="14"/>
      <w:r>
        <w:rPr>
          <w:u w:val="single"/>
        </w:rPr>
        <w:t>INDEX</w:t>
      </w:r>
    </w:p>
    <w:p>
      <w:pPr>
        <w:pStyle w:val="TextBody"/>
        <w:spacing w:before="0" w:after="0"/>
        <w:rPr/>
      </w:pPr>
      <w:r>
        <w:rPr/>
      </w:r>
    </w:p>
    <w:p>
      <w:pPr>
        <w:pStyle w:val="Normal"/>
        <w:spacing w:before="0" w:after="0"/>
        <w:rPr>
          <w:sz w:val="4"/>
          <w:szCs w:val="4"/>
        </w:rPr>
      </w:pPr>
      <w:r>
        <w:rPr>
          <w:sz w:val="4"/>
          <w:szCs w:val="4"/>
        </w:rPr>
      </w:r>
      <w:bookmarkStart w:id="15" w:name="zd9f7f7f91c5342bdb59dcdc2578e0154"/>
      <w:bookmarkStart w:id="16" w:name="zd9f7f7f91c5342bdb59dcdc2578e0154"/>
      <w:bookmarkEnd w:id="16"/>
    </w:p>
    <w:tbl>
      <w:tblPr>
        <w:tblW w:w="10205" w:type="dxa"/>
        <w:jc w:val="left"/>
        <w:tblInd w:w="0" w:type="dxa"/>
        <w:tblCellMar>
          <w:top w:w="0" w:type="dxa"/>
          <w:left w:w="0" w:type="dxa"/>
          <w:bottom w:w="0" w:type="dxa"/>
          <w:right w:w="0" w:type="dxa"/>
        </w:tblCellMar>
      </w:tblPr>
      <w:tblGrid>
        <w:gridCol w:w="878"/>
        <w:gridCol w:w="8341"/>
        <w:gridCol w:w="986"/>
      </w:tblGrid>
      <w:tr>
        <w:trPr/>
        <w:tc>
          <w:tcPr>
            <w:tcW w:w="878" w:type="dxa"/>
            <w:tcBorders/>
            <w:shd w:fill="auto" w:val="clear"/>
            <w:vAlign w:val="center"/>
          </w:tcPr>
          <w:p>
            <w:pPr>
              <w:pStyle w:val="TableContents"/>
              <w:spacing w:before="0" w:after="283"/>
              <w:rPr/>
            </w:pPr>
            <w:r>
              <w:rPr/>
            </w:r>
          </w:p>
        </w:tc>
        <w:tc>
          <w:tcPr>
            <w:tcW w:w="8341" w:type="dxa"/>
            <w:tcBorders/>
            <w:shd w:fill="auto" w:val="clear"/>
            <w:vAlign w:val="center"/>
          </w:tcPr>
          <w:p>
            <w:pPr>
              <w:pStyle w:val="TableContents"/>
              <w:spacing w:before="0" w:after="283"/>
              <w:rPr/>
            </w:pPr>
            <w:r>
              <w:rPr/>
            </w:r>
          </w:p>
        </w:tc>
        <w:tc>
          <w:tcPr>
            <w:tcW w:w="986" w:type="dxa"/>
            <w:tcBorders/>
            <w:shd w:fill="auto" w:val="clear"/>
            <w:vAlign w:val="center"/>
          </w:tcPr>
          <w:p>
            <w:pPr>
              <w:pStyle w:val="TableContents"/>
              <w:spacing w:before="0" w:after="0"/>
              <w:jc w:val="right"/>
              <w:rPr>
                <w:u w:val="single"/>
              </w:rPr>
            </w:pPr>
            <w:r>
              <w:rPr>
                <w:u w:val="single"/>
              </w:rPr>
              <w:t>Number(s)</w:t>
            </w:r>
          </w:p>
        </w:tc>
      </w:tr>
      <w:tr>
        <w:trPr/>
        <w:tc>
          <w:tcPr>
            <w:tcW w:w="878" w:type="dxa"/>
            <w:tcBorders/>
            <w:shd w:fill="auto" w:val="clear"/>
            <w:vAlign w:val="center"/>
          </w:tcPr>
          <w:p>
            <w:pPr>
              <w:pStyle w:val="TableContents"/>
              <w:spacing w:before="0" w:after="0"/>
              <w:rPr/>
            </w:pPr>
            <w:r>
              <w:rPr/>
              <w:t>PART I -</w:t>
            </w:r>
          </w:p>
        </w:tc>
        <w:tc>
          <w:tcPr>
            <w:tcW w:w="8341" w:type="dxa"/>
            <w:tcBorders/>
            <w:shd w:fill="auto" w:val="clear"/>
            <w:vAlign w:val="center"/>
          </w:tcPr>
          <w:p>
            <w:pPr>
              <w:pStyle w:val="TableContents"/>
              <w:spacing w:before="0" w:after="0"/>
              <w:rPr>
                <w:u w:val="single"/>
              </w:rPr>
            </w:pPr>
            <w:r>
              <w:rPr>
                <w:u w:val="single"/>
              </w:rPr>
              <w:t>Financial Information</w:t>
            </w:r>
          </w:p>
        </w:tc>
        <w:tc>
          <w:tcPr>
            <w:tcW w:w="986" w:type="dxa"/>
            <w:tcBorders/>
            <w:shd w:fill="auto" w:val="clear"/>
            <w:vAlign w:val="center"/>
          </w:tcPr>
          <w:p>
            <w:pPr>
              <w:pStyle w:val="TableContents"/>
              <w:spacing w:before="0" w:after="283"/>
              <w:rPr/>
            </w:pPr>
            <w:r>
              <w:rPr/>
            </w:r>
          </w:p>
        </w:tc>
      </w:tr>
      <w:tr>
        <w:trPr/>
        <w:tc>
          <w:tcPr>
            <w:tcW w:w="878" w:type="dxa"/>
            <w:tcBorders/>
            <w:shd w:fill="CCEEFF" w:val="clear"/>
            <w:vAlign w:val="center"/>
          </w:tcPr>
          <w:p>
            <w:pPr>
              <w:pStyle w:val="TableContents"/>
              <w:spacing w:before="0" w:after="0"/>
              <w:rPr/>
            </w:pPr>
            <w:r>
              <w:rPr/>
              <w:t>Item 1.</w:t>
            </w:r>
          </w:p>
        </w:tc>
        <w:tc>
          <w:tcPr>
            <w:tcW w:w="8341" w:type="dxa"/>
            <w:tcBorders/>
            <w:shd w:fill="CCEEFF" w:val="clear"/>
            <w:vAlign w:val="center"/>
          </w:tcPr>
          <w:p>
            <w:pPr>
              <w:pStyle w:val="TableContents"/>
              <w:spacing w:before="0" w:after="0"/>
              <w:ind w:left="180" w:right="0" w:hanging="180"/>
              <w:rPr/>
            </w:pPr>
            <w:hyperlink w:anchor="StatementsofFinancialCond">
              <w:r>
                <w:rPr>
                  <w:rStyle w:val="InternetLink"/>
                </w:rPr>
                <w:t>Condensed Consolidated Statements of Financial Condition June 30, 2019 and December 31, 2018</w:t>
              </w:r>
            </w:hyperlink>
          </w:p>
        </w:tc>
        <w:tc>
          <w:tcPr>
            <w:tcW w:w="986" w:type="dxa"/>
            <w:tcBorders/>
            <w:shd w:fill="CCEEFF" w:val="clear"/>
            <w:vAlign w:val="center"/>
          </w:tcPr>
          <w:p>
            <w:pPr>
              <w:pStyle w:val="TableContents"/>
              <w:spacing w:before="0" w:after="0"/>
              <w:jc w:val="right"/>
              <w:rPr/>
            </w:pPr>
            <w:r>
              <w:rPr/>
              <w:t>3</w:t>
            </w:r>
          </w:p>
        </w:tc>
      </w:tr>
      <w:tr>
        <w:trPr/>
        <w:tc>
          <w:tcPr>
            <w:tcW w:w="878" w:type="dxa"/>
            <w:tcBorders/>
            <w:shd w:fill="FFFFFF" w:val="clear"/>
            <w:vAlign w:val="center"/>
          </w:tcPr>
          <w:p>
            <w:pPr>
              <w:pStyle w:val="TableContents"/>
              <w:spacing w:before="0" w:after="283"/>
              <w:rPr/>
            </w:pPr>
            <w:r>
              <w:rPr/>
            </w:r>
          </w:p>
        </w:tc>
        <w:tc>
          <w:tcPr>
            <w:tcW w:w="8341" w:type="dxa"/>
            <w:tcBorders/>
            <w:shd w:fill="FFFFFF" w:val="clear"/>
            <w:vAlign w:val="center"/>
          </w:tcPr>
          <w:p>
            <w:pPr>
              <w:pStyle w:val="TableContents"/>
              <w:spacing w:before="0" w:after="0"/>
              <w:ind w:left="180" w:right="0" w:hanging="180"/>
              <w:rPr/>
            </w:pPr>
            <w:hyperlink w:anchor="StatementsofOperations">
              <w:r>
                <w:rPr>
                  <w:rStyle w:val="InternetLink"/>
                </w:rPr>
                <w:t>Condensed Consolidated Statements of Operations Three- and Six-month periods ended June 30, 2019 and 2018</w:t>
              </w:r>
            </w:hyperlink>
          </w:p>
        </w:tc>
        <w:tc>
          <w:tcPr>
            <w:tcW w:w="986" w:type="dxa"/>
            <w:tcBorders/>
            <w:shd w:fill="FFFFFF" w:val="clear"/>
            <w:vAlign w:val="center"/>
          </w:tcPr>
          <w:p>
            <w:pPr>
              <w:pStyle w:val="TableContents"/>
              <w:spacing w:before="0" w:after="0"/>
              <w:jc w:val="right"/>
              <w:rPr/>
            </w:pPr>
            <w:r>
              <w:rPr/>
              <w:t>4</w:t>
            </w:r>
          </w:p>
        </w:tc>
      </w:tr>
      <w:tr>
        <w:trPr/>
        <w:tc>
          <w:tcPr>
            <w:tcW w:w="878" w:type="dxa"/>
            <w:tcBorders/>
            <w:shd w:fill="CCEEFF" w:val="clear"/>
            <w:vAlign w:val="center"/>
          </w:tcPr>
          <w:p>
            <w:pPr>
              <w:pStyle w:val="TableContents"/>
              <w:spacing w:before="0" w:after="283"/>
              <w:rPr/>
            </w:pPr>
            <w:r>
              <w:rPr/>
            </w:r>
          </w:p>
        </w:tc>
        <w:tc>
          <w:tcPr>
            <w:tcW w:w="8341" w:type="dxa"/>
            <w:tcBorders/>
            <w:shd w:fill="CCEEFF" w:val="clear"/>
            <w:vAlign w:val="center"/>
          </w:tcPr>
          <w:p>
            <w:pPr>
              <w:pStyle w:val="TableContents"/>
              <w:spacing w:before="0" w:after="0"/>
              <w:ind w:left="180" w:right="0" w:hanging="180"/>
              <w:rPr/>
            </w:pPr>
            <w:hyperlink w:anchor="StatementsofComprehensive">
              <w:r>
                <w:rPr>
                  <w:rStyle w:val="InternetLink"/>
                </w:rPr>
                <w:t>Condensed Consolidated Statements of Comprehensive Income Three- and Six-month periods ended June 30, 2019 and 2018</w:t>
              </w:r>
            </w:hyperlink>
          </w:p>
        </w:tc>
        <w:tc>
          <w:tcPr>
            <w:tcW w:w="986" w:type="dxa"/>
            <w:tcBorders/>
            <w:shd w:fill="CCEEFF" w:val="clear"/>
            <w:vAlign w:val="center"/>
          </w:tcPr>
          <w:p>
            <w:pPr>
              <w:pStyle w:val="TableContents"/>
              <w:spacing w:before="0" w:after="0"/>
              <w:jc w:val="right"/>
              <w:rPr/>
            </w:pPr>
            <w:r>
              <w:rPr/>
              <w:t>5</w:t>
            </w:r>
          </w:p>
        </w:tc>
      </w:tr>
      <w:tr>
        <w:trPr/>
        <w:tc>
          <w:tcPr>
            <w:tcW w:w="878" w:type="dxa"/>
            <w:tcBorders/>
            <w:shd w:fill="FFFFFF" w:val="clear"/>
            <w:vAlign w:val="center"/>
          </w:tcPr>
          <w:p>
            <w:pPr>
              <w:pStyle w:val="TableContents"/>
              <w:spacing w:before="0" w:after="283"/>
              <w:rPr/>
            </w:pPr>
            <w:r>
              <w:rPr/>
            </w:r>
          </w:p>
        </w:tc>
        <w:tc>
          <w:tcPr>
            <w:tcW w:w="8341" w:type="dxa"/>
            <w:tcBorders/>
            <w:shd w:fill="FFFFFF" w:val="clear"/>
            <w:vAlign w:val="center"/>
          </w:tcPr>
          <w:p>
            <w:pPr>
              <w:pStyle w:val="TableContents"/>
              <w:spacing w:before="0" w:after="0"/>
              <w:ind w:left="180" w:right="0" w:hanging="180"/>
              <w:rPr/>
            </w:pPr>
            <w:hyperlink w:anchor="StatementsofCashFlows">
              <w:r>
                <w:rPr>
                  <w:rStyle w:val="InternetLink"/>
                </w:rPr>
                <w:t>Condensed Consolidated Statements of Cash Flows Six-month periods ended June 30, 2019 and 2018</w:t>
              </w:r>
            </w:hyperlink>
          </w:p>
        </w:tc>
        <w:tc>
          <w:tcPr>
            <w:tcW w:w="986" w:type="dxa"/>
            <w:tcBorders/>
            <w:shd w:fill="FFFFFF" w:val="clear"/>
            <w:vAlign w:val="center"/>
          </w:tcPr>
          <w:p>
            <w:pPr>
              <w:pStyle w:val="TableContents"/>
              <w:spacing w:before="0" w:after="0"/>
              <w:jc w:val="right"/>
              <w:rPr/>
            </w:pPr>
            <w:r>
              <w:rPr/>
              <w:t>6</w:t>
            </w:r>
          </w:p>
        </w:tc>
      </w:tr>
      <w:tr>
        <w:trPr/>
        <w:tc>
          <w:tcPr>
            <w:tcW w:w="878" w:type="dxa"/>
            <w:tcBorders/>
            <w:shd w:fill="CCEEFF" w:val="clear"/>
            <w:vAlign w:val="center"/>
          </w:tcPr>
          <w:p>
            <w:pPr>
              <w:pStyle w:val="TableContents"/>
              <w:spacing w:before="0" w:after="283"/>
              <w:rPr/>
            </w:pPr>
            <w:r>
              <w:rPr/>
            </w:r>
          </w:p>
        </w:tc>
        <w:tc>
          <w:tcPr>
            <w:tcW w:w="8341" w:type="dxa"/>
            <w:tcBorders/>
            <w:shd w:fill="CCEEFF" w:val="clear"/>
            <w:vAlign w:val="center"/>
          </w:tcPr>
          <w:p>
            <w:pPr>
              <w:pStyle w:val="TableContents"/>
              <w:spacing w:before="0" w:after="0"/>
              <w:ind w:left="180" w:right="0" w:hanging="180"/>
              <w:rPr/>
            </w:pPr>
            <w:hyperlink w:anchor="StatementsofShareholdersE">
              <w:r>
                <w:rPr>
                  <w:rStyle w:val="InternetLink"/>
                </w:rPr>
                <w:t>Condensed Consolidated Statements of Shareholders’ Equity Three- and Six-month periods ended June 30, 2019 and 2018</w:t>
              </w:r>
            </w:hyperlink>
          </w:p>
        </w:tc>
        <w:tc>
          <w:tcPr>
            <w:tcW w:w="986" w:type="dxa"/>
            <w:tcBorders/>
            <w:shd w:fill="CCEEFF" w:val="clear"/>
            <w:vAlign w:val="center"/>
          </w:tcPr>
          <w:p>
            <w:pPr>
              <w:pStyle w:val="TableContents"/>
              <w:spacing w:before="0" w:after="0"/>
              <w:jc w:val="right"/>
              <w:rPr/>
            </w:pPr>
            <w:r>
              <w:rPr/>
              <w:t>7</w:t>
            </w:r>
          </w:p>
        </w:tc>
      </w:tr>
      <w:tr>
        <w:trPr/>
        <w:tc>
          <w:tcPr>
            <w:tcW w:w="878" w:type="dxa"/>
            <w:tcBorders/>
            <w:shd w:fill="FFFFFF" w:val="clear"/>
            <w:vAlign w:val="center"/>
          </w:tcPr>
          <w:p>
            <w:pPr>
              <w:pStyle w:val="TableContents"/>
              <w:spacing w:before="0" w:after="283"/>
              <w:rPr/>
            </w:pPr>
            <w:r>
              <w:rPr/>
            </w:r>
          </w:p>
        </w:tc>
        <w:tc>
          <w:tcPr>
            <w:tcW w:w="8341" w:type="dxa"/>
            <w:tcBorders/>
            <w:shd w:fill="FFFFFF" w:val="clear"/>
            <w:vAlign w:val="center"/>
          </w:tcPr>
          <w:p>
            <w:pPr>
              <w:pStyle w:val="TableContents"/>
              <w:spacing w:before="0" w:after="0"/>
              <w:ind w:left="180" w:right="0" w:hanging="180"/>
              <w:rPr/>
            </w:pPr>
            <w:hyperlink w:anchor="NOTESTOINTERIMCONDENSEDCO">
              <w:r>
                <w:rPr>
                  <w:rStyle w:val="InternetLink"/>
                </w:rPr>
                <w:t>Notes to Interim Condensed Consolidated Financial Statements</w:t>
              </w:r>
            </w:hyperlink>
          </w:p>
        </w:tc>
        <w:tc>
          <w:tcPr>
            <w:tcW w:w="986" w:type="dxa"/>
            <w:tcBorders/>
            <w:shd w:fill="FFFFFF" w:val="clear"/>
            <w:vAlign w:val="center"/>
          </w:tcPr>
          <w:p>
            <w:pPr>
              <w:pStyle w:val="TableContents"/>
              <w:spacing w:before="0" w:after="0"/>
              <w:jc w:val="right"/>
              <w:rPr/>
            </w:pPr>
            <w:r>
              <w:rPr/>
              <w:t>8-66</w:t>
            </w:r>
          </w:p>
        </w:tc>
      </w:tr>
      <w:tr>
        <w:trPr/>
        <w:tc>
          <w:tcPr>
            <w:tcW w:w="878" w:type="dxa"/>
            <w:tcBorders/>
            <w:shd w:fill="CCEEFF" w:val="clear"/>
            <w:vAlign w:val="center"/>
          </w:tcPr>
          <w:p>
            <w:pPr>
              <w:pStyle w:val="TableContents"/>
              <w:spacing w:before="0" w:after="0"/>
              <w:rPr/>
            </w:pPr>
            <w:r>
              <w:rPr/>
              <w:t>Item 2.</w:t>
            </w:r>
          </w:p>
        </w:tc>
        <w:tc>
          <w:tcPr>
            <w:tcW w:w="8341" w:type="dxa"/>
            <w:tcBorders/>
            <w:shd w:fill="CCEEFF" w:val="clear"/>
            <w:vAlign w:val="center"/>
          </w:tcPr>
          <w:p>
            <w:pPr>
              <w:pStyle w:val="TableContents"/>
              <w:spacing w:before="0" w:after="0"/>
              <w:ind w:left="180" w:right="0" w:hanging="180"/>
              <w:rPr/>
            </w:pPr>
            <w:hyperlink w:anchor="ManagementsDiscussionandA">
              <w:r>
                <w:rPr>
                  <w:rStyle w:val="InternetLink"/>
                </w:rPr>
                <w:t>Management’s Discussion and Analysis of Financial Condition and Results of Operations</w:t>
              </w:r>
            </w:hyperlink>
          </w:p>
        </w:tc>
        <w:tc>
          <w:tcPr>
            <w:tcW w:w="986" w:type="dxa"/>
            <w:tcBorders/>
            <w:shd w:fill="CCEEFF" w:val="clear"/>
            <w:vAlign w:val="center"/>
          </w:tcPr>
          <w:p>
            <w:pPr>
              <w:pStyle w:val="TableContents"/>
              <w:spacing w:before="0" w:after="0"/>
              <w:jc w:val="right"/>
              <w:rPr/>
            </w:pPr>
            <w:r>
              <w:rPr/>
              <w:t>66-88</w:t>
            </w:r>
          </w:p>
        </w:tc>
      </w:tr>
      <w:tr>
        <w:trPr/>
        <w:tc>
          <w:tcPr>
            <w:tcW w:w="878" w:type="dxa"/>
            <w:tcBorders/>
            <w:shd w:fill="FFFFFF" w:val="clear"/>
            <w:vAlign w:val="center"/>
          </w:tcPr>
          <w:p>
            <w:pPr>
              <w:pStyle w:val="TableContents"/>
              <w:spacing w:before="0" w:after="0"/>
              <w:rPr/>
            </w:pPr>
            <w:r>
              <w:rPr/>
              <w:t>Item 3.</w:t>
            </w:r>
          </w:p>
        </w:tc>
        <w:tc>
          <w:tcPr>
            <w:tcW w:w="8341" w:type="dxa"/>
            <w:tcBorders/>
            <w:shd w:fill="FFFFFF" w:val="clear"/>
            <w:vAlign w:val="center"/>
          </w:tcPr>
          <w:p>
            <w:pPr>
              <w:pStyle w:val="TableContents"/>
              <w:spacing w:before="0" w:after="0"/>
              <w:ind w:left="180" w:right="0" w:hanging="180"/>
              <w:rPr/>
            </w:pPr>
            <w:hyperlink w:anchor="QuantitativeandQualitativ">
              <w:r>
                <w:rPr>
                  <w:rStyle w:val="InternetLink"/>
                </w:rPr>
                <w:t>Quantitative and Qualitative Disclosures about Market Risk</w:t>
              </w:r>
            </w:hyperlink>
          </w:p>
        </w:tc>
        <w:tc>
          <w:tcPr>
            <w:tcW w:w="986" w:type="dxa"/>
            <w:tcBorders/>
            <w:shd w:fill="FFFFFF" w:val="clear"/>
            <w:vAlign w:val="center"/>
          </w:tcPr>
          <w:p>
            <w:pPr>
              <w:pStyle w:val="TableContents"/>
              <w:spacing w:before="0" w:after="0"/>
              <w:jc w:val="right"/>
              <w:rPr/>
            </w:pPr>
            <w:r>
              <w:rPr/>
              <w:t>89</w:t>
            </w:r>
          </w:p>
        </w:tc>
      </w:tr>
      <w:tr>
        <w:trPr/>
        <w:tc>
          <w:tcPr>
            <w:tcW w:w="878" w:type="dxa"/>
            <w:tcBorders/>
            <w:shd w:fill="CCEEFF" w:val="clear"/>
            <w:vAlign w:val="center"/>
          </w:tcPr>
          <w:p>
            <w:pPr>
              <w:pStyle w:val="TableContents"/>
              <w:spacing w:before="0" w:after="0"/>
              <w:rPr/>
            </w:pPr>
            <w:r>
              <w:rPr/>
              <w:t>Item 4.</w:t>
            </w:r>
          </w:p>
        </w:tc>
        <w:tc>
          <w:tcPr>
            <w:tcW w:w="8341" w:type="dxa"/>
            <w:tcBorders/>
            <w:shd w:fill="CCEEFF" w:val="clear"/>
            <w:vAlign w:val="center"/>
          </w:tcPr>
          <w:p>
            <w:pPr>
              <w:pStyle w:val="TableContents"/>
              <w:spacing w:before="0" w:after="0"/>
              <w:ind w:left="180" w:right="0" w:hanging="180"/>
              <w:rPr/>
            </w:pPr>
            <w:hyperlink w:anchor="ControlsandProcedures">
              <w:r>
                <w:rPr>
                  <w:rStyle w:val="InternetLink"/>
                </w:rPr>
                <w:t>Controls and Procedures</w:t>
              </w:r>
            </w:hyperlink>
          </w:p>
        </w:tc>
        <w:tc>
          <w:tcPr>
            <w:tcW w:w="986" w:type="dxa"/>
            <w:tcBorders/>
            <w:shd w:fill="CCEEFF" w:val="clear"/>
            <w:vAlign w:val="center"/>
          </w:tcPr>
          <w:p>
            <w:pPr>
              <w:pStyle w:val="TableContents"/>
              <w:spacing w:before="0" w:after="0"/>
              <w:jc w:val="right"/>
              <w:rPr/>
            </w:pPr>
            <w:r>
              <w:rPr/>
              <w:t>89</w:t>
            </w:r>
          </w:p>
        </w:tc>
      </w:tr>
      <w:tr>
        <w:trPr/>
        <w:tc>
          <w:tcPr>
            <w:tcW w:w="878" w:type="dxa"/>
            <w:tcBorders/>
            <w:shd w:fill="FFFFFF" w:val="clear"/>
            <w:vAlign w:val="center"/>
          </w:tcPr>
          <w:p>
            <w:pPr>
              <w:pStyle w:val="TableContents"/>
              <w:spacing w:before="0" w:after="283"/>
              <w:ind w:left="180" w:right="0" w:hanging="180"/>
              <w:rPr/>
            </w:pPr>
            <w:r>
              <w:rPr/>
            </w:r>
          </w:p>
        </w:tc>
        <w:tc>
          <w:tcPr>
            <w:tcW w:w="8341" w:type="dxa"/>
            <w:tcBorders/>
            <w:shd w:fill="FFFFFF" w:val="clear"/>
            <w:vAlign w:val="center"/>
          </w:tcPr>
          <w:p>
            <w:pPr>
              <w:pStyle w:val="TableContents"/>
              <w:spacing w:before="0" w:after="283"/>
              <w:rPr/>
            </w:pPr>
            <w:r>
              <w:rPr/>
            </w:r>
          </w:p>
        </w:tc>
        <w:tc>
          <w:tcPr>
            <w:tcW w:w="986" w:type="dxa"/>
            <w:tcBorders/>
            <w:shd w:fill="FFFFFF" w:val="clear"/>
            <w:vAlign w:val="center"/>
          </w:tcPr>
          <w:p>
            <w:pPr>
              <w:pStyle w:val="TableContents"/>
              <w:spacing w:before="0" w:after="283"/>
              <w:rPr/>
            </w:pPr>
            <w:r>
              <w:rPr/>
            </w:r>
          </w:p>
        </w:tc>
      </w:tr>
      <w:tr>
        <w:trPr/>
        <w:tc>
          <w:tcPr>
            <w:tcW w:w="878" w:type="dxa"/>
            <w:tcBorders/>
            <w:shd w:fill="CCEEFF" w:val="clear"/>
            <w:vAlign w:val="center"/>
          </w:tcPr>
          <w:p>
            <w:pPr>
              <w:pStyle w:val="TableContents"/>
              <w:spacing w:before="0" w:after="0"/>
              <w:rPr/>
            </w:pPr>
            <w:r>
              <w:rPr/>
              <w:t>PART II -</w:t>
            </w:r>
          </w:p>
        </w:tc>
        <w:tc>
          <w:tcPr>
            <w:tcW w:w="8341" w:type="dxa"/>
            <w:tcBorders/>
            <w:shd w:fill="CCEEFF" w:val="clear"/>
            <w:vAlign w:val="center"/>
          </w:tcPr>
          <w:p>
            <w:pPr>
              <w:pStyle w:val="TableContents"/>
              <w:spacing w:before="0" w:after="0"/>
              <w:ind w:left="180" w:right="0" w:hanging="180"/>
              <w:rPr>
                <w:u w:val="single"/>
              </w:rPr>
            </w:pPr>
            <w:r>
              <w:rPr>
                <w:u w:val="single"/>
              </w:rPr>
              <w:t>Other Information</w:t>
            </w:r>
          </w:p>
        </w:tc>
        <w:tc>
          <w:tcPr>
            <w:tcW w:w="986" w:type="dxa"/>
            <w:tcBorders/>
            <w:shd w:fill="CCEEFF" w:val="clear"/>
            <w:vAlign w:val="center"/>
          </w:tcPr>
          <w:p>
            <w:pPr>
              <w:pStyle w:val="TableContents"/>
              <w:spacing w:before="0" w:after="283"/>
              <w:rPr/>
            </w:pPr>
            <w:r>
              <w:rPr/>
            </w:r>
          </w:p>
        </w:tc>
      </w:tr>
      <w:tr>
        <w:trPr/>
        <w:tc>
          <w:tcPr>
            <w:tcW w:w="878" w:type="dxa"/>
            <w:tcBorders/>
            <w:shd w:fill="FFFFFF" w:val="clear"/>
            <w:vAlign w:val="center"/>
          </w:tcPr>
          <w:p>
            <w:pPr>
              <w:pStyle w:val="TableContents"/>
              <w:spacing w:before="0" w:after="0"/>
              <w:rPr/>
            </w:pPr>
            <w:r>
              <w:rPr/>
              <w:t>Item 1A</w:t>
            </w:r>
          </w:p>
        </w:tc>
        <w:tc>
          <w:tcPr>
            <w:tcW w:w="8341" w:type="dxa"/>
            <w:tcBorders/>
            <w:shd w:fill="FFFFFF" w:val="clear"/>
            <w:vAlign w:val="center"/>
          </w:tcPr>
          <w:p>
            <w:pPr>
              <w:pStyle w:val="TableContents"/>
              <w:spacing w:before="0" w:after="0"/>
              <w:ind w:left="180" w:right="0" w:hanging="180"/>
              <w:rPr/>
            </w:pPr>
            <w:hyperlink w:anchor="RiskFactors">
              <w:r>
                <w:rPr>
                  <w:rStyle w:val="InternetLink"/>
                </w:rPr>
                <w:t>Risk Factors</w:t>
              </w:r>
            </w:hyperlink>
          </w:p>
        </w:tc>
        <w:tc>
          <w:tcPr>
            <w:tcW w:w="986" w:type="dxa"/>
            <w:tcBorders/>
            <w:shd w:fill="FFFFFF" w:val="clear"/>
            <w:vAlign w:val="center"/>
          </w:tcPr>
          <w:p>
            <w:pPr>
              <w:pStyle w:val="TableContents"/>
              <w:spacing w:before="0" w:after="0"/>
              <w:jc w:val="right"/>
              <w:rPr/>
            </w:pPr>
            <w:r>
              <w:rPr/>
              <w:t>90</w:t>
            </w:r>
          </w:p>
        </w:tc>
      </w:tr>
      <w:tr>
        <w:trPr/>
        <w:tc>
          <w:tcPr>
            <w:tcW w:w="878" w:type="dxa"/>
            <w:tcBorders/>
            <w:shd w:fill="CCEEFF" w:val="clear"/>
            <w:vAlign w:val="center"/>
          </w:tcPr>
          <w:p>
            <w:pPr>
              <w:pStyle w:val="TableContents"/>
              <w:spacing w:before="0" w:after="0"/>
              <w:rPr/>
            </w:pPr>
            <w:r>
              <w:rPr/>
              <w:t>Item 2.</w:t>
            </w:r>
          </w:p>
        </w:tc>
        <w:tc>
          <w:tcPr>
            <w:tcW w:w="8341" w:type="dxa"/>
            <w:tcBorders/>
            <w:shd w:fill="CCEEFF" w:val="clear"/>
            <w:vAlign w:val="center"/>
          </w:tcPr>
          <w:p>
            <w:pPr>
              <w:pStyle w:val="TableContents"/>
              <w:spacing w:before="0" w:after="0"/>
              <w:ind w:left="180" w:right="0" w:hanging="180"/>
              <w:rPr/>
            </w:pPr>
            <w:hyperlink w:anchor="UnregisteredSalesofEquity">
              <w:r>
                <w:rPr>
                  <w:rStyle w:val="InternetLink"/>
                </w:rPr>
                <w:t>Unregistered Sales of Equity Securities and Use of Proceeds</w:t>
              </w:r>
            </w:hyperlink>
          </w:p>
        </w:tc>
        <w:tc>
          <w:tcPr>
            <w:tcW w:w="986" w:type="dxa"/>
            <w:tcBorders/>
            <w:shd w:fill="CCEEFF" w:val="clear"/>
            <w:vAlign w:val="center"/>
          </w:tcPr>
          <w:p>
            <w:pPr>
              <w:pStyle w:val="TableContents"/>
              <w:spacing w:before="0" w:after="0"/>
              <w:jc w:val="right"/>
              <w:rPr/>
            </w:pPr>
            <w:r>
              <w:rPr/>
              <w:t>90</w:t>
            </w:r>
          </w:p>
        </w:tc>
      </w:tr>
      <w:tr>
        <w:trPr/>
        <w:tc>
          <w:tcPr>
            <w:tcW w:w="878" w:type="dxa"/>
            <w:tcBorders/>
            <w:shd w:fill="FFFFFF" w:val="clear"/>
            <w:vAlign w:val="center"/>
          </w:tcPr>
          <w:p>
            <w:pPr>
              <w:pStyle w:val="TableContents"/>
              <w:spacing w:before="0" w:after="0"/>
              <w:rPr/>
            </w:pPr>
            <w:r>
              <w:rPr/>
              <w:t>Item 6.</w:t>
            </w:r>
          </w:p>
        </w:tc>
        <w:tc>
          <w:tcPr>
            <w:tcW w:w="8341" w:type="dxa"/>
            <w:tcBorders/>
            <w:shd w:fill="FFFFFF" w:val="clear"/>
            <w:vAlign w:val="center"/>
          </w:tcPr>
          <w:p>
            <w:pPr>
              <w:pStyle w:val="TableContents"/>
              <w:spacing w:before="0" w:after="0"/>
              <w:ind w:left="180" w:right="0" w:hanging="180"/>
              <w:rPr/>
            </w:pPr>
            <w:hyperlink w:anchor="Exhibits">
              <w:r>
                <w:rPr>
                  <w:rStyle w:val="InternetLink"/>
                </w:rPr>
                <w:t>Exhibits</w:t>
              </w:r>
            </w:hyperlink>
          </w:p>
        </w:tc>
        <w:tc>
          <w:tcPr>
            <w:tcW w:w="986" w:type="dxa"/>
            <w:tcBorders/>
            <w:shd w:fill="FFFFFF" w:val="clear"/>
            <w:vAlign w:val="center"/>
          </w:tcPr>
          <w:p>
            <w:pPr>
              <w:pStyle w:val="TableContents"/>
              <w:spacing w:before="0" w:after="0"/>
              <w:jc w:val="right"/>
              <w:rPr/>
            </w:pPr>
            <w:r>
              <w:rPr/>
              <w:t>91</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 w:name="DSPFPageBreakArea"/>
      <w:bookmarkStart w:id="18" w:name="DSPFPageBreakArea"/>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9" w:name="DSPFPageNumber"/>
      <w:bookmarkEnd w:id="19"/>
      <w:r>
        <w:rPr>
          <w:b w:val="false"/>
          <w:i w:val="false"/>
          <w:caps w:val="false"/>
          <w:smallCaps w:val="false"/>
          <w:sz w:val="13"/>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 w:name="DSPFPageBreak"/>
      <w:bookmarkStart w:id="21" w:name="DSPFPageBreak"/>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FORWARD-LOOKING STATEMENTS</w:t>
      </w:r>
    </w:p>
    <w:p>
      <w:pPr>
        <w:pStyle w:val="TextBody"/>
        <w:spacing w:before="0" w:after="0"/>
        <w:rPr/>
      </w:pPr>
      <w:r>
        <w:rPr/>
      </w:r>
    </w:p>
    <w:p>
      <w:pPr>
        <w:pStyle w:val="TextBody"/>
        <w:spacing w:before="0" w:after="0"/>
        <w:jc w:val="both"/>
        <w:rPr/>
      </w:pPr>
      <w:r>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pStyle w:val="Normal"/>
        <w:spacing w:before="0" w:after="0"/>
        <w:rPr>
          <w:sz w:val="4"/>
          <w:szCs w:val="4"/>
        </w:rPr>
      </w:pPr>
      <w:r>
        <w:rPr>
          <w:sz w:val="4"/>
          <w:szCs w:val="4"/>
        </w:rPr>
      </w:r>
      <w:bookmarkStart w:id="22" w:name="z6f0bf1d91cec49349eae229b13bf33f9"/>
      <w:bookmarkStart w:id="23" w:name="z6f0bf1d91cec49349eae229b13bf33f9"/>
      <w:bookmarkEnd w:id="23"/>
    </w:p>
    <w:tbl>
      <w:tblPr>
        <w:tblW w:w="9468" w:type="dxa"/>
        <w:jc w:val="left"/>
        <w:tblInd w:w="0" w:type="dxa"/>
        <w:tblCellMar>
          <w:top w:w="0" w:type="dxa"/>
          <w:left w:w="0" w:type="dxa"/>
          <w:bottom w:w="0" w:type="dxa"/>
          <w:right w:w="0" w:type="dxa"/>
        </w:tblCellMar>
      </w:tblPr>
      <w:tblGrid>
        <w:gridCol w:w="38"/>
        <w:gridCol w:w="110"/>
        <w:gridCol w:w="93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320" w:type="dxa"/>
            <w:tcBorders/>
            <w:shd w:fill="auto" w:val="clear"/>
            <w:vAlign w:val="center"/>
          </w:tcPr>
          <w:p>
            <w:pPr>
              <w:pStyle w:val="TableContents"/>
              <w:spacing w:before="0" w:after="0"/>
              <w:rPr/>
            </w:pPr>
            <w:r>
              <w:rPr/>
              <w:t>economic, market, operational, liquidity, credit, and interest rate risks associated with our business;</w:t>
            </w:r>
          </w:p>
        </w:tc>
      </w:tr>
    </w:tbl>
    <w:p>
      <w:pPr>
        <w:pStyle w:val="Normal"/>
        <w:spacing w:before="0" w:after="0"/>
        <w:rPr>
          <w:sz w:val="4"/>
          <w:szCs w:val="4"/>
        </w:rPr>
      </w:pPr>
      <w:r>
        <w:rPr>
          <w:sz w:val="4"/>
          <w:szCs w:val="4"/>
        </w:rPr>
      </w:r>
      <w:bookmarkStart w:id="24" w:name="z759b0741e952444e8f4679d79fc2797c"/>
      <w:bookmarkStart w:id="25" w:name="z759b0741e952444e8f4679d79fc2797c"/>
      <w:bookmarkEnd w:id="2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economic conditions generally and in the financial services industry, particularly economic conditions within Michigan and the regional and local real estate markets in which our bank operates;</w:t>
            </w:r>
          </w:p>
        </w:tc>
      </w:tr>
    </w:tbl>
    <w:p>
      <w:pPr>
        <w:pStyle w:val="Normal"/>
        <w:spacing w:before="0" w:after="0"/>
        <w:rPr>
          <w:sz w:val="4"/>
          <w:szCs w:val="4"/>
        </w:rPr>
      </w:pPr>
      <w:r>
        <w:rPr>
          <w:sz w:val="4"/>
          <w:szCs w:val="4"/>
        </w:rPr>
      </w:r>
      <w:bookmarkStart w:id="26" w:name="z507ca56e352d41c98c5b9f113279c9dc"/>
      <w:bookmarkStart w:id="27" w:name="z507ca56e352d41c98c5b9f113279c9dc"/>
      <w:bookmarkEnd w:id="2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the failure of assumptions underlying the establishment of, and provisions made to, our allowance for loan losses;</w:t>
            </w:r>
          </w:p>
        </w:tc>
      </w:tr>
    </w:tbl>
    <w:p>
      <w:pPr>
        <w:pStyle w:val="Normal"/>
        <w:spacing w:before="0" w:after="0"/>
        <w:rPr>
          <w:sz w:val="4"/>
          <w:szCs w:val="4"/>
        </w:rPr>
      </w:pPr>
      <w:r>
        <w:rPr>
          <w:sz w:val="4"/>
          <w:szCs w:val="4"/>
        </w:rPr>
      </w:r>
      <w:bookmarkStart w:id="28" w:name="z606f0cb1a5e046d795bcd1590cd3c067"/>
      <w:bookmarkStart w:id="29" w:name="z606f0cb1a5e046d795bcd1590cd3c067"/>
      <w:bookmarkEnd w:id="29"/>
    </w:p>
    <w:tbl>
      <w:tblPr>
        <w:tblW w:w="8283" w:type="dxa"/>
        <w:jc w:val="left"/>
        <w:tblInd w:w="0" w:type="dxa"/>
        <w:tblCellMar>
          <w:top w:w="0" w:type="dxa"/>
          <w:left w:w="0" w:type="dxa"/>
          <w:bottom w:w="0" w:type="dxa"/>
          <w:right w:w="0" w:type="dxa"/>
        </w:tblCellMar>
      </w:tblPr>
      <w:tblGrid>
        <w:gridCol w:w="38"/>
        <w:gridCol w:w="110"/>
        <w:gridCol w:w="81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135" w:type="dxa"/>
            <w:tcBorders/>
            <w:shd w:fill="auto" w:val="clear"/>
            <w:vAlign w:val="center"/>
          </w:tcPr>
          <w:p>
            <w:pPr>
              <w:pStyle w:val="TableContents"/>
              <w:spacing w:before="0" w:after="0"/>
              <w:rPr/>
            </w:pPr>
            <w:r>
              <w:rPr/>
              <w:t>increased competition in the financial services industry, either nationally or regionally;</w:t>
            </w:r>
          </w:p>
        </w:tc>
      </w:tr>
    </w:tbl>
    <w:p>
      <w:pPr>
        <w:pStyle w:val="Normal"/>
        <w:spacing w:before="0" w:after="0"/>
        <w:rPr>
          <w:sz w:val="4"/>
          <w:szCs w:val="4"/>
        </w:rPr>
      </w:pPr>
      <w:r>
        <w:rPr>
          <w:sz w:val="4"/>
          <w:szCs w:val="4"/>
        </w:rPr>
      </w:r>
      <w:bookmarkStart w:id="30" w:name="z4bdde0d3cb63459aad7da989d4a38fa4"/>
      <w:bookmarkStart w:id="31" w:name="z4bdde0d3cb63459aad7da989d4a38fa4"/>
      <w:bookmarkEnd w:id="31"/>
    </w:p>
    <w:tbl>
      <w:tblPr>
        <w:tblW w:w="4563" w:type="dxa"/>
        <w:jc w:val="left"/>
        <w:tblInd w:w="0" w:type="dxa"/>
        <w:tblCellMar>
          <w:top w:w="0" w:type="dxa"/>
          <w:left w:w="0" w:type="dxa"/>
          <w:bottom w:w="0" w:type="dxa"/>
          <w:right w:w="0" w:type="dxa"/>
        </w:tblCellMar>
      </w:tblPr>
      <w:tblGrid>
        <w:gridCol w:w="38"/>
        <w:gridCol w:w="110"/>
        <w:gridCol w:w="44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415" w:type="dxa"/>
            <w:tcBorders/>
            <w:shd w:fill="auto" w:val="clear"/>
            <w:vAlign w:val="center"/>
          </w:tcPr>
          <w:p>
            <w:pPr>
              <w:pStyle w:val="TableContents"/>
              <w:spacing w:before="0" w:after="0"/>
              <w:rPr/>
            </w:pPr>
            <w:r>
              <w:rPr/>
              <w:t>our ability to achieve loan and deposit growth;</w:t>
            </w:r>
          </w:p>
        </w:tc>
      </w:tr>
    </w:tbl>
    <w:p>
      <w:pPr>
        <w:pStyle w:val="Normal"/>
        <w:spacing w:before="0" w:after="0"/>
        <w:rPr>
          <w:sz w:val="4"/>
          <w:szCs w:val="4"/>
        </w:rPr>
      </w:pPr>
      <w:r>
        <w:rPr>
          <w:sz w:val="4"/>
          <w:szCs w:val="4"/>
        </w:rPr>
      </w:r>
      <w:bookmarkStart w:id="32" w:name="z1bff73ea20594205828c8455ed89daf4"/>
      <w:bookmarkStart w:id="33" w:name="z1bff73ea20594205828c8455ed89daf4"/>
      <w:bookmarkEnd w:id="33"/>
    </w:p>
    <w:tbl>
      <w:tblPr>
        <w:tblW w:w="4548" w:type="dxa"/>
        <w:jc w:val="left"/>
        <w:tblInd w:w="0" w:type="dxa"/>
        <w:tblCellMar>
          <w:top w:w="0" w:type="dxa"/>
          <w:left w:w="0" w:type="dxa"/>
          <w:bottom w:w="0" w:type="dxa"/>
          <w:right w:w="0" w:type="dxa"/>
        </w:tblCellMar>
      </w:tblPr>
      <w:tblGrid>
        <w:gridCol w:w="38"/>
        <w:gridCol w:w="110"/>
        <w:gridCol w:w="440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400" w:type="dxa"/>
            <w:tcBorders/>
            <w:shd w:fill="auto" w:val="clear"/>
            <w:vAlign w:val="center"/>
          </w:tcPr>
          <w:p>
            <w:pPr>
              <w:pStyle w:val="TableContents"/>
              <w:spacing w:before="0" w:after="0"/>
              <w:rPr/>
            </w:pPr>
            <w:r>
              <w:rPr/>
              <w:t>volatility and direction of market interest rates;</w:t>
            </w:r>
          </w:p>
        </w:tc>
      </w:tr>
    </w:tbl>
    <w:p>
      <w:pPr>
        <w:pStyle w:val="Normal"/>
        <w:spacing w:before="0" w:after="0"/>
        <w:rPr>
          <w:sz w:val="4"/>
          <w:szCs w:val="4"/>
        </w:rPr>
      </w:pPr>
      <w:r>
        <w:rPr>
          <w:sz w:val="4"/>
          <w:szCs w:val="4"/>
        </w:rPr>
      </w:r>
      <w:bookmarkStart w:id="34" w:name="z422198cc459f4e83b19a2a1991299372"/>
      <w:bookmarkStart w:id="35" w:name="z422198cc459f4e83b19a2a1991299372"/>
      <w:bookmarkEnd w:id="35"/>
    </w:p>
    <w:tbl>
      <w:tblPr>
        <w:tblW w:w="5133" w:type="dxa"/>
        <w:jc w:val="left"/>
        <w:tblInd w:w="0" w:type="dxa"/>
        <w:tblCellMar>
          <w:top w:w="0" w:type="dxa"/>
          <w:left w:w="0" w:type="dxa"/>
          <w:bottom w:w="0" w:type="dxa"/>
          <w:right w:w="0" w:type="dxa"/>
        </w:tblCellMar>
      </w:tblPr>
      <w:tblGrid>
        <w:gridCol w:w="38"/>
        <w:gridCol w:w="110"/>
        <w:gridCol w:w="49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985" w:type="dxa"/>
            <w:tcBorders/>
            <w:shd w:fill="auto" w:val="clear"/>
            <w:vAlign w:val="center"/>
          </w:tcPr>
          <w:p>
            <w:pPr>
              <w:pStyle w:val="TableContents"/>
              <w:spacing w:before="0" w:after="0"/>
              <w:rPr/>
            </w:pPr>
            <w:r>
              <w:rPr/>
              <w:t>the continued services of our management team; and</w:t>
            </w:r>
          </w:p>
        </w:tc>
      </w:tr>
    </w:tbl>
    <w:p>
      <w:pPr>
        <w:pStyle w:val="Normal"/>
        <w:spacing w:before="0" w:after="0"/>
        <w:rPr>
          <w:sz w:val="4"/>
          <w:szCs w:val="4"/>
        </w:rPr>
      </w:pPr>
      <w:r>
        <w:rPr>
          <w:sz w:val="4"/>
          <w:szCs w:val="4"/>
        </w:rPr>
      </w:r>
      <w:bookmarkStart w:id="36" w:name="z3197e6f483e14ce1955a85d409bac4af"/>
      <w:bookmarkStart w:id="37" w:name="z3197e6f483e14ce1955a85d409bac4af"/>
      <w:bookmarkEnd w:id="3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implementation of new legislation, which may have significant effects on us and the financial services industry.</w:t>
            </w:r>
          </w:p>
        </w:tc>
      </w:tr>
    </w:tbl>
    <w:p>
      <w:pPr>
        <w:pStyle w:val="TextBody"/>
        <w:spacing w:before="0" w:after="0"/>
        <w:rPr/>
      </w:pPr>
      <w:r>
        <w:rPr/>
      </w:r>
    </w:p>
    <w:p>
      <w:pPr>
        <w:pStyle w:val="TextBody"/>
        <w:spacing w:before="0" w:after="0"/>
        <w:jc w:val="both"/>
        <w:rPr/>
      </w:pPr>
      <w:r>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2018,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8" w:name="DSPFPageBreakArea1"/>
      <w:bookmarkStart w:id="39" w:name="DSPFPageBreakArea1"/>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40" w:name="DSPFPageNumber1"/>
      <w:bookmarkStart w:id="41" w:name="DSPFPageNumberArea"/>
      <w:bookmarkEnd w:id="40"/>
      <w:bookmarkEnd w:id="41"/>
      <w:r>
        <w:rPr>
          <w:b w:val="false"/>
          <w:i w:val="false"/>
          <w:caps w:val="false"/>
          <w:smallCaps w:val="false"/>
          <w:sz w:val="13"/>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2" w:name="DSPFPageBreak1"/>
      <w:bookmarkStart w:id="43" w:name="DSPFPageBreak1"/>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44" w:name="DSPFPageHeader"/>
        <w:bookmarkEnd w:id="4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Part I - Item 1.</w:t>
      </w:r>
    </w:p>
    <w:p>
      <w:pPr>
        <w:pStyle w:val="TextBody"/>
        <w:spacing w:before="0" w:after="0"/>
        <w:rPr/>
      </w:pPr>
      <w:r>
        <w:rPr/>
      </w:r>
    </w:p>
    <w:p>
      <w:pPr>
        <w:pStyle w:val="TextBody"/>
        <w:spacing w:before="0" w:after="0"/>
        <w:jc w:val="center"/>
        <w:rPr/>
      </w:pPr>
      <w:r>
        <w:rPr/>
        <w:t>INDEPENDENT BANK CORPORATION AND SUBSIDIARIES</w:t>
      </w:r>
    </w:p>
    <w:p>
      <w:pPr>
        <w:pStyle w:val="TextBody"/>
        <w:spacing w:before="0" w:after="0"/>
        <w:jc w:val="center"/>
        <w:rPr>
          <w:u w:val="single"/>
        </w:rPr>
      </w:pPr>
      <w:r>
        <w:rPr>
          <w:u w:val="single"/>
        </w:rPr>
        <w:t xml:space="preserve">Condensed Consolidated </w:t>
      </w:r>
      <w:bookmarkStart w:id="45" w:name="StatementsofFinancialCond"/>
      <w:bookmarkEnd w:id="45"/>
      <w:r>
        <w:rPr>
          <w:u w:val="single"/>
        </w:rPr>
        <w:t>Statements of Financial Condition</w:t>
      </w:r>
    </w:p>
    <w:p>
      <w:pPr>
        <w:pStyle w:val="TextBody"/>
        <w:spacing w:before="0" w:after="0"/>
        <w:rPr/>
      </w:pPr>
      <w:r>
        <w:rPr/>
      </w:r>
    </w:p>
    <w:p>
      <w:pPr>
        <w:pStyle w:val="Normal"/>
        <w:spacing w:before="0" w:after="0"/>
        <w:rPr>
          <w:sz w:val="4"/>
          <w:szCs w:val="4"/>
        </w:rPr>
      </w:pPr>
      <w:r>
        <w:rPr>
          <w:sz w:val="4"/>
          <w:szCs w:val="4"/>
        </w:rPr>
      </w:r>
      <w:bookmarkStart w:id="46" w:name="z23c7fe9012da4867a1a2a0789b0f5223"/>
      <w:bookmarkStart w:id="47" w:name="z23c7fe9012da4867a1a2a0789b0f5223"/>
      <w:bookmarkEnd w:id="47"/>
    </w:p>
    <w:tbl>
      <w:tblPr>
        <w:tblW w:w="10205" w:type="dxa"/>
        <w:jc w:val="left"/>
        <w:tblInd w:w="0" w:type="dxa"/>
        <w:tblCellMar>
          <w:top w:w="0" w:type="dxa"/>
          <w:left w:w="0" w:type="dxa"/>
          <w:bottom w:w="0" w:type="dxa"/>
          <w:right w:w="0" w:type="dxa"/>
        </w:tblCellMar>
      </w:tblPr>
      <w:tblGrid>
        <w:gridCol w:w="7250"/>
        <w:gridCol w:w="120"/>
        <w:gridCol w:w="140"/>
        <w:gridCol w:w="980"/>
        <w:gridCol w:w="120"/>
        <w:gridCol w:w="120"/>
        <w:gridCol w:w="169"/>
        <w:gridCol w:w="1186"/>
        <w:gridCol w:w="120"/>
      </w:tblGrid>
      <w:tr>
        <w:trPr/>
        <w:tc>
          <w:tcPr>
            <w:tcW w:w="725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June 30,</w:t>
            </w:r>
          </w:p>
          <w:p>
            <w:pPr>
              <w:pStyle w:val="TableContents"/>
              <w:spacing w:before="0" w:after="0"/>
              <w:jc w:val="center"/>
              <w:rPr/>
            </w:pPr>
            <w:r>
              <w:rPr/>
              <w:t>2019</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bottom"/>
          </w:tcPr>
          <w:p>
            <w:pPr>
              <w:pStyle w:val="TableContents"/>
              <w:spacing w:before="0" w:after="0"/>
              <w:jc w:val="center"/>
              <w:rPr/>
            </w:pPr>
            <w:r>
              <w:rPr/>
              <w:t>December 31,</w:t>
            </w:r>
          </w:p>
          <w:p>
            <w:pPr>
              <w:pStyle w:val="TableContents"/>
              <w:spacing w:before="0" w:after="0"/>
              <w:jc w:val="center"/>
              <w:rPr/>
            </w:pPr>
            <w:r>
              <w:rPr/>
              <w:t>2018</w:t>
            </w:r>
          </w:p>
        </w:tc>
        <w:tc>
          <w:tcPr>
            <w:tcW w:w="120" w:type="dxa"/>
            <w:tcBorders/>
            <w:shd w:fill="auto" w:val="clear"/>
            <w:vAlign w:val="bottom"/>
          </w:tcPr>
          <w:p>
            <w:pPr>
              <w:pStyle w:val="TableContents"/>
              <w:spacing w:before="0" w:after="283"/>
              <w:rPr/>
            </w:pPr>
            <w:r>
              <w:rPr/>
              <w:t>  </w:t>
            </w:r>
          </w:p>
        </w:tc>
      </w:tr>
      <w:tr>
        <w:trPr/>
        <w:tc>
          <w:tcPr>
            <w:tcW w:w="725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715" w:type="dxa"/>
            <w:gridSpan w:val="6"/>
            <w:tcBorders>
              <w:bottom w:val="single" w:sz="12" w:space="0" w:color="000000"/>
            </w:tcBorders>
            <w:shd w:fill="auto" w:val="clear"/>
            <w:tcMar>
              <w:bottom w:w="28" w:type="dxa"/>
            </w:tcMar>
            <w:vAlign w:val="bottom"/>
          </w:tcPr>
          <w:p>
            <w:pPr>
              <w:pStyle w:val="TableContents"/>
              <w:spacing w:before="0" w:after="0"/>
              <w:jc w:val="center"/>
              <w:rPr/>
            </w:pPr>
            <w:r>
              <w:rPr/>
              <w:t>(unaudited)</w:t>
            </w:r>
          </w:p>
        </w:tc>
        <w:tc>
          <w:tcPr>
            <w:tcW w:w="120" w:type="dxa"/>
            <w:tcBorders/>
            <w:shd w:fill="auto" w:val="clear"/>
            <w:vAlign w:val="bottom"/>
          </w:tcPr>
          <w:p>
            <w:pPr>
              <w:pStyle w:val="TableContents"/>
              <w:spacing w:before="0" w:after="283"/>
              <w:rPr/>
            </w:pPr>
            <w:r>
              <w:rPr/>
              <w:t> </w:t>
            </w:r>
          </w:p>
        </w:tc>
      </w:tr>
      <w:tr>
        <w:trPr/>
        <w:tc>
          <w:tcPr>
            <w:tcW w:w="725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715" w:type="dxa"/>
            <w:gridSpan w:val="6"/>
            <w:tcBorders/>
            <w:shd w:fill="auto" w:val="clear"/>
            <w:vAlign w:val="bottom"/>
          </w:tcPr>
          <w:p>
            <w:pPr>
              <w:pStyle w:val="TableContents"/>
              <w:spacing w:before="0" w:after="0"/>
              <w:jc w:val="center"/>
              <w:rPr/>
            </w:pPr>
            <w:r>
              <w:rPr/>
              <w:t>(In thousands, except share</w:t>
            </w:r>
          </w:p>
          <w:p>
            <w:pPr>
              <w:pStyle w:val="TableContents"/>
              <w:spacing w:before="0" w:after="0"/>
              <w:jc w:val="center"/>
              <w:rPr/>
            </w:pPr>
            <w:r>
              <w:rPr/>
              <w:t>amounts)</w:t>
            </w:r>
          </w:p>
        </w:tc>
        <w:tc>
          <w:tcPr>
            <w:tcW w:w="120" w:type="dxa"/>
            <w:tcBorders/>
            <w:shd w:fill="auto" w:val="clear"/>
            <w:vAlign w:val="bottom"/>
          </w:tcPr>
          <w:p>
            <w:pPr>
              <w:pStyle w:val="TableContents"/>
              <w:spacing w:before="0" w:after="283"/>
              <w:rPr/>
            </w:pPr>
            <w:r>
              <w:rPr/>
              <w:t>  </w:t>
            </w:r>
          </w:p>
        </w:tc>
      </w:tr>
      <w:tr>
        <w:trPr/>
        <w:tc>
          <w:tcPr>
            <w:tcW w:w="10085" w:type="dxa"/>
            <w:gridSpan w:val="8"/>
            <w:tcBorders/>
            <w:shd w:fill="auto" w:val="clear"/>
            <w:vAlign w:val="bottom"/>
          </w:tcPr>
          <w:p>
            <w:pPr>
              <w:pStyle w:val="TableContents"/>
              <w:spacing w:before="0" w:after="0"/>
              <w:ind w:left="180" w:right="0" w:hanging="180"/>
              <w:rPr/>
            </w:pPr>
            <w:r>
              <w:rPr/>
              <w:t>Assets</w:t>
            </w:r>
          </w:p>
        </w:tc>
        <w:tc>
          <w:tcPr>
            <w:tcW w:w="120" w:type="dxa"/>
            <w:tcBorders/>
            <w:shd w:fill="auto"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80" w:right="0" w:hanging="180"/>
              <w:rPr/>
            </w:pPr>
            <w:r>
              <w:rPr/>
              <w:t>Cash and due from banks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34,461</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rPr/>
            </w:pPr>
            <w:r>
              <w:rPr/>
              <w:t>$</w:t>
            </w:r>
          </w:p>
        </w:tc>
        <w:tc>
          <w:tcPr>
            <w:tcW w:w="1186" w:type="dxa"/>
            <w:tcBorders/>
            <w:shd w:fill="CCEEFF" w:val="clear"/>
            <w:vAlign w:val="bottom"/>
          </w:tcPr>
          <w:p>
            <w:pPr>
              <w:pStyle w:val="TableContents"/>
              <w:spacing w:before="0" w:after="0"/>
              <w:jc w:val="right"/>
              <w:rPr/>
            </w:pPr>
            <w:r>
              <w:rPr/>
              <w:t>23,350</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80" w:right="0" w:hanging="180"/>
              <w:rPr/>
            </w:pPr>
            <w:r>
              <w:rPr/>
              <w:t>Interest bearing deposits</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20,676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86" w:type="dxa"/>
            <w:tcBorders>
              <w:bottom w:val="single" w:sz="12" w:space="0" w:color="000000"/>
            </w:tcBorders>
            <w:shd w:fill="FFFFFF" w:val="clear"/>
            <w:tcMar>
              <w:bottom w:w="28" w:type="dxa"/>
            </w:tcMar>
            <w:vAlign w:val="bottom"/>
          </w:tcPr>
          <w:p>
            <w:pPr>
              <w:pStyle w:val="TableContents"/>
              <w:spacing w:before="0" w:after="0"/>
              <w:jc w:val="right"/>
              <w:rPr/>
            </w:pPr>
            <w:r>
              <w:rPr/>
              <w:t>46,894</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80" w:right="0" w:hanging="180"/>
              <w:jc w:val="right"/>
              <w:rPr/>
            </w:pPr>
            <w:r>
              <w:rPr/>
              <w:t>Cash and Cash Equivalents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55,137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70,244</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44" w:right="0" w:hanging="144"/>
              <w:rPr/>
            </w:pPr>
            <w:r>
              <w:rPr/>
              <w:t>Interest bearing deposits - time</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498</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595</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44" w:right="0" w:hanging="144"/>
              <w:rPr/>
            </w:pPr>
            <w:r>
              <w:rPr/>
              <w:t>Equity securities at fair value</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393</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44" w:right="0" w:hanging="144"/>
              <w:rPr/>
            </w:pPr>
            <w:r>
              <w:rPr/>
              <w:t>Securities available for sale</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430,305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427,926</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44" w:right="0" w:hanging="144"/>
              <w:rPr/>
            </w:pPr>
            <w:r>
              <w:rPr/>
              <w:t>Federal Home Loan Bank and Federal Reserve Bank stock, at cost</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18,359</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18,359</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44" w:right="0" w:hanging="144"/>
              <w:rPr/>
            </w:pPr>
            <w:r>
              <w:rPr/>
              <w:t>Loans held for sale, carried at fair value</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62,883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44,753</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44" w:right="0" w:hanging="144"/>
              <w:rPr/>
            </w:pPr>
            <w:r>
              <w:rPr/>
              <w:t>Loans held for sale, carried at lower of cost or fair value</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41,471</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44" w:right="0" w:hanging="144"/>
              <w:rPr/>
            </w:pPr>
            <w:r>
              <w:rPr/>
              <w:t>Loans</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324" w:right="0" w:hanging="144"/>
              <w:rPr/>
            </w:pPr>
            <w:r>
              <w:rPr/>
              <w:t>Commercial</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1,175,970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1,144,481</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324" w:right="0" w:hanging="144"/>
              <w:rPr/>
            </w:pPr>
            <w:r>
              <w:rPr/>
              <w:t>Mortgage</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1,086,309</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1,042,890</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324" w:right="0" w:hanging="144"/>
              <w:rPr/>
            </w:pPr>
            <w:r>
              <w:rPr/>
              <w:t>Installment</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444,247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86" w:type="dxa"/>
            <w:tcBorders>
              <w:bottom w:val="single" w:sz="12" w:space="0" w:color="000000"/>
            </w:tcBorders>
            <w:shd w:fill="CCEEFF" w:val="clear"/>
            <w:tcMar>
              <w:bottom w:w="28" w:type="dxa"/>
            </w:tcMar>
            <w:vAlign w:val="bottom"/>
          </w:tcPr>
          <w:p>
            <w:pPr>
              <w:pStyle w:val="TableContents"/>
              <w:spacing w:before="0" w:after="0"/>
              <w:jc w:val="right"/>
              <w:rPr/>
            </w:pPr>
            <w:r>
              <w:rPr/>
              <w:t>395,149</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44" w:right="0" w:hanging="144"/>
              <w:jc w:val="right"/>
              <w:rPr/>
            </w:pPr>
            <w:r>
              <w:rPr/>
              <w:t>Total Loans</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2,706,526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2,582,520</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324" w:right="0" w:hanging="144"/>
              <w:rPr/>
            </w:pPr>
            <w:r>
              <w:rPr/>
              <w:t>Allowance for loan losses</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(25,903</w:t>
            </w:r>
          </w:p>
        </w:tc>
        <w:tc>
          <w:tcPr>
            <w:tcW w:w="120" w:type="dxa"/>
            <w:tcBorders/>
            <w:shd w:fill="CCEEFF" w:val="clear"/>
            <w:vAlign w:val="bottom"/>
          </w:tcPr>
          <w:p>
            <w:pPr>
              <w:pStyle w:val="TableContents"/>
              <w:spacing w:before="0" w:after="0"/>
              <w:rPr/>
            </w:pPr>
            <w:r>
              <w:rPr/>
              <w:t>)</w:t>
            </w:r>
          </w:p>
        </w:tc>
        <w:tc>
          <w:tcPr>
            <w:tcW w:w="120" w:type="dxa"/>
            <w:tcBorders/>
            <w:shd w:fill="CCEEFF" w:val="clear"/>
            <w:vAlign w:val="bottom"/>
          </w:tcPr>
          <w:p>
            <w:pPr>
              <w:pStyle w:val="TableContents"/>
              <w:spacing w:before="0" w:after="283"/>
              <w:rPr/>
            </w:pPr>
            <w:r>
              <w:rPr/>
              <w:t> </w:t>
            </w:r>
          </w:p>
        </w:tc>
        <w:tc>
          <w:tcPr>
            <w:tcW w:w="16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86" w:type="dxa"/>
            <w:tcBorders>
              <w:bottom w:val="single" w:sz="12" w:space="0" w:color="000000"/>
            </w:tcBorders>
            <w:shd w:fill="CCEEFF" w:val="clear"/>
            <w:tcMar>
              <w:bottom w:w="28" w:type="dxa"/>
            </w:tcMar>
            <w:vAlign w:val="bottom"/>
          </w:tcPr>
          <w:p>
            <w:pPr>
              <w:pStyle w:val="TableContents"/>
              <w:spacing w:before="0" w:after="0"/>
              <w:jc w:val="right"/>
              <w:rPr/>
            </w:pPr>
            <w:r>
              <w:rPr/>
              <w:t>(24,888</w:t>
            </w:r>
          </w:p>
        </w:tc>
        <w:tc>
          <w:tcPr>
            <w:tcW w:w="120" w:type="dxa"/>
            <w:tcBorders/>
            <w:shd w:fill="CCEEFF" w:val="clear"/>
            <w:vAlign w:val="bottom"/>
          </w:tcPr>
          <w:p>
            <w:pPr>
              <w:pStyle w:val="TableContents"/>
              <w:spacing w:before="0" w:after="0"/>
              <w:rPr/>
            </w:pPr>
            <w:r>
              <w:rPr/>
              <w:t>)</w:t>
            </w:r>
          </w:p>
        </w:tc>
      </w:tr>
      <w:tr>
        <w:trPr/>
        <w:tc>
          <w:tcPr>
            <w:tcW w:w="7250" w:type="dxa"/>
            <w:tcBorders/>
            <w:shd w:fill="FFFFFF" w:val="clear"/>
            <w:vAlign w:val="bottom"/>
          </w:tcPr>
          <w:p>
            <w:pPr>
              <w:pStyle w:val="TableContents"/>
              <w:spacing w:before="0" w:after="0"/>
              <w:ind w:left="144" w:right="0" w:hanging="144"/>
              <w:jc w:val="right"/>
              <w:rPr/>
            </w:pPr>
            <w:r>
              <w:rPr/>
              <w:t>Net Loans</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2,680,623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2,557,632</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44" w:right="0" w:hanging="144"/>
              <w:rPr/>
            </w:pPr>
            <w:r>
              <w:rPr/>
              <w:t>Other real estate and repossessed assets, net</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1,990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1,299</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44" w:right="0" w:hanging="144"/>
              <w:rPr/>
            </w:pPr>
            <w:r>
              <w:rPr/>
              <w:t>Property and equipment, net</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37,703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38,777</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44" w:right="0" w:hanging="144"/>
              <w:rPr/>
            </w:pPr>
            <w:r>
              <w:rPr/>
              <w:t>Bank-owned life insurance</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55,580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55,068</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44" w:right="0" w:hanging="144"/>
              <w:rPr/>
            </w:pPr>
            <w:r>
              <w:rPr/>
              <w:t>Deferred tax assets, net</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2,746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5,779</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rPr>
                <w:rFonts w:ascii="quot" w:hAnsi="quot"/>
              </w:rPr>
            </w:pPr>
            <w:r>
              <w:rPr>
                <w:rFonts w:ascii="quot" w:hAnsi="quot"/>
              </w:rPr>
              <w:t>Capitalized mortgage loan servicing rights, carried at fair value</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17,894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21,400</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44" w:right="0" w:hanging="144"/>
              <w:rPr/>
            </w:pPr>
            <w:r>
              <w:rPr/>
              <w:t>Other intangibles</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5,870</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6,415</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44" w:right="0" w:hanging="144"/>
              <w:rPr/>
            </w:pPr>
            <w:r>
              <w:rPr/>
              <w:t>Goodwill</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28,300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28,300</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44" w:right="0" w:hanging="144"/>
              <w:rPr/>
            </w:pPr>
            <w:r>
              <w:rPr/>
              <w:t>Accrued income and other assets</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40,414</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86" w:type="dxa"/>
            <w:tcBorders>
              <w:bottom w:val="single" w:sz="12" w:space="0" w:color="000000"/>
            </w:tcBorders>
            <w:shd w:fill="FFFFFF" w:val="clear"/>
            <w:tcMar>
              <w:bottom w:w="28" w:type="dxa"/>
            </w:tcMar>
            <w:vAlign w:val="bottom"/>
          </w:tcPr>
          <w:p>
            <w:pPr>
              <w:pStyle w:val="TableContents"/>
              <w:spacing w:before="0" w:after="0"/>
              <w:jc w:val="right"/>
              <w:rPr/>
            </w:pPr>
            <w:r>
              <w:rPr/>
              <w:t>34,870</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44" w:right="0" w:hanging="144"/>
              <w:jc w:val="right"/>
              <w:rPr/>
            </w:pPr>
            <w:r>
              <w:rPr/>
              <w:t>Total Assets</w:t>
            </w:r>
          </w:p>
        </w:tc>
        <w:tc>
          <w:tcPr>
            <w:tcW w:w="12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3,438,302</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bottom w:val="double" w:sz="8" w:space="0" w:color="000000"/>
            </w:tcBorders>
            <w:shd w:fill="CCEEFF" w:val="clear"/>
            <w:tcMar>
              <w:bottom w:w="28" w:type="dxa"/>
            </w:tcMar>
            <w:vAlign w:val="bottom"/>
          </w:tcPr>
          <w:p>
            <w:pPr>
              <w:pStyle w:val="TableContents"/>
              <w:spacing w:before="0" w:after="0"/>
              <w:rPr/>
            </w:pPr>
            <w:r>
              <w:rPr/>
              <w:t>$</w:t>
            </w:r>
          </w:p>
        </w:tc>
        <w:tc>
          <w:tcPr>
            <w:tcW w:w="1186" w:type="dxa"/>
            <w:tcBorders>
              <w:bottom w:val="double" w:sz="8" w:space="0" w:color="000000"/>
            </w:tcBorders>
            <w:shd w:fill="CCEEFF" w:val="clear"/>
            <w:tcMar>
              <w:bottom w:w="28" w:type="dxa"/>
            </w:tcMar>
            <w:vAlign w:val="bottom"/>
          </w:tcPr>
          <w:p>
            <w:pPr>
              <w:pStyle w:val="TableContents"/>
              <w:spacing w:before="0" w:after="0"/>
              <w:jc w:val="right"/>
              <w:rPr/>
            </w:pPr>
            <w:r>
              <w:rPr/>
              <w:t>3,353,281</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r>
      <w:tr>
        <w:trPr/>
        <w:tc>
          <w:tcPr>
            <w:tcW w:w="10085" w:type="dxa"/>
            <w:gridSpan w:val="8"/>
            <w:tcBorders/>
            <w:shd w:fill="CCEEFF" w:val="clear"/>
            <w:vAlign w:val="bottom"/>
          </w:tcPr>
          <w:p>
            <w:pPr>
              <w:pStyle w:val="TableContents"/>
              <w:spacing w:before="0" w:after="0"/>
              <w:ind w:left="180" w:right="0" w:hanging="180"/>
              <w:rPr/>
            </w:pPr>
            <w:r>
              <w:rPr/>
              <w:t>Liabilities and Shareholders’ Equity</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80" w:right="0" w:hanging="180"/>
              <w:rPr/>
            </w:pPr>
            <w:r>
              <w:rPr/>
              <w:t>Deposits</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360" w:right="0" w:hanging="180"/>
              <w:rPr/>
            </w:pPr>
            <w:r>
              <w:rPr/>
              <w:t>Non-interest bearing</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864,481</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rPr/>
            </w:pPr>
            <w:r>
              <w:rPr/>
              <w:t>$</w:t>
            </w:r>
          </w:p>
        </w:tc>
        <w:tc>
          <w:tcPr>
            <w:tcW w:w="1186" w:type="dxa"/>
            <w:tcBorders/>
            <w:shd w:fill="CCEEFF" w:val="clear"/>
            <w:vAlign w:val="bottom"/>
          </w:tcPr>
          <w:p>
            <w:pPr>
              <w:pStyle w:val="TableContents"/>
              <w:spacing w:before="0" w:after="0"/>
              <w:jc w:val="right"/>
              <w:rPr/>
            </w:pPr>
            <w:r>
              <w:rPr/>
              <w:t>879,549</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360" w:right="0" w:hanging="180"/>
              <w:rPr/>
            </w:pPr>
            <w:r>
              <w:rPr/>
              <w:t>Savings and interest-bearing checking</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1,158,910</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1,194,865</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360" w:right="0" w:hanging="180"/>
              <w:rPr/>
            </w:pPr>
            <w:r>
              <w:rPr/>
              <w:t>Reciprocal</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326,326</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182,072</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360" w:right="0" w:hanging="180"/>
              <w:rPr/>
            </w:pPr>
            <w:r>
              <w:rPr/>
              <w:t>Time</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384,477</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385,981</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360" w:right="0" w:hanging="180"/>
              <w:rPr/>
            </w:pPr>
            <w:r>
              <w:rPr/>
              <w:t>Brokered time</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244,691</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86" w:type="dxa"/>
            <w:tcBorders>
              <w:bottom w:val="single" w:sz="12" w:space="0" w:color="000000"/>
            </w:tcBorders>
            <w:shd w:fill="CCEEFF" w:val="clear"/>
            <w:tcMar>
              <w:bottom w:w="28" w:type="dxa"/>
            </w:tcMar>
            <w:vAlign w:val="bottom"/>
          </w:tcPr>
          <w:p>
            <w:pPr>
              <w:pStyle w:val="TableContents"/>
              <w:spacing w:before="0" w:after="0"/>
              <w:jc w:val="right"/>
              <w:rPr/>
            </w:pPr>
            <w:r>
              <w:rPr/>
              <w:t>270,961</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80" w:right="0" w:hanging="180"/>
              <w:jc w:val="right"/>
              <w:rPr/>
            </w:pPr>
            <w:r>
              <w:rPr/>
              <w:t>Total Deposits</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2,978,885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2,913,428</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80" w:right="0" w:hanging="180"/>
              <w:rPr/>
            </w:pPr>
            <w:r>
              <w:rPr/>
              <w:t>Other borrowings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41,144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25,700</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80" w:right="0" w:hanging="180"/>
              <w:rPr/>
            </w:pPr>
            <w:r>
              <w:rPr/>
              <w:t>Subordinated debentures</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39,422</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39,388</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80" w:right="0" w:hanging="180"/>
              <w:rPr/>
            </w:pPr>
            <w:r>
              <w:rPr/>
              <w:t>Accrued expenses and other liabilities</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48,005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86" w:type="dxa"/>
            <w:tcBorders>
              <w:bottom w:val="single" w:sz="12" w:space="0" w:color="000000"/>
            </w:tcBorders>
            <w:shd w:fill="CCEEFF" w:val="clear"/>
            <w:tcMar>
              <w:bottom w:w="28" w:type="dxa"/>
            </w:tcMar>
            <w:vAlign w:val="bottom"/>
          </w:tcPr>
          <w:p>
            <w:pPr>
              <w:pStyle w:val="TableContents"/>
              <w:spacing w:before="0" w:after="0"/>
              <w:jc w:val="right"/>
              <w:rPr/>
            </w:pPr>
            <w:r>
              <w:rPr/>
              <w:t>35,771</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80" w:right="0" w:hanging="180"/>
              <w:jc w:val="right"/>
              <w:rPr/>
            </w:pPr>
            <w:r>
              <w:rPr/>
              <w:t>Total Liabilities</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3,107,456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86" w:type="dxa"/>
            <w:tcBorders>
              <w:bottom w:val="single" w:sz="12" w:space="0" w:color="000000"/>
            </w:tcBorders>
            <w:shd w:fill="FFFFFF" w:val="clear"/>
            <w:tcMar>
              <w:bottom w:w="28" w:type="dxa"/>
            </w:tcMar>
            <w:vAlign w:val="bottom"/>
          </w:tcPr>
          <w:p>
            <w:pPr>
              <w:pStyle w:val="TableContents"/>
              <w:spacing w:before="0" w:after="0"/>
              <w:jc w:val="right"/>
              <w:rPr/>
            </w:pPr>
            <w:r>
              <w:rPr/>
              <w:t>3,014,287</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180" w:right="0" w:hanging="180"/>
              <w:rPr/>
            </w:pPr>
            <w:r>
              <w:rPr/>
              <w:t>Commitments and contingent liabilities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80" w:right="0" w:hanging="180"/>
              <w:rPr/>
            </w:pPr>
            <w:r>
              <w:rPr/>
              <w:t>Shareholders’ Equity</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360" w:right="0" w:hanging="180"/>
              <w:rPr/>
            </w:pPr>
            <w:r>
              <w:rPr/>
              <w:t>Preferred stock, no par value, 200,000 shares authorized;  none issued or outstanding</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360" w:right="0" w:hanging="180"/>
              <w:rPr/>
            </w:pPr>
            <w:r>
              <w:rPr/>
              <w:t>Common stock, no par value, 500,000,000 shares authorized; issued and outstanding: 22,498,776 shares at June 30, 2019 and 23,579,725 shares at December 31, 2018</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351,894</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6" w:type="dxa"/>
            <w:tcBorders/>
            <w:shd w:fill="FFFFFF" w:val="clear"/>
            <w:vAlign w:val="bottom"/>
          </w:tcPr>
          <w:p>
            <w:pPr>
              <w:pStyle w:val="TableContents"/>
              <w:spacing w:before="0" w:after="0"/>
              <w:jc w:val="right"/>
              <w:rPr/>
            </w:pPr>
            <w:r>
              <w:rPr/>
              <w:t>377,372</w:t>
            </w:r>
          </w:p>
        </w:tc>
        <w:tc>
          <w:tcPr>
            <w:tcW w:w="120" w:type="dxa"/>
            <w:tcBorders/>
            <w:shd w:fill="FFFFFF" w:val="clear"/>
            <w:vAlign w:val="bottom"/>
          </w:tcPr>
          <w:p>
            <w:pPr>
              <w:pStyle w:val="TableContents"/>
              <w:spacing w:before="0" w:after="283"/>
              <w:rPr/>
            </w:pPr>
            <w:r>
              <w:rPr/>
              <w:t> </w:t>
            </w:r>
          </w:p>
        </w:tc>
      </w:tr>
      <w:tr>
        <w:trPr/>
        <w:tc>
          <w:tcPr>
            <w:tcW w:w="7250" w:type="dxa"/>
            <w:tcBorders/>
            <w:shd w:fill="CCEEFF" w:val="clear"/>
            <w:vAlign w:val="bottom"/>
          </w:tcPr>
          <w:p>
            <w:pPr>
              <w:pStyle w:val="TableContents"/>
              <w:spacing w:before="0" w:after="0"/>
              <w:ind w:left="360" w:right="0" w:hanging="180"/>
              <w:rPr/>
            </w:pPr>
            <w:r>
              <w:rPr/>
              <w:t>Accumulated deficit</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(16,617</w:t>
            </w:r>
          </w:p>
        </w:tc>
        <w:tc>
          <w:tcPr>
            <w:tcW w:w="120" w:type="dxa"/>
            <w:tcBorders/>
            <w:shd w:fill="CCEEFF" w:val="clear"/>
            <w:vAlign w:val="bottom"/>
          </w:tcPr>
          <w:p>
            <w:pPr>
              <w:pStyle w:val="TableContents"/>
              <w:spacing w:before="0" w:after="0"/>
              <w:rPr/>
            </w:pPr>
            <w:r>
              <w:rPr/>
              <w:t>)</w:t>
            </w:r>
          </w:p>
        </w:tc>
        <w:tc>
          <w:tcPr>
            <w:tcW w:w="12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6" w:type="dxa"/>
            <w:tcBorders/>
            <w:shd w:fill="CCEEFF" w:val="clear"/>
            <w:vAlign w:val="bottom"/>
          </w:tcPr>
          <w:p>
            <w:pPr>
              <w:pStyle w:val="TableContents"/>
              <w:spacing w:before="0" w:after="0"/>
              <w:jc w:val="right"/>
              <w:rPr/>
            </w:pPr>
            <w:r>
              <w:rPr/>
              <w:t>(28,270</w:t>
            </w:r>
          </w:p>
        </w:tc>
        <w:tc>
          <w:tcPr>
            <w:tcW w:w="120" w:type="dxa"/>
            <w:tcBorders/>
            <w:shd w:fill="CCEEFF" w:val="clear"/>
            <w:vAlign w:val="bottom"/>
          </w:tcPr>
          <w:p>
            <w:pPr>
              <w:pStyle w:val="TableContents"/>
              <w:spacing w:before="0" w:after="0"/>
              <w:rPr/>
            </w:pPr>
            <w:r>
              <w:rPr/>
              <w:t>)</w:t>
            </w:r>
          </w:p>
        </w:tc>
      </w:tr>
      <w:tr>
        <w:trPr/>
        <w:tc>
          <w:tcPr>
            <w:tcW w:w="7250" w:type="dxa"/>
            <w:tcBorders/>
            <w:shd w:fill="FFFFFF" w:val="clear"/>
            <w:vAlign w:val="bottom"/>
          </w:tcPr>
          <w:p>
            <w:pPr>
              <w:pStyle w:val="TableContents"/>
              <w:spacing w:before="0" w:after="0"/>
              <w:ind w:left="360" w:right="0" w:hanging="180"/>
              <w:rPr/>
            </w:pPr>
            <w:r>
              <w:rPr/>
              <w:t>Accumulated other comprehensive loss</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(4,431</w:t>
            </w:r>
          </w:p>
        </w:tc>
        <w:tc>
          <w:tcPr>
            <w:tcW w:w="120" w:type="dxa"/>
            <w:tcBorders/>
            <w:shd w:fill="FFFFFF" w:val="clear"/>
            <w:vAlign w:val="bottom"/>
          </w:tcPr>
          <w:p>
            <w:pPr>
              <w:pStyle w:val="TableContents"/>
              <w:spacing w:before="0" w:after="0"/>
              <w:rPr/>
            </w:pPr>
            <w:r>
              <w:rPr/>
              <w:t>)</w:t>
            </w:r>
          </w:p>
        </w:tc>
        <w:tc>
          <w:tcPr>
            <w:tcW w:w="120" w:type="dxa"/>
            <w:tcBorders/>
            <w:shd w:fill="FFFFFF" w:val="clear"/>
            <w:vAlign w:val="bottom"/>
          </w:tcPr>
          <w:p>
            <w:pPr>
              <w:pStyle w:val="TableContents"/>
              <w:spacing w:before="0" w:after="283"/>
              <w:rPr/>
            </w:pPr>
            <w:r>
              <w:rPr/>
              <w:t> </w:t>
            </w:r>
          </w:p>
        </w:tc>
        <w:tc>
          <w:tcPr>
            <w:tcW w:w="16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86" w:type="dxa"/>
            <w:tcBorders>
              <w:bottom w:val="single" w:sz="12" w:space="0" w:color="000000"/>
            </w:tcBorders>
            <w:shd w:fill="FFFFFF" w:val="clear"/>
            <w:tcMar>
              <w:bottom w:w="28" w:type="dxa"/>
            </w:tcMar>
            <w:vAlign w:val="bottom"/>
          </w:tcPr>
          <w:p>
            <w:pPr>
              <w:pStyle w:val="TableContents"/>
              <w:spacing w:before="0" w:after="0"/>
              <w:jc w:val="right"/>
              <w:rPr/>
            </w:pPr>
            <w:r>
              <w:rPr/>
              <w:t>(10,108</w:t>
            </w:r>
          </w:p>
        </w:tc>
        <w:tc>
          <w:tcPr>
            <w:tcW w:w="120" w:type="dxa"/>
            <w:tcBorders/>
            <w:shd w:fill="FFFFFF" w:val="clear"/>
            <w:vAlign w:val="bottom"/>
          </w:tcPr>
          <w:p>
            <w:pPr>
              <w:pStyle w:val="TableContents"/>
              <w:spacing w:before="0" w:after="0"/>
              <w:rPr/>
            </w:pPr>
            <w:r>
              <w:rPr/>
              <w:t>)</w:t>
            </w:r>
          </w:p>
        </w:tc>
      </w:tr>
      <w:tr>
        <w:trPr/>
        <w:tc>
          <w:tcPr>
            <w:tcW w:w="7250" w:type="dxa"/>
            <w:tcBorders/>
            <w:shd w:fill="CCEEFF" w:val="clear"/>
            <w:vAlign w:val="bottom"/>
          </w:tcPr>
          <w:p>
            <w:pPr>
              <w:pStyle w:val="TableContents"/>
              <w:spacing w:before="0" w:after="0"/>
              <w:ind w:left="180" w:right="0" w:hanging="180"/>
              <w:jc w:val="right"/>
              <w:rPr/>
            </w:pPr>
            <w:r>
              <w:rPr/>
              <w:t>Total Shareholders’ Equity</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330,846</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86" w:type="dxa"/>
            <w:tcBorders>
              <w:bottom w:val="single" w:sz="12" w:space="0" w:color="000000"/>
            </w:tcBorders>
            <w:shd w:fill="CCEEFF" w:val="clear"/>
            <w:tcMar>
              <w:bottom w:w="28" w:type="dxa"/>
            </w:tcMar>
            <w:vAlign w:val="bottom"/>
          </w:tcPr>
          <w:p>
            <w:pPr>
              <w:pStyle w:val="TableContents"/>
              <w:spacing w:before="0" w:after="0"/>
              <w:jc w:val="right"/>
              <w:rPr/>
            </w:pPr>
            <w:r>
              <w:rPr/>
              <w:t>338,994</w:t>
            </w:r>
          </w:p>
        </w:tc>
        <w:tc>
          <w:tcPr>
            <w:tcW w:w="120" w:type="dxa"/>
            <w:tcBorders/>
            <w:shd w:fill="CCEEFF" w:val="clear"/>
            <w:vAlign w:val="bottom"/>
          </w:tcPr>
          <w:p>
            <w:pPr>
              <w:pStyle w:val="TableContents"/>
              <w:spacing w:before="0" w:after="283"/>
              <w:rPr/>
            </w:pPr>
            <w:r>
              <w:rPr/>
              <w:t> </w:t>
            </w:r>
          </w:p>
        </w:tc>
      </w:tr>
      <w:tr>
        <w:trPr/>
        <w:tc>
          <w:tcPr>
            <w:tcW w:w="7250" w:type="dxa"/>
            <w:tcBorders/>
            <w:shd w:fill="FFFFFF" w:val="clear"/>
            <w:vAlign w:val="bottom"/>
          </w:tcPr>
          <w:p>
            <w:pPr>
              <w:pStyle w:val="TableContents"/>
              <w:spacing w:before="0" w:after="0"/>
              <w:ind w:left="180" w:right="0" w:hanging="180"/>
              <w:jc w:val="right"/>
              <w:rPr/>
            </w:pPr>
            <w:r>
              <w:rPr/>
              <w:t>Total Liabilities and Shareholders’ Equity</w:t>
            </w:r>
          </w:p>
        </w:tc>
        <w:tc>
          <w:tcPr>
            <w:tcW w:w="12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3,438,302</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69" w:type="dxa"/>
            <w:tcBorders>
              <w:bottom w:val="double" w:sz="8" w:space="0" w:color="000000"/>
            </w:tcBorders>
            <w:shd w:fill="FFFFFF" w:val="clear"/>
            <w:tcMar>
              <w:bottom w:w="28" w:type="dxa"/>
            </w:tcMar>
            <w:vAlign w:val="bottom"/>
          </w:tcPr>
          <w:p>
            <w:pPr>
              <w:pStyle w:val="TableContents"/>
              <w:spacing w:before="0" w:after="0"/>
              <w:rPr/>
            </w:pPr>
            <w:r>
              <w:rPr/>
              <w:t>$</w:t>
            </w:r>
          </w:p>
        </w:tc>
        <w:tc>
          <w:tcPr>
            <w:tcW w:w="1186" w:type="dxa"/>
            <w:tcBorders>
              <w:bottom w:val="double" w:sz="8" w:space="0" w:color="000000"/>
            </w:tcBorders>
            <w:shd w:fill="FFFFFF" w:val="clear"/>
            <w:tcMar>
              <w:bottom w:w="28" w:type="dxa"/>
            </w:tcMar>
            <w:vAlign w:val="bottom"/>
          </w:tcPr>
          <w:p>
            <w:pPr>
              <w:pStyle w:val="TableContents"/>
              <w:spacing w:before="0" w:after="0"/>
              <w:jc w:val="right"/>
              <w:rPr/>
            </w:pPr>
            <w:r>
              <w:rPr/>
              <w:t>3,353,281</w:t>
            </w:r>
          </w:p>
        </w:tc>
        <w:tc>
          <w:tcPr>
            <w:tcW w:w="120"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rPr/>
      </w:pPr>
      <w:r>
        <w:rPr/>
        <w:t>See notes to interim condensed consolidated 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 w:name="DSPFPageBreakArea2"/>
      <w:bookmarkStart w:id="49" w:name="DSPFPageBreakArea2"/>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0" w:name="DSPFPageNumber2"/>
      <w:bookmarkStart w:id="51" w:name="DSPFPageNumberArea1"/>
      <w:bookmarkEnd w:id="50"/>
      <w:bookmarkEnd w:id="51"/>
      <w:r>
        <w:rPr>
          <w:b w:val="false"/>
          <w:i w:val="false"/>
          <w:caps w:val="false"/>
          <w:smallCaps w:val="false"/>
          <w:sz w:val="13"/>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2" w:name="DSPFPageBreak2"/>
      <w:bookmarkStart w:id="53" w:name="DSPFPageBreak2"/>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4" w:name="DSPFPageHeader1"/>
        <w:bookmarkEnd w:id="5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INDEPENDENT BANK CORPORATION AND SUBSIDIARIES</w:t>
      </w:r>
    </w:p>
    <w:p>
      <w:pPr>
        <w:pStyle w:val="TextBody"/>
        <w:spacing w:before="0" w:after="0"/>
        <w:jc w:val="center"/>
        <w:rPr>
          <w:u w:val="single"/>
        </w:rPr>
      </w:pPr>
      <w:r>
        <w:rPr>
          <w:u w:val="single"/>
        </w:rPr>
        <w:t xml:space="preserve">Condensed Consolidated </w:t>
      </w:r>
      <w:bookmarkStart w:id="55" w:name="StatementsofOperations"/>
      <w:bookmarkEnd w:id="55"/>
      <w:r>
        <w:rPr>
          <w:u w:val="single"/>
        </w:rPr>
        <w:t>Statements of Operations</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56" w:name="z113b82fc85164c7591b65e3ee9144e64"/>
      <w:bookmarkStart w:id="57" w:name="z113b82fc85164c7591b65e3ee9144e64"/>
      <w:bookmarkEnd w:id="57"/>
    </w:p>
    <w:tbl>
      <w:tblPr>
        <w:tblW w:w="9215" w:type="dxa"/>
        <w:jc w:val="left"/>
        <w:tblInd w:w="0" w:type="dxa"/>
        <w:tblCellMar>
          <w:top w:w="0" w:type="dxa"/>
          <w:left w:w="0" w:type="dxa"/>
          <w:bottom w:w="0" w:type="dxa"/>
          <w:right w:w="0" w:type="dxa"/>
        </w:tblCellMar>
      </w:tblPr>
      <w:tblGrid>
        <w:gridCol w:w="4985"/>
        <w:gridCol w:w="120"/>
        <w:gridCol w:w="152"/>
        <w:gridCol w:w="740"/>
        <w:gridCol w:w="103"/>
        <w:gridCol w:w="65"/>
        <w:gridCol w:w="152"/>
        <w:gridCol w:w="743"/>
        <w:gridCol w:w="120"/>
        <w:gridCol w:w="120"/>
        <w:gridCol w:w="140"/>
        <w:gridCol w:w="680"/>
        <w:gridCol w:w="95"/>
        <w:gridCol w:w="60"/>
        <w:gridCol w:w="140"/>
        <w:gridCol w:w="680"/>
        <w:gridCol w:w="120"/>
      </w:tblGrid>
      <w:tr>
        <w:trPr/>
        <w:tc>
          <w:tcPr>
            <w:tcW w:w="49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55" w:type="dxa"/>
            <w:gridSpan w:val="6"/>
            <w:tcBorders/>
            <w:shd w:fill="auto" w:val="cle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95" w:type="dxa"/>
            <w:gridSpan w:val="6"/>
            <w:tcBorders/>
            <w:shd w:fill="auto" w:val="cle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120" w:type="dxa"/>
            <w:tcBorders/>
            <w:shd w:fill="auto"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92"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120" w:type="dxa"/>
            <w:tcBorders/>
            <w:shd w:fill="auto"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55" w:type="dxa"/>
            <w:gridSpan w:val="6"/>
            <w:tcBorders>
              <w:bottom w:val="single" w:sz="12" w:space="0" w:color="000000"/>
            </w:tcBorders>
            <w:shd w:fill="auto" w:val="clear"/>
            <w:tcMar>
              <w:bottom w:w="28" w:type="dxa"/>
            </w:tcMar>
            <w:vAlign w:val="bottom"/>
          </w:tcPr>
          <w:p>
            <w:pPr>
              <w:pStyle w:val="TableContents"/>
              <w:spacing w:before="0" w:after="0"/>
              <w:jc w:val="center"/>
              <w:rPr/>
            </w:pPr>
            <w:r>
              <w:rPr/>
              <w:t>(unaudited)</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95" w:type="dxa"/>
            <w:gridSpan w:val="6"/>
            <w:tcBorders>
              <w:bottom w:val="single" w:sz="12" w:space="0" w:color="000000"/>
            </w:tcBorders>
            <w:shd w:fill="auto" w:val="clear"/>
            <w:tcMar>
              <w:bottom w:w="28" w:type="dxa"/>
            </w:tcMar>
            <w:vAlign w:val="bottom"/>
          </w:tcPr>
          <w:p>
            <w:pPr>
              <w:pStyle w:val="TableContents"/>
              <w:spacing w:before="0" w:after="0"/>
              <w:jc w:val="center"/>
              <w:rPr/>
            </w:pPr>
            <w:r>
              <w:rPr/>
              <w:t xml:space="preserve">(unaudited) </w:t>
            </w:r>
          </w:p>
        </w:tc>
        <w:tc>
          <w:tcPr>
            <w:tcW w:w="120" w:type="dxa"/>
            <w:tcBorders/>
            <w:shd w:fill="auto"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990" w:type="dxa"/>
            <w:gridSpan w:val="14"/>
            <w:tcBorders/>
            <w:shd w:fill="auto" w:val="clear"/>
            <w:vAlign w:val="bottom"/>
          </w:tcPr>
          <w:p>
            <w:pPr>
              <w:pStyle w:val="TableContents"/>
              <w:spacing w:before="0" w:after="0"/>
              <w:jc w:val="center"/>
              <w:rPr/>
            </w:pPr>
            <w:r>
              <w:rPr/>
              <w:t>(In thousands, except per share amounts)</w:t>
            </w:r>
          </w:p>
        </w:tc>
        <w:tc>
          <w:tcPr>
            <w:tcW w:w="120" w:type="dxa"/>
            <w:tcBorders/>
            <w:shd w:fill="auto"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92"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95"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95" w:type="dxa"/>
            <w:gridSpan w:val="6"/>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0"/>
              <w:ind w:left="144" w:right="0" w:hanging="144"/>
              <w:rPr/>
            </w:pPr>
            <w:r>
              <w:rPr/>
              <w:t>Interest Income</w:t>
            </w:r>
          </w:p>
        </w:tc>
        <w:tc>
          <w:tcPr>
            <w:tcW w:w="120" w:type="dxa"/>
            <w:tcBorders/>
            <w:shd w:fill="auto" w:val="clear"/>
            <w:vAlign w:val="bottom"/>
          </w:tcPr>
          <w:p>
            <w:pPr>
              <w:pStyle w:val="TableContents"/>
              <w:spacing w:before="0" w:after="283"/>
              <w:rPr/>
            </w:pPr>
            <w:r>
              <w:rPr/>
              <w:t> </w:t>
            </w:r>
          </w:p>
        </w:tc>
        <w:tc>
          <w:tcPr>
            <w:tcW w:w="892"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95"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Interest and fees on loans</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740" w:type="dxa"/>
            <w:tcBorders/>
            <w:shd w:fill="CCEEFF" w:val="clear"/>
            <w:vAlign w:val="bottom"/>
          </w:tcPr>
          <w:p>
            <w:pPr>
              <w:pStyle w:val="TableContents"/>
              <w:spacing w:before="0" w:after="0"/>
              <w:jc w:val="right"/>
              <w:rPr/>
            </w:pPr>
            <w:r>
              <w:rPr/>
              <w:t>33,836</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743" w:type="dxa"/>
            <w:tcBorders/>
            <w:shd w:fill="CCEEFF" w:val="clear"/>
            <w:vAlign w:val="bottom"/>
          </w:tcPr>
          <w:p>
            <w:pPr>
              <w:pStyle w:val="TableContents"/>
              <w:spacing w:before="0" w:after="0"/>
              <w:jc w:val="right"/>
              <w:rPr/>
            </w:pPr>
            <w:r>
              <w:rPr/>
              <w:t>29,674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66,517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53,027</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324" w:right="0" w:hanging="144"/>
              <w:rPr/>
            </w:pPr>
            <w:r>
              <w:rPr/>
              <w:t>Interest on securities</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504" w:right="0" w:hanging="144"/>
              <w:rPr/>
            </w:pPr>
            <w:r>
              <w:rPr/>
              <w:t>Taxable</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3,034</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0"/>
              <w:jc w:val="right"/>
              <w:rPr/>
            </w:pPr>
            <w:r>
              <w:rPr/>
              <w:t>2,720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6,040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5,355</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504" w:right="0" w:hanging="144"/>
              <w:rPr/>
            </w:pPr>
            <w:r>
              <w:rPr/>
              <w:t>Tax-exempt</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324</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444</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698</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923</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Other investments</w:t>
            </w:r>
          </w:p>
        </w:tc>
        <w:tc>
          <w:tcPr>
            <w:tcW w:w="12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pPr>
            <w:r>
              <w:rPr/>
              <w:t>379</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3" w:type="dxa"/>
            <w:tcBorders>
              <w:bottom w:val="single" w:sz="12" w:space="0" w:color="000000"/>
            </w:tcBorders>
            <w:shd w:fill="CCEEFF" w:val="clear"/>
            <w:tcMar>
              <w:bottom w:w="28" w:type="dxa"/>
            </w:tcMar>
            <w:vAlign w:val="bottom"/>
          </w:tcPr>
          <w:p>
            <w:pPr>
              <w:pStyle w:val="TableContents"/>
              <w:spacing w:before="0" w:after="0"/>
              <w:jc w:val="right"/>
              <w:rPr/>
            </w:pPr>
            <w:r>
              <w:rPr/>
              <w:t>265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954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595</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144" w:right="0" w:hanging="144"/>
              <w:jc w:val="right"/>
              <w:rPr/>
            </w:pPr>
            <w:r>
              <w:rPr/>
              <w:t>Total Interest Income</w:t>
            </w:r>
          </w:p>
        </w:tc>
        <w:tc>
          <w:tcPr>
            <w:tcW w:w="12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pPr>
            <w:r>
              <w:rPr/>
              <w:t>37,573</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3" w:type="dxa"/>
            <w:tcBorders>
              <w:bottom w:val="single" w:sz="12" w:space="0" w:color="000000"/>
            </w:tcBorders>
            <w:shd w:fill="FFFFFF" w:val="clear"/>
            <w:tcMar>
              <w:bottom w:w="28" w:type="dxa"/>
            </w:tcMar>
            <w:vAlign w:val="bottom"/>
          </w:tcPr>
          <w:p>
            <w:pPr>
              <w:pStyle w:val="TableContents"/>
              <w:spacing w:before="0" w:after="0"/>
              <w:jc w:val="right"/>
              <w:rPr/>
            </w:pPr>
            <w:r>
              <w:rPr/>
              <w:t>33,103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74,209</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59,900</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144" w:right="0" w:hanging="144"/>
              <w:rPr/>
            </w:pPr>
            <w:r>
              <w:rPr/>
              <w:t>Interest Expense</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324" w:right="0" w:hanging="144"/>
              <w:rPr/>
            </w:pPr>
            <w:r>
              <w:rPr/>
              <w:t>Deposits</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6,021</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3,209</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11,702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5,496</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Other borrowings and subordinated debentures</w:t>
            </w:r>
          </w:p>
        </w:tc>
        <w:tc>
          <w:tcPr>
            <w:tcW w:w="12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pPr>
            <w:r>
              <w:rPr/>
              <w:t>796</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3" w:type="dxa"/>
            <w:tcBorders>
              <w:bottom w:val="single" w:sz="12" w:space="0" w:color="000000"/>
            </w:tcBorders>
            <w:shd w:fill="CCEEFF" w:val="clear"/>
            <w:tcMar>
              <w:bottom w:w="28" w:type="dxa"/>
            </w:tcMar>
            <w:vAlign w:val="bottom"/>
          </w:tcPr>
          <w:p>
            <w:pPr>
              <w:pStyle w:val="TableContents"/>
              <w:spacing w:before="0" w:after="0"/>
              <w:jc w:val="right"/>
              <w:rPr/>
            </w:pPr>
            <w:r>
              <w:rPr/>
              <w:t>914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1,508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1,488</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144" w:right="0" w:hanging="144"/>
              <w:jc w:val="right"/>
              <w:rPr/>
            </w:pPr>
            <w:r>
              <w:rPr/>
              <w:t>Total Interest Expense</w:t>
            </w:r>
          </w:p>
        </w:tc>
        <w:tc>
          <w:tcPr>
            <w:tcW w:w="12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pPr>
            <w:r>
              <w:rPr/>
              <w:t>6,817</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3" w:type="dxa"/>
            <w:tcBorders>
              <w:bottom w:val="single" w:sz="12" w:space="0" w:color="000000"/>
            </w:tcBorders>
            <w:shd w:fill="FFFFFF" w:val="clear"/>
            <w:tcMar>
              <w:bottom w:w="28" w:type="dxa"/>
            </w:tcMar>
            <w:vAlign w:val="bottom"/>
          </w:tcPr>
          <w:p>
            <w:pPr>
              <w:pStyle w:val="TableContents"/>
              <w:spacing w:before="0" w:after="0"/>
              <w:jc w:val="right"/>
              <w:rPr/>
            </w:pPr>
            <w:r>
              <w:rPr/>
              <w:t>4,123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13,210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6,984</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144" w:right="0" w:hanging="144"/>
              <w:jc w:val="right"/>
              <w:rPr/>
            </w:pPr>
            <w:r>
              <w:rPr/>
              <w:t>Net Interest Income</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30,756</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0"/>
              <w:jc w:val="right"/>
              <w:rPr/>
            </w:pPr>
            <w:r>
              <w:rPr/>
              <w:t>28,980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60,999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52,916</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144" w:right="0" w:hanging="144"/>
              <w:rPr/>
            </w:pPr>
            <w:r>
              <w:rPr/>
              <w:t>Provision for loan losses</w:t>
            </w:r>
          </w:p>
        </w:tc>
        <w:tc>
          <w:tcPr>
            <w:tcW w:w="12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pPr>
            <w:r>
              <w:rPr/>
              <w:t>652</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3" w:type="dxa"/>
            <w:tcBorders>
              <w:bottom w:val="single" w:sz="12" w:space="0" w:color="000000"/>
            </w:tcBorders>
            <w:shd w:fill="FFFFFF" w:val="clear"/>
            <w:tcMar>
              <w:bottom w:w="28" w:type="dxa"/>
            </w:tcMar>
            <w:vAlign w:val="bottom"/>
          </w:tcPr>
          <w:p>
            <w:pPr>
              <w:pStyle w:val="TableContents"/>
              <w:spacing w:before="0" w:after="0"/>
              <w:jc w:val="right"/>
              <w:rPr/>
            </w:pPr>
            <w:r>
              <w:rPr/>
              <w:t>650</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1,316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965</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144" w:right="0" w:hanging="144"/>
              <w:jc w:val="right"/>
              <w:rPr/>
            </w:pPr>
            <w:r>
              <w:rPr/>
              <w:t>Net Interest Income After Provision for Loan Losses</w:t>
            </w:r>
          </w:p>
        </w:tc>
        <w:tc>
          <w:tcPr>
            <w:tcW w:w="12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pPr>
            <w:r>
              <w:rPr/>
              <w:t>30,104</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3" w:type="dxa"/>
            <w:tcBorders>
              <w:bottom w:val="single" w:sz="12" w:space="0" w:color="000000"/>
            </w:tcBorders>
            <w:shd w:fill="CCEEFF" w:val="clear"/>
            <w:tcMar>
              <w:bottom w:w="28" w:type="dxa"/>
            </w:tcMar>
            <w:vAlign w:val="bottom"/>
          </w:tcPr>
          <w:p>
            <w:pPr>
              <w:pStyle w:val="TableContents"/>
              <w:spacing w:before="0" w:after="0"/>
              <w:jc w:val="right"/>
              <w:rPr/>
            </w:pPr>
            <w:r>
              <w:rPr/>
              <w:t>28,330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59,683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51,951</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144" w:right="0" w:hanging="144"/>
              <w:rPr/>
            </w:pPr>
            <w:r>
              <w:rPr/>
              <w:t>Non-interest Income</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Service charges on deposit accounts</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2,800</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0"/>
              <w:jc w:val="right"/>
              <w:rPr/>
            </w:pPr>
            <w:r>
              <w:rPr/>
              <w:t>3,095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5,440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6,000</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324" w:right="0" w:hanging="144"/>
              <w:rPr/>
            </w:pPr>
            <w:r>
              <w:rPr/>
              <w:t>Interchange income</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2,604</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2,504</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4,959</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4,750</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Net gains (losses) on assets</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504" w:right="0" w:hanging="144"/>
              <w:rPr/>
            </w:pPr>
            <w:r>
              <w:rPr/>
              <w:t>Mortgage loans</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4,302</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3,255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7,913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5,826</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504" w:right="0" w:hanging="144"/>
              <w:rPr/>
            </w:pPr>
            <w:r>
              <w:rPr/>
              <w:t>Securities</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0"/>
              <w:jc w:val="right"/>
              <w:rPr/>
            </w:pPr>
            <w:r>
              <w:rPr/>
              <w:t>9</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304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(164</w:t>
            </w:r>
          </w:p>
        </w:tc>
        <w:tc>
          <w:tcPr>
            <w:tcW w:w="120" w:type="dxa"/>
            <w:tcBorders/>
            <w:shd w:fill="CCEEFF" w:val="clear"/>
            <w:vAlign w:val="bottom"/>
          </w:tcPr>
          <w:p>
            <w:pPr>
              <w:pStyle w:val="TableContents"/>
              <w:spacing w:before="0" w:after="0"/>
              <w:rPr/>
            </w:pPr>
            <w:r>
              <w:rPr/>
              <w:t>)</w:t>
            </w:r>
          </w:p>
        </w:tc>
      </w:tr>
      <w:tr>
        <w:trPr/>
        <w:tc>
          <w:tcPr>
            <w:tcW w:w="4985" w:type="dxa"/>
            <w:tcBorders/>
            <w:shd w:fill="FFFFFF" w:val="clear"/>
            <w:vAlign w:val="bottom"/>
          </w:tcPr>
          <w:p>
            <w:pPr>
              <w:pStyle w:val="TableContents"/>
              <w:spacing w:before="0" w:after="0"/>
              <w:ind w:left="324" w:right="0" w:hanging="144"/>
              <w:rPr/>
            </w:pPr>
            <w:r>
              <w:rPr/>
              <w:t>Mortgage loan servicing, net</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(1,907</w:t>
            </w:r>
          </w:p>
        </w:tc>
        <w:tc>
          <w:tcPr>
            <w:tcW w:w="103" w:type="dxa"/>
            <w:tcBorders/>
            <w:shd w:fill="FFFFFF" w:val="clear"/>
            <w:vAlign w:val="bottom"/>
          </w:tcPr>
          <w:p>
            <w:pPr>
              <w:pStyle w:val="TableContents"/>
              <w:spacing w:before="0" w:after="0"/>
              <w:rPr/>
            </w:pPr>
            <w:r>
              <w:rPr/>
              <w:t>)</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1,235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(3,122</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3,456</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Other</w:t>
            </w:r>
          </w:p>
        </w:tc>
        <w:tc>
          <w:tcPr>
            <w:tcW w:w="12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pPr>
            <w:r>
              <w:rPr/>
              <w:t>2,106</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3" w:type="dxa"/>
            <w:tcBorders>
              <w:bottom w:val="single" w:sz="12" w:space="0" w:color="000000"/>
            </w:tcBorders>
            <w:shd w:fill="CCEEFF" w:val="clear"/>
            <w:tcMar>
              <w:bottom w:w="28" w:type="dxa"/>
            </w:tcMar>
            <w:vAlign w:val="bottom"/>
          </w:tcPr>
          <w:p>
            <w:pPr>
              <w:pStyle w:val="TableContents"/>
              <w:spacing w:before="0" w:after="0"/>
              <w:jc w:val="right"/>
              <w:rPr/>
            </w:pPr>
            <w:r>
              <w:rPr/>
              <w:t>2,217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4,370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4,160</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144" w:right="0" w:hanging="144"/>
              <w:jc w:val="right"/>
              <w:rPr/>
            </w:pPr>
            <w:r>
              <w:rPr/>
              <w:t>Total Non-interest Income</w:t>
            </w:r>
          </w:p>
        </w:tc>
        <w:tc>
          <w:tcPr>
            <w:tcW w:w="12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pPr>
            <w:r>
              <w:rPr/>
              <w:t>9,905</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3" w:type="dxa"/>
            <w:tcBorders>
              <w:bottom w:val="single" w:sz="12" w:space="0" w:color="000000"/>
            </w:tcBorders>
            <w:shd w:fill="FFFFFF" w:val="clear"/>
            <w:tcMar>
              <w:bottom w:w="28" w:type="dxa"/>
            </w:tcMar>
            <w:vAlign w:val="bottom"/>
          </w:tcPr>
          <w:p>
            <w:pPr>
              <w:pStyle w:val="TableContents"/>
              <w:spacing w:before="0" w:after="0"/>
              <w:jc w:val="right"/>
              <w:rPr/>
            </w:pPr>
            <w:r>
              <w:rPr/>
              <w:t>12,315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19,864</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24,028</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144" w:right="0" w:hanging="144"/>
              <w:rPr/>
            </w:pPr>
            <w:r>
              <w:rPr/>
              <w:t>Non-interest Expense</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324" w:right="0" w:hanging="144"/>
              <w:rPr/>
            </w:pPr>
            <w:r>
              <w:rPr/>
              <w:t>Compensation and employee benefits</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15,931</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15,869</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32,282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30,337</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Occupancy, net</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2,131</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0"/>
              <w:jc w:val="right"/>
              <w:rPr/>
            </w:pPr>
            <w:r>
              <w:rPr/>
              <w:t>2,170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4,636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4,434</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324" w:right="0" w:hanging="144"/>
              <w:rPr/>
            </w:pPr>
            <w:r>
              <w:rPr/>
              <w:t>Data processing</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2,171</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2,251</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4,315</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4,129</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Furniture, fixtures and equipment</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1,006</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0"/>
              <w:jc w:val="right"/>
              <w:rPr/>
            </w:pPr>
            <w:r>
              <w:rPr/>
              <w:t>1,019</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2,035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1,986</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324" w:right="0" w:hanging="144"/>
              <w:rPr/>
            </w:pPr>
            <w:r>
              <w:rPr/>
              <w:t>Communications</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717</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704</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1,486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1,384</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Interchange expense</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753</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0"/>
              <w:jc w:val="right"/>
              <w:rPr/>
            </w:pPr>
            <w:r>
              <w:rPr/>
              <w:t>661</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1,441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1,259</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324" w:right="0" w:hanging="144"/>
              <w:rPr/>
            </w:pPr>
            <w:r>
              <w:rPr/>
              <w:t>Loan and collection</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628</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692</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1,262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1,369</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Advertising</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627</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0"/>
              <w:jc w:val="right"/>
              <w:rPr/>
            </w:pPr>
            <w:r>
              <w:rPr/>
              <w:t>543</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1,299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984</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324" w:right="0" w:hanging="144"/>
              <w:rPr/>
            </w:pPr>
            <w:r>
              <w:rPr/>
              <w:t>Legal and professional</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371</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456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740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834</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FDIC deposit insurance</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342</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0"/>
              <w:jc w:val="right"/>
              <w:rPr/>
            </w:pPr>
            <w:r>
              <w:rPr/>
              <w:t>250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710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480</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324" w:right="0" w:hanging="144"/>
              <w:rPr/>
            </w:pPr>
            <w:r>
              <w:rPr/>
              <w:t>Merger related expenses</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0"/>
              <w:jc w:val="right"/>
              <w:rPr/>
            </w:pPr>
            <w:r>
              <w:rPr/>
              <w:t>3,082</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3,256</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Other</w:t>
            </w:r>
          </w:p>
        </w:tc>
        <w:tc>
          <w:tcPr>
            <w:tcW w:w="12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0" w:type="dxa"/>
            <w:tcBorders>
              <w:bottom w:val="single" w:sz="12" w:space="0" w:color="000000"/>
            </w:tcBorders>
            <w:shd w:fill="CCEEFF" w:val="clear"/>
            <w:tcMar>
              <w:bottom w:w="28" w:type="dxa"/>
            </w:tcMar>
            <w:vAlign w:val="bottom"/>
          </w:tcPr>
          <w:p>
            <w:pPr>
              <w:pStyle w:val="TableContents"/>
              <w:spacing w:before="0" w:after="0"/>
              <w:jc w:val="right"/>
              <w:rPr/>
            </w:pPr>
            <w:r>
              <w:rPr/>
              <w:t>1,915</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3" w:type="dxa"/>
            <w:tcBorders>
              <w:bottom w:val="single" w:sz="12" w:space="0" w:color="000000"/>
            </w:tcBorders>
            <w:shd w:fill="CCEEFF" w:val="clear"/>
            <w:tcMar>
              <w:bottom w:w="28" w:type="dxa"/>
            </w:tcMar>
            <w:vAlign w:val="bottom"/>
          </w:tcPr>
          <w:p>
            <w:pPr>
              <w:pStyle w:val="TableContents"/>
              <w:spacing w:before="0" w:after="0"/>
              <w:jc w:val="right"/>
              <w:rPr/>
            </w:pPr>
            <w:r>
              <w:rPr/>
              <w:t>2,064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4,376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3,444</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144" w:right="0" w:hanging="144"/>
              <w:jc w:val="right"/>
              <w:rPr/>
            </w:pPr>
            <w:r>
              <w:rPr/>
              <w:t>Total Non-interest Expense</w:t>
            </w:r>
          </w:p>
        </w:tc>
        <w:tc>
          <w:tcPr>
            <w:tcW w:w="12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pPr>
            <w:r>
              <w:rPr/>
              <w:t>26,592</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3" w:type="dxa"/>
            <w:tcBorders>
              <w:bottom w:val="single" w:sz="12" w:space="0" w:color="000000"/>
            </w:tcBorders>
            <w:shd w:fill="FFFFFF" w:val="clear"/>
            <w:tcMar>
              <w:bottom w:w="28" w:type="dxa"/>
            </w:tcMar>
            <w:vAlign w:val="bottom"/>
          </w:tcPr>
          <w:p>
            <w:pPr>
              <w:pStyle w:val="TableContents"/>
              <w:spacing w:before="0" w:after="0"/>
              <w:jc w:val="right"/>
              <w:rPr/>
            </w:pPr>
            <w:r>
              <w:rPr/>
              <w:t>29,761</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54,582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53,896</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144" w:right="0" w:hanging="144"/>
              <w:jc w:val="right"/>
              <w:rPr/>
            </w:pPr>
            <w:r>
              <w:rPr/>
              <w:t>Income Before Income Tax</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13,417</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3" w:type="dxa"/>
            <w:tcBorders/>
            <w:shd w:fill="CCEEFF" w:val="clear"/>
            <w:vAlign w:val="bottom"/>
          </w:tcPr>
          <w:p>
            <w:pPr>
              <w:pStyle w:val="TableContents"/>
              <w:spacing w:before="0" w:after="0"/>
              <w:jc w:val="right"/>
              <w:rPr/>
            </w:pPr>
            <w:r>
              <w:rPr/>
              <w:t>10,884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24,965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22,083</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144" w:right="0" w:hanging="144"/>
              <w:rPr/>
            </w:pPr>
            <w:r>
              <w:rPr/>
              <w:t>Income tax expense</w:t>
            </w:r>
          </w:p>
        </w:tc>
        <w:tc>
          <w:tcPr>
            <w:tcW w:w="12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pPr>
            <w:r>
              <w:rPr/>
              <w:t>2,687</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3" w:type="dxa"/>
            <w:tcBorders>
              <w:bottom w:val="single" w:sz="12" w:space="0" w:color="000000"/>
            </w:tcBorders>
            <w:shd w:fill="FFFFFF" w:val="clear"/>
            <w:tcMar>
              <w:bottom w:w="28" w:type="dxa"/>
            </w:tcMar>
            <w:vAlign w:val="bottom"/>
          </w:tcPr>
          <w:p>
            <w:pPr>
              <w:pStyle w:val="TableContents"/>
              <w:spacing w:before="0" w:after="0"/>
              <w:jc w:val="right"/>
              <w:rPr/>
            </w:pPr>
            <w:r>
              <w:rPr/>
              <w:t>2,067</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4,854</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4,105</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144" w:right="0" w:hanging="144"/>
              <w:jc w:val="right"/>
              <w:rPr/>
            </w:pPr>
            <w:r>
              <w:rPr/>
              <w:t>Net Income</w:t>
            </w:r>
          </w:p>
        </w:tc>
        <w:tc>
          <w:tcPr>
            <w:tcW w:w="120" w:type="dxa"/>
            <w:tcBorders/>
            <w:shd w:fill="CCEEFF" w:val="clear"/>
            <w:vAlign w:val="bottom"/>
          </w:tcPr>
          <w:p>
            <w:pPr>
              <w:pStyle w:val="TableContents"/>
              <w:spacing w:before="0" w:after="283"/>
              <w:rPr/>
            </w:pPr>
            <w:r>
              <w:rPr/>
              <w:t> </w:t>
            </w:r>
          </w:p>
        </w:tc>
        <w:tc>
          <w:tcPr>
            <w:tcW w:w="152" w:type="dxa"/>
            <w:tcBorders>
              <w:bottom w:val="double" w:sz="8" w:space="0" w:color="000000"/>
            </w:tcBorders>
            <w:shd w:fill="CCEEFF" w:val="clear"/>
            <w:tcMar>
              <w:bottom w:w="28" w:type="dxa"/>
            </w:tcMar>
            <w:vAlign w:val="bottom"/>
          </w:tcPr>
          <w:p>
            <w:pPr>
              <w:pStyle w:val="TableContents"/>
              <w:spacing w:before="0" w:after="0"/>
              <w:rPr/>
            </w:pPr>
            <w:r>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pPr>
            <w:r>
              <w:rPr/>
              <w:t>10,730</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double" w:sz="8" w:space="0" w:color="000000"/>
            </w:tcBorders>
            <w:shd w:fill="CCEEFF" w:val="clear"/>
            <w:tcMar>
              <w:bottom w:w="28" w:type="dxa"/>
            </w:tcMar>
            <w:vAlign w:val="bottom"/>
          </w:tcPr>
          <w:p>
            <w:pPr>
              <w:pStyle w:val="TableContents"/>
              <w:spacing w:before="0" w:after="0"/>
              <w:rPr/>
            </w:pPr>
            <w:r>
              <w:rPr/>
              <w:t>$</w:t>
            </w:r>
          </w:p>
        </w:tc>
        <w:tc>
          <w:tcPr>
            <w:tcW w:w="743" w:type="dxa"/>
            <w:tcBorders>
              <w:bottom w:val="double" w:sz="8" w:space="0" w:color="000000"/>
            </w:tcBorders>
            <w:shd w:fill="CCEEFF" w:val="clear"/>
            <w:tcMar>
              <w:bottom w:w="28" w:type="dxa"/>
            </w:tcMar>
            <w:vAlign w:val="bottom"/>
          </w:tcPr>
          <w:p>
            <w:pPr>
              <w:pStyle w:val="TableContents"/>
              <w:spacing w:before="0" w:after="0"/>
              <w:jc w:val="right"/>
              <w:rPr/>
            </w:pPr>
            <w:r>
              <w:rPr/>
              <w:t>8,817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20,111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17,978</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144" w:right="0" w:hanging="144"/>
              <w:rPr/>
            </w:pPr>
            <w:r>
              <w:rPr/>
              <w:t>Net Income Per Common Share</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3"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r>
      <w:tr>
        <w:trPr/>
        <w:tc>
          <w:tcPr>
            <w:tcW w:w="4985" w:type="dxa"/>
            <w:tcBorders/>
            <w:shd w:fill="CCEEFF" w:val="clear"/>
            <w:vAlign w:val="bottom"/>
          </w:tcPr>
          <w:p>
            <w:pPr>
              <w:pStyle w:val="TableContents"/>
              <w:spacing w:before="0" w:after="0"/>
              <w:ind w:left="324" w:right="0" w:hanging="144"/>
              <w:rPr/>
            </w:pPr>
            <w:r>
              <w:rPr/>
              <w:t>Basic</w:t>
            </w:r>
          </w:p>
        </w:tc>
        <w:tc>
          <w:tcPr>
            <w:tcW w:w="120" w:type="dxa"/>
            <w:tcBorders/>
            <w:shd w:fill="CCEEFF" w:val="clear"/>
            <w:vAlign w:val="bottom"/>
          </w:tcPr>
          <w:p>
            <w:pPr>
              <w:pStyle w:val="TableContents"/>
              <w:spacing w:before="0" w:after="283"/>
              <w:rPr/>
            </w:pPr>
            <w:r>
              <w:rPr/>
              <w:t> </w:t>
            </w:r>
          </w:p>
        </w:tc>
        <w:tc>
          <w:tcPr>
            <w:tcW w:w="152" w:type="dxa"/>
            <w:tcBorders>
              <w:bottom w:val="double" w:sz="8" w:space="0" w:color="000000"/>
            </w:tcBorders>
            <w:shd w:fill="CCEEFF" w:val="clear"/>
            <w:tcMar>
              <w:bottom w:w="28" w:type="dxa"/>
            </w:tcMar>
            <w:vAlign w:val="bottom"/>
          </w:tcPr>
          <w:p>
            <w:pPr>
              <w:pStyle w:val="TableContents"/>
              <w:spacing w:before="0" w:after="0"/>
              <w:rPr/>
            </w:pPr>
            <w:r>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pPr>
            <w:r>
              <w:rPr/>
              <w:t>0.47</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double" w:sz="8" w:space="0" w:color="000000"/>
            </w:tcBorders>
            <w:shd w:fill="CCEEFF" w:val="clear"/>
            <w:tcMar>
              <w:bottom w:w="28" w:type="dxa"/>
            </w:tcMar>
            <w:vAlign w:val="bottom"/>
          </w:tcPr>
          <w:p>
            <w:pPr>
              <w:pStyle w:val="TableContents"/>
              <w:spacing w:before="0" w:after="0"/>
              <w:rPr/>
            </w:pPr>
            <w:r>
              <w:rPr/>
              <w:t>$</w:t>
            </w:r>
          </w:p>
        </w:tc>
        <w:tc>
          <w:tcPr>
            <w:tcW w:w="743" w:type="dxa"/>
            <w:tcBorders>
              <w:bottom w:val="double" w:sz="8" w:space="0" w:color="000000"/>
            </w:tcBorders>
            <w:shd w:fill="CCEEFF" w:val="clear"/>
            <w:tcMar>
              <w:bottom w:w="28" w:type="dxa"/>
            </w:tcMar>
            <w:vAlign w:val="bottom"/>
          </w:tcPr>
          <w:p>
            <w:pPr>
              <w:pStyle w:val="TableContents"/>
              <w:spacing w:before="0" w:after="0"/>
              <w:jc w:val="right"/>
              <w:rPr/>
            </w:pPr>
            <w:r>
              <w:rPr/>
              <w:t>0.37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0.86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0.79</w:t>
            </w:r>
          </w:p>
        </w:tc>
        <w:tc>
          <w:tcPr>
            <w:tcW w:w="120" w:type="dxa"/>
            <w:tcBorders/>
            <w:shd w:fill="CCEEFF" w:val="clear"/>
            <w:vAlign w:val="bottom"/>
          </w:tcPr>
          <w:p>
            <w:pPr>
              <w:pStyle w:val="TableContents"/>
              <w:spacing w:before="0" w:after="283"/>
              <w:rPr/>
            </w:pPr>
            <w:r>
              <w:rPr/>
              <w:t> </w:t>
            </w:r>
          </w:p>
        </w:tc>
      </w:tr>
      <w:tr>
        <w:trPr/>
        <w:tc>
          <w:tcPr>
            <w:tcW w:w="4985" w:type="dxa"/>
            <w:tcBorders/>
            <w:shd w:fill="FFFFFF" w:val="clear"/>
            <w:vAlign w:val="bottom"/>
          </w:tcPr>
          <w:p>
            <w:pPr>
              <w:pStyle w:val="TableContents"/>
              <w:spacing w:before="0" w:after="0"/>
              <w:ind w:left="324" w:right="0" w:hanging="144"/>
              <w:rPr/>
            </w:pPr>
            <w:r>
              <w:rPr/>
              <w:t>Diluted</w:t>
            </w:r>
          </w:p>
        </w:tc>
        <w:tc>
          <w:tcPr>
            <w:tcW w:w="12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740" w:type="dxa"/>
            <w:tcBorders>
              <w:bottom w:val="double" w:sz="8" w:space="0" w:color="000000"/>
            </w:tcBorders>
            <w:shd w:fill="FFFFFF" w:val="clear"/>
            <w:tcMar>
              <w:bottom w:w="28" w:type="dxa"/>
            </w:tcMar>
            <w:vAlign w:val="bottom"/>
          </w:tcPr>
          <w:p>
            <w:pPr>
              <w:pStyle w:val="TableContents"/>
              <w:spacing w:before="0" w:after="0"/>
              <w:jc w:val="right"/>
              <w:rPr/>
            </w:pPr>
            <w:r>
              <w:rPr/>
              <w:t>0.46</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743" w:type="dxa"/>
            <w:tcBorders>
              <w:bottom w:val="double" w:sz="8" w:space="0" w:color="000000"/>
            </w:tcBorders>
            <w:shd w:fill="FFFFFF" w:val="clear"/>
            <w:tcMar>
              <w:bottom w:w="28" w:type="dxa"/>
            </w:tcMar>
            <w:vAlign w:val="bottom"/>
          </w:tcPr>
          <w:p>
            <w:pPr>
              <w:pStyle w:val="TableContents"/>
              <w:spacing w:before="0" w:after="0"/>
              <w:jc w:val="right"/>
              <w:rPr/>
            </w:pPr>
            <w:r>
              <w:rPr/>
              <w:t>0.36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0.85</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0.78</w:t>
            </w:r>
          </w:p>
        </w:tc>
        <w:tc>
          <w:tcPr>
            <w:tcW w:w="120"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rPr/>
      </w:pPr>
      <w:r>
        <w:rPr/>
        <w:t>See notes to interim condensed consolidated 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 w:name="DSPFPageBreakArea3"/>
      <w:bookmarkStart w:id="59" w:name="DSPFPageBreakArea3"/>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0" w:name="DSPFPageNumber3"/>
      <w:bookmarkStart w:id="61" w:name="DSPFPageNumberArea2"/>
      <w:bookmarkEnd w:id="60"/>
      <w:bookmarkEnd w:id="61"/>
      <w:r>
        <w:rPr>
          <w:b w:val="false"/>
          <w:i w:val="false"/>
          <w:caps w:val="false"/>
          <w:smallCaps w:val="false"/>
          <w:sz w:val="13"/>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2" w:name="DSPFPageBreak3"/>
      <w:bookmarkStart w:id="63" w:name="DSPFPageBreak3"/>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4" w:name="DSPFPageHeader2"/>
        <w:bookmarkEnd w:id="6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INDEPENDENT BANK CORPORATION AND SUBSIDIARIES</w:t>
      </w:r>
    </w:p>
    <w:p>
      <w:pPr>
        <w:pStyle w:val="TextBody"/>
        <w:spacing w:before="0" w:after="0"/>
        <w:jc w:val="center"/>
        <w:rPr>
          <w:u w:val="single"/>
        </w:rPr>
      </w:pPr>
      <w:r>
        <w:rPr>
          <w:u w:val="single"/>
        </w:rPr>
        <w:t xml:space="preserve">Condensed Consolidated </w:t>
      </w:r>
      <w:bookmarkStart w:id="65" w:name="StatementsofComprehensive"/>
      <w:bookmarkEnd w:id="65"/>
      <w:r>
        <w:rPr>
          <w:u w:val="single"/>
        </w:rPr>
        <w:t>Statements of Comprehensive Income</w:t>
      </w:r>
    </w:p>
    <w:p>
      <w:pPr>
        <w:pStyle w:val="TextBody"/>
        <w:spacing w:before="0" w:after="0"/>
        <w:rPr/>
      </w:pPr>
      <w:r>
        <w:rPr/>
      </w:r>
    </w:p>
    <w:p>
      <w:pPr>
        <w:pStyle w:val="Normal"/>
        <w:spacing w:before="0" w:after="0"/>
        <w:rPr>
          <w:sz w:val="4"/>
          <w:szCs w:val="4"/>
        </w:rPr>
      </w:pPr>
      <w:r>
        <w:rPr>
          <w:sz w:val="4"/>
          <w:szCs w:val="4"/>
        </w:rPr>
      </w:r>
      <w:bookmarkStart w:id="66" w:name="ze9a1a8141f48468c962aec4da5350818"/>
      <w:bookmarkStart w:id="67" w:name="ze9a1a8141f48468c962aec4da5350818"/>
      <w:bookmarkEnd w:id="67"/>
    </w:p>
    <w:tbl>
      <w:tblPr>
        <w:tblW w:w="10205" w:type="dxa"/>
        <w:jc w:val="left"/>
        <w:tblInd w:w="0" w:type="dxa"/>
        <w:tblCellMar>
          <w:top w:w="0" w:type="dxa"/>
          <w:left w:w="0" w:type="dxa"/>
          <w:bottom w:w="0" w:type="dxa"/>
          <w:right w:w="0" w:type="dxa"/>
        </w:tblCellMar>
      </w:tblPr>
      <w:tblGrid>
        <w:gridCol w:w="5960"/>
        <w:gridCol w:w="120"/>
        <w:gridCol w:w="156"/>
        <w:gridCol w:w="759"/>
        <w:gridCol w:w="106"/>
        <w:gridCol w:w="67"/>
        <w:gridCol w:w="156"/>
        <w:gridCol w:w="711"/>
        <w:gridCol w:w="120"/>
        <w:gridCol w:w="120"/>
        <w:gridCol w:w="140"/>
        <w:gridCol w:w="680"/>
        <w:gridCol w:w="95"/>
        <w:gridCol w:w="60"/>
        <w:gridCol w:w="140"/>
        <w:gridCol w:w="680"/>
        <w:gridCol w:w="135"/>
      </w:tblGrid>
      <w:tr>
        <w:trPr/>
        <w:tc>
          <w:tcPr>
            <w:tcW w:w="59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55" w:type="dxa"/>
            <w:gridSpan w:val="6"/>
            <w:tcBorders/>
            <w:shd w:fill="auto" w:val="cle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95" w:type="dxa"/>
            <w:gridSpan w:val="6"/>
            <w:tcBorders/>
            <w:shd w:fill="auto" w:val="cle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135" w:type="dxa"/>
            <w:tcBorders/>
            <w:shd w:fill="auto" w:val="clear"/>
            <w:vAlign w:val="bottom"/>
          </w:tcPr>
          <w:p>
            <w:pPr>
              <w:pStyle w:val="TableContents"/>
              <w:spacing w:before="0" w:after="283"/>
              <w:rPr/>
            </w:pPr>
            <w:r>
              <w:rPr/>
              <w:t>  </w:t>
            </w:r>
          </w:p>
        </w:tc>
      </w:tr>
      <w:tr>
        <w:trPr/>
        <w:tc>
          <w:tcPr>
            <w:tcW w:w="59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15"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10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67"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135" w:type="dxa"/>
            <w:tcBorders/>
            <w:shd w:fill="auto" w:val="clear"/>
            <w:vAlign w:val="bottom"/>
          </w:tcPr>
          <w:p>
            <w:pPr>
              <w:pStyle w:val="TableContents"/>
              <w:spacing w:before="0" w:after="283"/>
              <w:rPr/>
            </w:pPr>
            <w:r>
              <w:rPr/>
              <w:t> </w:t>
            </w:r>
          </w:p>
        </w:tc>
      </w:tr>
      <w:tr>
        <w:trPr/>
        <w:tc>
          <w:tcPr>
            <w:tcW w:w="59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990" w:type="dxa"/>
            <w:gridSpan w:val="14"/>
            <w:tcBorders/>
            <w:shd w:fill="auto" w:val="clear"/>
            <w:vAlign w:val="bottom"/>
          </w:tcPr>
          <w:p>
            <w:pPr>
              <w:pStyle w:val="TableContents"/>
              <w:spacing w:before="0" w:after="0"/>
              <w:jc w:val="center"/>
              <w:rPr/>
            </w:pPr>
            <w:r>
              <w:rPr/>
              <w:t>(unaudited - In thousands)</w:t>
            </w:r>
          </w:p>
        </w:tc>
        <w:tc>
          <w:tcPr>
            <w:tcW w:w="135" w:type="dxa"/>
            <w:tcBorders/>
            <w:shd w:fill="auto" w:val="clear"/>
            <w:vAlign w:val="bottom"/>
          </w:tcPr>
          <w:p>
            <w:pPr>
              <w:pStyle w:val="TableContents"/>
              <w:spacing w:before="0" w:after="283"/>
              <w:rPr/>
            </w:pPr>
            <w:r>
              <w:rPr/>
              <w:t> </w:t>
            </w:r>
          </w:p>
        </w:tc>
      </w:tr>
      <w:tr>
        <w:trPr/>
        <w:tc>
          <w:tcPr>
            <w:tcW w:w="59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55" w:type="dxa"/>
            <w:gridSpan w:val="6"/>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95" w:type="dxa"/>
            <w:gridSpan w:val="6"/>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5960" w:type="dxa"/>
            <w:tcBorders/>
            <w:shd w:fill="CCEEFF" w:val="clear"/>
            <w:vAlign w:val="bottom"/>
          </w:tcPr>
          <w:p>
            <w:pPr>
              <w:pStyle w:val="TableContents"/>
              <w:spacing w:before="0" w:after="0"/>
              <w:ind w:left="180" w:right="0" w:hanging="180"/>
              <w:rPr>
                <w:rFonts w:ascii="quot" w:hAnsi="quot"/>
              </w:rPr>
            </w:pPr>
            <w:r>
              <w:rPr>
                <w:rFonts w:ascii="quot" w:hAnsi="quot"/>
              </w:rPr>
              <w:t>Net income</w:t>
            </w:r>
          </w:p>
        </w:tc>
        <w:tc>
          <w:tcPr>
            <w:tcW w:w="1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0"/>
              <w:rPr/>
            </w:pPr>
            <w:r>
              <w:rPr/>
              <w:t>$</w:t>
            </w:r>
          </w:p>
        </w:tc>
        <w:tc>
          <w:tcPr>
            <w:tcW w:w="759" w:type="dxa"/>
            <w:tcBorders/>
            <w:shd w:fill="CCEEFF" w:val="clear"/>
            <w:vAlign w:val="bottom"/>
          </w:tcPr>
          <w:p>
            <w:pPr>
              <w:pStyle w:val="TableContents"/>
              <w:spacing w:before="0" w:after="0"/>
              <w:jc w:val="right"/>
              <w:rPr/>
            </w:pPr>
            <w:r>
              <w:rPr/>
              <w:t>10,730</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0"/>
              <w:rPr/>
            </w:pPr>
            <w:r>
              <w:rPr/>
              <w:t>$</w:t>
            </w:r>
          </w:p>
        </w:tc>
        <w:tc>
          <w:tcPr>
            <w:tcW w:w="711" w:type="dxa"/>
            <w:tcBorders/>
            <w:shd w:fill="CCEEFF" w:val="clear"/>
            <w:vAlign w:val="bottom"/>
          </w:tcPr>
          <w:p>
            <w:pPr>
              <w:pStyle w:val="TableContents"/>
              <w:spacing w:before="0" w:after="0"/>
              <w:jc w:val="right"/>
              <w:rPr/>
            </w:pPr>
            <w:r>
              <w:rPr/>
              <w:t>8,817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20,111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17,978</w:t>
            </w:r>
          </w:p>
        </w:tc>
        <w:tc>
          <w:tcPr>
            <w:tcW w:w="135" w:type="dxa"/>
            <w:tcBorders/>
            <w:shd w:fill="CCEEFF" w:val="clear"/>
            <w:vAlign w:val="bottom"/>
          </w:tcPr>
          <w:p>
            <w:pPr>
              <w:pStyle w:val="TableContents"/>
              <w:spacing w:before="0" w:after="283"/>
              <w:rPr/>
            </w:pPr>
            <w:r>
              <w:rPr/>
              <w:t> </w:t>
            </w:r>
          </w:p>
        </w:tc>
      </w:tr>
      <w:tr>
        <w:trPr/>
        <w:tc>
          <w:tcPr>
            <w:tcW w:w="5960" w:type="dxa"/>
            <w:tcBorders/>
            <w:shd w:fill="FFFFFF" w:val="clear"/>
            <w:vAlign w:val="bottom"/>
          </w:tcPr>
          <w:p>
            <w:pPr>
              <w:pStyle w:val="TableContents"/>
              <w:spacing w:before="0" w:after="0"/>
              <w:ind w:left="180" w:right="0" w:hanging="180"/>
              <w:rPr>
                <w:rFonts w:ascii="quot" w:hAnsi="quot"/>
              </w:rPr>
            </w:pPr>
            <w:r>
              <w:rPr>
                <w:rFonts w:ascii="quot" w:hAnsi="quot"/>
              </w:rPr>
              <w:t>Other comprehensive income (loss)</w:t>
            </w:r>
          </w:p>
        </w:tc>
        <w:tc>
          <w:tcPr>
            <w:tcW w:w="120"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59"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11"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r>
      <w:tr>
        <w:trPr/>
        <w:tc>
          <w:tcPr>
            <w:tcW w:w="5960" w:type="dxa"/>
            <w:tcBorders/>
            <w:shd w:fill="CCEEFF" w:val="clear"/>
            <w:vAlign w:val="bottom"/>
          </w:tcPr>
          <w:p>
            <w:pPr>
              <w:pStyle w:val="TableContents"/>
              <w:spacing w:before="0" w:after="0"/>
              <w:ind w:left="360" w:right="0" w:hanging="180"/>
              <w:rPr/>
            </w:pPr>
            <w:r>
              <w:rPr/>
              <w:t>Securities available for sale</w:t>
            </w:r>
          </w:p>
        </w:tc>
        <w:tc>
          <w:tcPr>
            <w:tcW w:w="1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5960" w:type="dxa"/>
            <w:tcBorders/>
            <w:shd w:fill="FFFFFF" w:val="clear"/>
            <w:vAlign w:val="bottom"/>
          </w:tcPr>
          <w:p>
            <w:pPr>
              <w:pStyle w:val="TableContents"/>
              <w:spacing w:before="0" w:after="0"/>
              <w:ind w:left="540" w:right="0" w:hanging="180"/>
              <w:rPr/>
            </w:pPr>
            <w:r>
              <w:rPr/>
              <w:t>Unrealized gains (losses) arising during period</w:t>
            </w:r>
          </w:p>
        </w:tc>
        <w:tc>
          <w:tcPr>
            <w:tcW w:w="120"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59" w:type="dxa"/>
            <w:tcBorders/>
            <w:shd w:fill="FFFFFF" w:val="clear"/>
            <w:vAlign w:val="bottom"/>
          </w:tcPr>
          <w:p>
            <w:pPr>
              <w:pStyle w:val="TableContents"/>
              <w:spacing w:before="0" w:after="0"/>
              <w:jc w:val="right"/>
              <w:rPr/>
            </w:pPr>
            <w:r>
              <w:rPr/>
              <w:t>3,920</w:t>
            </w:r>
          </w:p>
        </w:tc>
        <w:tc>
          <w:tcPr>
            <w:tcW w:w="106"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11" w:type="dxa"/>
            <w:tcBorders/>
            <w:shd w:fill="FFFFFF" w:val="clear"/>
            <w:vAlign w:val="bottom"/>
          </w:tcPr>
          <w:p>
            <w:pPr>
              <w:pStyle w:val="TableContents"/>
              <w:spacing w:before="0" w:after="0"/>
              <w:jc w:val="right"/>
              <w:rPr/>
            </w:pPr>
            <w:r>
              <w:rPr/>
              <w:t>(1,198</w:t>
            </w:r>
          </w:p>
        </w:tc>
        <w:tc>
          <w:tcPr>
            <w:tcW w:w="120" w:type="dxa"/>
            <w:tcBorders/>
            <w:shd w:fill="FFFFFF" w:val="clear"/>
            <w:vAlign w:val="bottom"/>
          </w:tcPr>
          <w:p>
            <w:pPr>
              <w:pStyle w:val="TableContents"/>
              <w:spacing w:before="0" w:after="0"/>
              <w:rPr/>
            </w:pPr>
            <w:r>
              <w:rPr/>
              <w:t>)</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9,284</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(5,063</w:t>
            </w:r>
          </w:p>
        </w:tc>
        <w:tc>
          <w:tcPr>
            <w:tcW w:w="135" w:type="dxa"/>
            <w:tcBorders/>
            <w:shd w:fill="FFFFFF" w:val="clear"/>
            <w:vAlign w:val="bottom"/>
          </w:tcPr>
          <w:p>
            <w:pPr>
              <w:pStyle w:val="TableContents"/>
              <w:spacing w:before="0" w:after="0"/>
              <w:rPr/>
            </w:pPr>
            <w:r>
              <w:rPr/>
              <w:t>)</w:t>
            </w:r>
          </w:p>
        </w:tc>
      </w:tr>
      <w:tr>
        <w:trPr/>
        <w:tc>
          <w:tcPr>
            <w:tcW w:w="5960" w:type="dxa"/>
            <w:tcBorders/>
            <w:shd w:fill="CCEEFF" w:val="clear"/>
            <w:vAlign w:val="bottom"/>
          </w:tcPr>
          <w:p>
            <w:pPr>
              <w:pStyle w:val="TableContents"/>
              <w:spacing w:before="0" w:after="0"/>
              <w:ind w:left="540" w:right="0" w:hanging="180"/>
              <w:rPr/>
            </w:pPr>
            <w:r>
              <w:rPr/>
              <w:t>Change in unrealized losses for which a portion of other than temporary impairment has been recognized in earnings</w:t>
            </w:r>
          </w:p>
        </w:tc>
        <w:tc>
          <w:tcPr>
            <w:tcW w:w="1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0"/>
              <w:jc w:val="right"/>
              <w:rPr/>
            </w:pPr>
            <w:r>
              <w:rPr/>
              <w:t>-</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0"/>
              <w:jc w:val="right"/>
              <w:rPr/>
            </w:pPr>
            <w:r>
              <w:rPr/>
              <w:t>(2</w:t>
            </w:r>
          </w:p>
        </w:tc>
        <w:tc>
          <w:tcPr>
            <w:tcW w:w="120" w:type="dxa"/>
            <w:tcBorders/>
            <w:shd w:fill="CCEEFF" w:val="clear"/>
            <w:vAlign w:val="bottom"/>
          </w:tcPr>
          <w:p>
            <w:pPr>
              <w:pStyle w:val="TableContents"/>
              <w:spacing w:before="0" w:after="0"/>
              <w:rPr/>
            </w:pPr>
            <w:r>
              <w:rPr/>
              <w:t>)</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w:t>
            </w:r>
          </w:p>
        </w:tc>
        <w:tc>
          <w:tcPr>
            <w:tcW w:w="135" w:type="dxa"/>
            <w:tcBorders/>
            <w:shd w:fill="CCEEFF" w:val="clear"/>
            <w:vAlign w:val="bottom"/>
          </w:tcPr>
          <w:p>
            <w:pPr>
              <w:pStyle w:val="TableContents"/>
              <w:spacing w:before="0" w:after="0"/>
              <w:rPr/>
            </w:pPr>
            <w:r>
              <w:rPr/>
              <w:t>)</w:t>
            </w:r>
          </w:p>
        </w:tc>
      </w:tr>
      <w:tr>
        <w:trPr/>
        <w:tc>
          <w:tcPr>
            <w:tcW w:w="5960" w:type="dxa"/>
            <w:tcBorders/>
            <w:shd w:fill="FFFFFF" w:val="clear"/>
            <w:vAlign w:val="bottom"/>
          </w:tcPr>
          <w:p>
            <w:pPr>
              <w:pStyle w:val="TableContents"/>
              <w:spacing w:before="0" w:after="0"/>
              <w:ind w:left="540" w:right="0" w:hanging="180"/>
              <w:rPr/>
            </w:pPr>
            <w:r>
              <w:rPr/>
              <w:t>Reclassification adjustments for (gains) losses included in earnings</w:t>
            </w:r>
          </w:p>
        </w:tc>
        <w:tc>
          <w:tcPr>
            <w:tcW w:w="120"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9"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106"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1" w:type="dxa"/>
            <w:tcBorders>
              <w:bottom w:val="single" w:sz="12" w:space="0" w:color="000000"/>
            </w:tcBorders>
            <w:shd w:fill="FFFFFF" w:val="clear"/>
            <w:tcMar>
              <w:bottom w:w="28" w:type="dxa"/>
            </w:tcMar>
            <w:vAlign w:val="bottom"/>
          </w:tcPr>
          <w:p>
            <w:pPr>
              <w:pStyle w:val="TableContents"/>
              <w:spacing w:before="0" w:after="0"/>
              <w:jc w:val="right"/>
              <w:rPr/>
            </w:pPr>
            <w:r>
              <w:rPr/>
              <w:t>26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(137</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45</w:t>
            </w:r>
          </w:p>
        </w:tc>
        <w:tc>
          <w:tcPr>
            <w:tcW w:w="135" w:type="dxa"/>
            <w:tcBorders/>
            <w:shd w:fill="FFFFFF" w:val="clear"/>
            <w:vAlign w:val="bottom"/>
          </w:tcPr>
          <w:p>
            <w:pPr>
              <w:pStyle w:val="TableContents"/>
              <w:spacing w:before="0" w:after="283"/>
              <w:rPr/>
            </w:pPr>
            <w:r>
              <w:rPr/>
              <w:t> </w:t>
            </w:r>
          </w:p>
        </w:tc>
      </w:tr>
      <w:tr>
        <w:trPr/>
        <w:tc>
          <w:tcPr>
            <w:tcW w:w="5960" w:type="dxa"/>
            <w:tcBorders/>
            <w:shd w:fill="CCEEFF" w:val="clear"/>
            <w:vAlign w:val="bottom"/>
          </w:tcPr>
          <w:p>
            <w:pPr>
              <w:pStyle w:val="TableContents"/>
              <w:spacing w:before="0" w:after="0"/>
              <w:ind w:left="180" w:right="0" w:hanging="180"/>
              <w:jc w:val="right"/>
              <w:rPr/>
            </w:pPr>
            <w:r>
              <w:rPr/>
              <w:t>Unrealized gains (losses) recognized in other comprehensive income (loss) on securities available for sale</w:t>
            </w:r>
          </w:p>
        </w:tc>
        <w:tc>
          <w:tcPr>
            <w:tcW w:w="1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0"/>
              <w:jc w:val="right"/>
              <w:rPr/>
            </w:pPr>
            <w:r>
              <w:rPr/>
              <w:t>3,920</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0"/>
              <w:jc w:val="right"/>
              <w:rPr/>
            </w:pPr>
            <w:r>
              <w:rPr/>
              <w:t>(1,174</w:t>
            </w:r>
          </w:p>
        </w:tc>
        <w:tc>
          <w:tcPr>
            <w:tcW w:w="120" w:type="dxa"/>
            <w:tcBorders/>
            <w:shd w:fill="CCEEFF" w:val="clear"/>
            <w:vAlign w:val="bottom"/>
          </w:tcPr>
          <w:p>
            <w:pPr>
              <w:pStyle w:val="TableContents"/>
              <w:spacing w:before="0" w:after="0"/>
              <w:rPr/>
            </w:pPr>
            <w:r>
              <w:rPr/>
              <w:t>)</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9,145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(5,021</w:t>
            </w:r>
          </w:p>
        </w:tc>
        <w:tc>
          <w:tcPr>
            <w:tcW w:w="135" w:type="dxa"/>
            <w:tcBorders/>
            <w:shd w:fill="CCEEFF" w:val="clear"/>
            <w:vAlign w:val="bottom"/>
          </w:tcPr>
          <w:p>
            <w:pPr>
              <w:pStyle w:val="TableContents"/>
              <w:spacing w:before="0" w:after="0"/>
              <w:rPr/>
            </w:pPr>
            <w:r>
              <w:rPr/>
              <w:t>)</w:t>
            </w:r>
          </w:p>
        </w:tc>
      </w:tr>
      <w:tr>
        <w:trPr/>
        <w:tc>
          <w:tcPr>
            <w:tcW w:w="5960" w:type="dxa"/>
            <w:tcBorders/>
            <w:shd w:fill="FFFFFF" w:val="clear"/>
            <w:vAlign w:val="bottom"/>
          </w:tcPr>
          <w:p>
            <w:pPr>
              <w:pStyle w:val="TableContents"/>
              <w:spacing w:before="0" w:after="0"/>
              <w:ind w:left="720" w:right="0" w:hanging="180"/>
              <w:rPr/>
            </w:pPr>
            <w:r>
              <w:rPr/>
              <w:t>Income tax expense (benefit)</w:t>
            </w:r>
          </w:p>
        </w:tc>
        <w:tc>
          <w:tcPr>
            <w:tcW w:w="120"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9" w:type="dxa"/>
            <w:tcBorders>
              <w:bottom w:val="single" w:sz="12" w:space="0" w:color="000000"/>
            </w:tcBorders>
            <w:shd w:fill="FFFFFF" w:val="clear"/>
            <w:tcMar>
              <w:bottom w:w="28" w:type="dxa"/>
            </w:tcMar>
            <w:vAlign w:val="bottom"/>
          </w:tcPr>
          <w:p>
            <w:pPr>
              <w:pStyle w:val="TableContents"/>
              <w:spacing w:before="0" w:after="0"/>
              <w:jc w:val="right"/>
              <w:rPr/>
            </w:pPr>
            <w:r>
              <w:rPr/>
              <w:t>823</w:t>
            </w:r>
          </w:p>
        </w:tc>
        <w:tc>
          <w:tcPr>
            <w:tcW w:w="106"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1" w:type="dxa"/>
            <w:tcBorders>
              <w:bottom w:val="single" w:sz="12" w:space="0" w:color="000000"/>
            </w:tcBorders>
            <w:shd w:fill="FFFFFF" w:val="clear"/>
            <w:tcMar>
              <w:bottom w:w="28" w:type="dxa"/>
            </w:tcMar>
            <w:vAlign w:val="bottom"/>
          </w:tcPr>
          <w:p>
            <w:pPr>
              <w:pStyle w:val="TableContents"/>
              <w:spacing w:before="0" w:after="0"/>
              <w:jc w:val="right"/>
              <w:rPr/>
            </w:pPr>
            <w:r>
              <w:rPr/>
              <w:t>(246</w:t>
            </w:r>
          </w:p>
        </w:tc>
        <w:tc>
          <w:tcPr>
            <w:tcW w:w="120" w:type="dxa"/>
            <w:tcBorders/>
            <w:shd w:fill="FFFFFF" w:val="clear"/>
            <w:vAlign w:val="bottom"/>
          </w:tcPr>
          <w:p>
            <w:pPr>
              <w:pStyle w:val="TableContents"/>
              <w:spacing w:before="0" w:after="0"/>
              <w:rPr/>
            </w:pPr>
            <w:r>
              <w:rPr/>
              <w:t>)</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1,920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(1,054</w:t>
            </w:r>
          </w:p>
        </w:tc>
        <w:tc>
          <w:tcPr>
            <w:tcW w:w="135" w:type="dxa"/>
            <w:tcBorders/>
            <w:shd w:fill="FFFFFF" w:val="clear"/>
            <w:vAlign w:val="bottom"/>
          </w:tcPr>
          <w:p>
            <w:pPr>
              <w:pStyle w:val="TableContents"/>
              <w:spacing w:before="0" w:after="0"/>
              <w:rPr/>
            </w:pPr>
            <w:r>
              <w:rPr/>
              <w:t>)</w:t>
            </w:r>
          </w:p>
        </w:tc>
      </w:tr>
      <w:tr>
        <w:trPr/>
        <w:tc>
          <w:tcPr>
            <w:tcW w:w="5960" w:type="dxa"/>
            <w:tcBorders/>
            <w:shd w:fill="CCEEFF" w:val="clear"/>
            <w:vAlign w:val="bottom"/>
          </w:tcPr>
          <w:p>
            <w:pPr>
              <w:pStyle w:val="TableContents"/>
              <w:spacing w:before="0" w:after="0"/>
              <w:jc w:val="right"/>
              <w:rPr/>
            </w:pPr>
            <w:r>
              <w:rPr/>
              <w:t>Unrealized gains (losses) recognized in other comprehensive income (loss) on securities available for sale, net of tax</w:t>
            </w:r>
          </w:p>
        </w:tc>
        <w:tc>
          <w:tcPr>
            <w:tcW w:w="120"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9" w:type="dxa"/>
            <w:tcBorders>
              <w:bottom w:val="single" w:sz="12" w:space="0" w:color="000000"/>
            </w:tcBorders>
            <w:shd w:fill="CCEEFF" w:val="clear"/>
            <w:tcMar>
              <w:bottom w:w="28" w:type="dxa"/>
            </w:tcMar>
            <w:vAlign w:val="bottom"/>
          </w:tcPr>
          <w:p>
            <w:pPr>
              <w:pStyle w:val="TableContents"/>
              <w:spacing w:before="0" w:after="0"/>
              <w:jc w:val="right"/>
              <w:rPr/>
            </w:pPr>
            <w:r>
              <w:rPr/>
              <w:t>3,097</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11" w:type="dxa"/>
            <w:tcBorders>
              <w:bottom w:val="single" w:sz="12" w:space="0" w:color="000000"/>
            </w:tcBorders>
            <w:shd w:fill="CCEEFF" w:val="clear"/>
            <w:tcMar>
              <w:bottom w:w="28" w:type="dxa"/>
            </w:tcMar>
            <w:vAlign w:val="bottom"/>
          </w:tcPr>
          <w:p>
            <w:pPr>
              <w:pStyle w:val="TableContents"/>
              <w:spacing w:before="0" w:after="0"/>
              <w:jc w:val="right"/>
              <w:rPr/>
            </w:pPr>
            <w:r>
              <w:rPr/>
              <w:t>(928</w:t>
            </w:r>
          </w:p>
        </w:tc>
        <w:tc>
          <w:tcPr>
            <w:tcW w:w="120" w:type="dxa"/>
            <w:tcBorders/>
            <w:shd w:fill="CCEEFF" w:val="clear"/>
            <w:vAlign w:val="bottom"/>
          </w:tcPr>
          <w:p>
            <w:pPr>
              <w:pStyle w:val="TableContents"/>
              <w:spacing w:before="0" w:after="0"/>
              <w:rPr/>
            </w:pPr>
            <w:r>
              <w:rPr/>
              <w:t>)</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7,225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(3,967</w:t>
            </w:r>
          </w:p>
        </w:tc>
        <w:tc>
          <w:tcPr>
            <w:tcW w:w="135" w:type="dxa"/>
            <w:tcBorders/>
            <w:shd w:fill="CCEEFF" w:val="clear"/>
            <w:vAlign w:val="bottom"/>
          </w:tcPr>
          <w:p>
            <w:pPr>
              <w:pStyle w:val="TableContents"/>
              <w:spacing w:before="0" w:after="0"/>
              <w:rPr/>
            </w:pPr>
            <w:r>
              <w:rPr/>
              <w:t>)</w:t>
            </w:r>
          </w:p>
        </w:tc>
      </w:tr>
      <w:tr>
        <w:trPr/>
        <w:tc>
          <w:tcPr>
            <w:tcW w:w="5960" w:type="dxa"/>
            <w:tcBorders/>
            <w:shd w:fill="FFFFFF" w:val="clear"/>
            <w:vAlign w:val="bottom"/>
          </w:tcPr>
          <w:p>
            <w:pPr>
              <w:pStyle w:val="TableContents"/>
              <w:spacing w:before="0" w:after="0"/>
              <w:ind w:left="360" w:right="0" w:hanging="180"/>
              <w:rPr/>
            </w:pPr>
            <w:r>
              <w:rPr/>
              <w:t>Derivative instruments</w:t>
            </w:r>
          </w:p>
        </w:tc>
        <w:tc>
          <w:tcPr>
            <w:tcW w:w="120"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59"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11"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r>
      <w:tr>
        <w:trPr/>
        <w:tc>
          <w:tcPr>
            <w:tcW w:w="5960" w:type="dxa"/>
            <w:tcBorders/>
            <w:shd w:fill="CCEEFF" w:val="clear"/>
            <w:vAlign w:val="bottom"/>
          </w:tcPr>
          <w:p>
            <w:pPr>
              <w:pStyle w:val="TableContents"/>
              <w:spacing w:before="0" w:after="0"/>
              <w:ind w:left="540" w:right="0" w:hanging="180"/>
              <w:rPr/>
            </w:pPr>
            <w:r>
              <w:rPr/>
              <w:t>Unrealized gain (loss) arising during period</w:t>
            </w:r>
          </w:p>
        </w:tc>
        <w:tc>
          <w:tcPr>
            <w:tcW w:w="1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0"/>
              <w:jc w:val="right"/>
              <w:rPr/>
            </w:pPr>
            <w:r>
              <w:rPr/>
              <w:t>(756</w:t>
            </w:r>
          </w:p>
        </w:tc>
        <w:tc>
          <w:tcPr>
            <w:tcW w:w="106" w:type="dxa"/>
            <w:tcBorders/>
            <w:shd w:fill="CCEEFF" w:val="clear"/>
            <w:vAlign w:val="bottom"/>
          </w:tcPr>
          <w:p>
            <w:pPr>
              <w:pStyle w:val="TableContents"/>
              <w:spacing w:before="0" w:after="0"/>
              <w:rPr/>
            </w:pPr>
            <w:r>
              <w:rPr/>
              <w:t>)</w:t>
            </w:r>
          </w:p>
        </w:tc>
        <w:tc>
          <w:tcPr>
            <w:tcW w:w="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0"/>
              <w:jc w:val="right"/>
              <w:rPr/>
            </w:pPr>
            <w:r>
              <w:rPr/>
              <w:t>327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(1,668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1,011</w:t>
            </w:r>
          </w:p>
        </w:tc>
        <w:tc>
          <w:tcPr>
            <w:tcW w:w="135" w:type="dxa"/>
            <w:tcBorders/>
            <w:shd w:fill="CCEEFF" w:val="clear"/>
            <w:vAlign w:val="bottom"/>
          </w:tcPr>
          <w:p>
            <w:pPr>
              <w:pStyle w:val="TableContents"/>
              <w:spacing w:before="0" w:after="283"/>
              <w:rPr/>
            </w:pPr>
            <w:r>
              <w:rPr/>
              <w:t> </w:t>
            </w:r>
          </w:p>
        </w:tc>
      </w:tr>
      <w:tr>
        <w:trPr/>
        <w:tc>
          <w:tcPr>
            <w:tcW w:w="5960" w:type="dxa"/>
            <w:tcBorders/>
            <w:shd w:fill="FFFFFF" w:val="clear"/>
            <w:vAlign w:val="bottom"/>
          </w:tcPr>
          <w:p>
            <w:pPr>
              <w:pStyle w:val="TableContents"/>
              <w:spacing w:before="0" w:after="0"/>
              <w:ind w:left="540" w:right="0" w:hanging="180"/>
              <w:rPr/>
            </w:pPr>
            <w:r>
              <w:rPr/>
              <w:t>Reclassification adjustment for income recognized in earnings</w:t>
            </w:r>
          </w:p>
        </w:tc>
        <w:tc>
          <w:tcPr>
            <w:tcW w:w="120"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9" w:type="dxa"/>
            <w:tcBorders>
              <w:bottom w:val="single" w:sz="12" w:space="0" w:color="000000"/>
            </w:tcBorders>
            <w:shd w:fill="FFFFFF" w:val="clear"/>
            <w:tcMar>
              <w:bottom w:w="28" w:type="dxa"/>
            </w:tcMar>
            <w:vAlign w:val="bottom"/>
          </w:tcPr>
          <w:p>
            <w:pPr>
              <w:pStyle w:val="TableContents"/>
              <w:spacing w:before="0" w:after="0"/>
              <w:jc w:val="right"/>
              <w:rPr/>
            </w:pPr>
            <w:r>
              <w:rPr/>
              <w:t>(142</w:t>
            </w:r>
          </w:p>
        </w:tc>
        <w:tc>
          <w:tcPr>
            <w:tcW w:w="106" w:type="dxa"/>
            <w:tcBorders/>
            <w:shd w:fill="FFFFFF" w:val="clear"/>
            <w:vAlign w:val="bottom"/>
          </w:tcPr>
          <w:p>
            <w:pPr>
              <w:pStyle w:val="TableContents"/>
              <w:spacing w:before="0" w:after="0"/>
              <w:rPr/>
            </w:pPr>
            <w:r>
              <w:rPr/>
              <w:t>)</w:t>
            </w:r>
          </w:p>
        </w:tc>
        <w:tc>
          <w:tcPr>
            <w:tcW w:w="67"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1" w:type="dxa"/>
            <w:tcBorders>
              <w:bottom w:val="single" w:sz="12" w:space="0" w:color="000000"/>
            </w:tcBorders>
            <w:shd w:fill="FFFFFF" w:val="clear"/>
            <w:tcMar>
              <w:bottom w:w="28" w:type="dxa"/>
            </w:tcMar>
            <w:vAlign w:val="bottom"/>
          </w:tcPr>
          <w:p>
            <w:pPr>
              <w:pStyle w:val="TableContents"/>
              <w:spacing w:before="0" w:after="0"/>
              <w:jc w:val="right"/>
              <w:rPr/>
            </w:pPr>
            <w:r>
              <w:rPr/>
              <w:t>(53</w:t>
            </w:r>
          </w:p>
        </w:tc>
        <w:tc>
          <w:tcPr>
            <w:tcW w:w="120" w:type="dxa"/>
            <w:tcBorders/>
            <w:shd w:fill="FFFFFF" w:val="clear"/>
            <w:vAlign w:val="bottom"/>
          </w:tcPr>
          <w:p>
            <w:pPr>
              <w:pStyle w:val="TableContents"/>
              <w:spacing w:before="0" w:after="0"/>
              <w:rPr/>
            </w:pPr>
            <w:r>
              <w:rPr/>
              <w:t>)</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(291</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(59</w:t>
            </w:r>
          </w:p>
        </w:tc>
        <w:tc>
          <w:tcPr>
            <w:tcW w:w="135" w:type="dxa"/>
            <w:tcBorders/>
            <w:shd w:fill="FFFFFF" w:val="clear"/>
            <w:vAlign w:val="bottom"/>
          </w:tcPr>
          <w:p>
            <w:pPr>
              <w:pStyle w:val="TableContents"/>
              <w:spacing w:before="0" w:after="0"/>
              <w:rPr/>
            </w:pPr>
            <w:r>
              <w:rPr/>
              <w:t>)</w:t>
            </w:r>
          </w:p>
        </w:tc>
      </w:tr>
      <w:tr>
        <w:trPr/>
        <w:tc>
          <w:tcPr>
            <w:tcW w:w="5960" w:type="dxa"/>
            <w:tcBorders/>
            <w:shd w:fill="CCEEFF" w:val="clear"/>
            <w:vAlign w:val="bottom"/>
          </w:tcPr>
          <w:p>
            <w:pPr>
              <w:pStyle w:val="TableContents"/>
              <w:spacing w:before="0" w:after="0"/>
              <w:ind w:left="180" w:right="0" w:hanging="180"/>
              <w:jc w:val="right"/>
              <w:rPr/>
            </w:pPr>
            <w:r>
              <w:rPr/>
              <w:t>Unrealized gains (losses) recognized in other comprehensive income (loss) on derivative instruments</w:t>
            </w:r>
          </w:p>
        </w:tc>
        <w:tc>
          <w:tcPr>
            <w:tcW w:w="12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0"/>
              <w:jc w:val="right"/>
              <w:rPr/>
            </w:pPr>
            <w:r>
              <w:rPr/>
              <w:t>(898</w:t>
            </w:r>
          </w:p>
        </w:tc>
        <w:tc>
          <w:tcPr>
            <w:tcW w:w="106" w:type="dxa"/>
            <w:tcBorders/>
            <w:shd w:fill="CCEEFF" w:val="clear"/>
            <w:vAlign w:val="bottom"/>
          </w:tcPr>
          <w:p>
            <w:pPr>
              <w:pStyle w:val="TableContents"/>
              <w:spacing w:before="0" w:after="0"/>
              <w:rPr/>
            </w:pPr>
            <w:r>
              <w:rPr/>
              <w:t>)</w:t>
            </w:r>
          </w:p>
        </w:tc>
        <w:tc>
          <w:tcPr>
            <w:tcW w:w="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0"/>
              <w:jc w:val="right"/>
              <w:rPr/>
            </w:pPr>
            <w:r>
              <w:rPr/>
              <w:t>274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(1,959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952</w:t>
            </w:r>
          </w:p>
        </w:tc>
        <w:tc>
          <w:tcPr>
            <w:tcW w:w="135" w:type="dxa"/>
            <w:tcBorders/>
            <w:shd w:fill="CCEEFF" w:val="clear"/>
            <w:vAlign w:val="bottom"/>
          </w:tcPr>
          <w:p>
            <w:pPr>
              <w:pStyle w:val="TableContents"/>
              <w:spacing w:before="0" w:after="283"/>
              <w:rPr/>
            </w:pPr>
            <w:r>
              <w:rPr/>
              <w:t> </w:t>
            </w:r>
          </w:p>
        </w:tc>
      </w:tr>
      <w:tr>
        <w:trPr/>
        <w:tc>
          <w:tcPr>
            <w:tcW w:w="5960" w:type="dxa"/>
            <w:tcBorders/>
            <w:shd w:fill="FFFFFF" w:val="clear"/>
            <w:vAlign w:val="bottom"/>
          </w:tcPr>
          <w:p>
            <w:pPr>
              <w:pStyle w:val="TableContents"/>
              <w:spacing w:before="0" w:after="0"/>
              <w:ind w:left="720" w:right="0" w:hanging="180"/>
              <w:rPr/>
            </w:pPr>
            <w:r>
              <w:rPr/>
              <w:t>Income tax expense (benefit)</w:t>
            </w:r>
          </w:p>
        </w:tc>
        <w:tc>
          <w:tcPr>
            <w:tcW w:w="120"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9" w:type="dxa"/>
            <w:tcBorders>
              <w:bottom w:val="single" w:sz="12" w:space="0" w:color="000000"/>
            </w:tcBorders>
            <w:shd w:fill="FFFFFF" w:val="clear"/>
            <w:tcMar>
              <w:bottom w:w="28" w:type="dxa"/>
            </w:tcMar>
            <w:vAlign w:val="bottom"/>
          </w:tcPr>
          <w:p>
            <w:pPr>
              <w:pStyle w:val="TableContents"/>
              <w:spacing w:before="0" w:after="0"/>
              <w:jc w:val="right"/>
              <w:rPr/>
            </w:pPr>
            <w:r>
              <w:rPr/>
              <w:t>(187</w:t>
            </w:r>
          </w:p>
        </w:tc>
        <w:tc>
          <w:tcPr>
            <w:tcW w:w="106" w:type="dxa"/>
            <w:tcBorders/>
            <w:shd w:fill="FFFFFF" w:val="clear"/>
            <w:vAlign w:val="bottom"/>
          </w:tcPr>
          <w:p>
            <w:pPr>
              <w:pStyle w:val="TableContents"/>
              <w:spacing w:before="0" w:after="0"/>
              <w:rPr/>
            </w:pPr>
            <w:r>
              <w:rPr/>
              <w:t>)</w:t>
            </w:r>
          </w:p>
        </w:tc>
        <w:tc>
          <w:tcPr>
            <w:tcW w:w="67"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1" w:type="dxa"/>
            <w:tcBorders>
              <w:bottom w:val="single" w:sz="12" w:space="0" w:color="000000"/>
            </w:tcBorders>
            <w:shd w:fill="FFFFFF" w:val="clear"/>
            <w:tcMar>
              <w:bottom w:w="28" w:type="dxa"/>
            </w:tcMar>
            <w:vAlign w:val="bottom"/>
          </w:tcPr>
          <w:p>
            <w:pPr>
              <w:pStyle w:val="TableContents"/>
              <w:spacing w:before="0" w:after="0"/>
              <w:jc w:val="right"/>
              <w:rPr/>
            </w:pPr>
            <w:r>
              <w:rPr/>
              <w:t>58</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(411</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200</w:t>
            </w:r>
          </w:p>
        </w:tc>
        <w:tc>
          <w:tcPr>
            <w:tcW w:w="135" w:type="dxa"/>
            <w:tcBorders/>
            <w:shd w:fill="FFFFFF" w:val="clear"/>
            <w:vAlign w:val="bottom"/>
          </w:tcPr>
          <w:p>
            <w:pPr>
              <w:pStyle w:val="TableContents"/>
              <w:spacing w:before="0" w:after="283"/>
              <w:rPr/>
            </w:pPr>
            <w:r>
              <w:rPr/>
              <w:t> </w:t>
            </w:r>
          </w:p>
        </w:tc>
      </w:tr>
      <w:tr>
        <w:trPr/>
        <w:tc>
          <w:tcPr>
            <w:tcW w:w="5960" w:type="dxa"/>
            <w:tcBorders/>
            <w:shd w:fill="CCEEFF" w:val="clear"/>
            <w:vAlign w:val="bottom"/>
          </w:tcPr>
          <w:p>
            <w:pPr>
              <w:pStyle w:val="TableContents"/>
              <w:spacing w:before="0" w:after="0"/>
              <w:ind w:left="180" w:right="0" w:hanging="180"/>
              <w:jc w:val="right"/>
              <w:rPr/>
            </w:pPr>
            <w:r>
              <w:rPr/>
              <w:t>Unrealized gains (losses) recognized in other comprehensive income (loss) on derivative instruments, net of tax</w:t>
            </w:r>
          </w:p>
        </w:tc>
        <w:tc>
          <w:tcPr>
            <w:tcW w:w="120"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9" w:type="dxa"/>
            <w:tcBorders>
              <w:bottom w:val="single" w:sz="12" w:space="0" w:color="000000"/>
            </w:tcBorders>
            <w:shd w:fill="CCEEFF" w:val="clear"/>
            <w:tcMar>
              <w:bottom w:w="28" w:type="dxa"/>
            </w:tcMar>
            <w:vAlign w:val="bottom"/>
          </w:tcPr>
          <w:p>
            <w:pPr>
              <w:pStyle w:val="TableContents"/>
              <w:spacing w:before="0" w:after="0"/>
              <w:jc w:val="right"/>
              <w:rPr/>
            </w:pPr>
            <w:r>
              <w:rPr/>
              <w:t>(711</w:t>
            </w:r>
          </w:p>
        </w:tc>
        <w:tc>
          <w:tcPr>
            <w:tcW w:w="106" w:type="dxa"/>
            <w:tcBorders/>
            <w:shd w:fill="CCEEFF" w:val="clear"/>
            <w:vAlign w:val="bottom"/>
          </w:tcPr>
          <w:p>
            <w:pPr>
              <w:pStyle w:val="TableContents"/>
              <w:spacing w:before="0" w:after="0"/>
              <w:rPr/>
            </w:pPr>
            <w:r>
              <w:rPr/>
              <w:t>)</w:t>
            </w:r>
          </w:p>
        </w:tc>
        <w:tc>
          <w:tcPr>
            <w:tcW w:w="67"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11" w:type="dxa"/>
            <w:tcBorders>
              <w:bottom w:val="single" w:sz="12" w:space="0" w:color="000000"/>
            </w:tcBorders>
            <w:shd w:fill="CCEEFF" w:val="clear"/>
            <w:tcMar>
              <w:bottom w:w="28" w:type="dxa"/>
            </w:tcMar>
            <w:vAlign w:val="bottom"/>
          </w:tcPr>
          <w:p>
            <w:pPr>
              <w:pStyle w:val="TableContents"/>
              <w:spacing w:before="0" w:after="0"/>
              <w:jc w:val="right"/>
              <w:rPr/>
            </w:pPr>
            <w:r>
              <w:rPr/>
              <w:t>216</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(1,548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752</w:t>
            </w:r>
          </w:p>
        </w:tc>
        <w:tc>
          <w:tcPr>
            <w:tcW w:w="135" w:type="dxa"/>
            <w:tcBorders/>
            <w:shd w:fill="CCEEFF" w:val="clear"/>
            <w:vAlign w:val="bottom"/>
          </w:tcPr>
          <w:p>
            <w:pPr>
              <w:pStyle w:val="TableContents"/>
              <w:spacing w:before="0" w:after="283"/>
              <w:rPr/>
            </w:pPr>
            <w:r>
              <w:rPr/>
              <w:t> </w:t>
            </w:r>
          </w:p>
        </w:tc>
      </w:tr>
      <w:tr>
        <w:trPr/>
        <w:tc>
          <w:tcPr>
            <w:tcW w:w="5960" w:type="dxa"/>
            <w:tcBorders/>
            <w:shd w:fill="FFFFFF" w:val="clear"/>
            <w:vAlign w:val="bottom"/>
          </w:tcPr>
          <w:p>
            <w:pPr>
              <w:pStyle w:val="TableContents"/>
              <w:spacing w:before="0" w:after="0"/>
              <w:ind w:left="180" w:right="0" w:hanging="180"/>
              <w:jc w:val="right"/>
              <w:rPr/>
            </w:pPr>
            <w:r>
              <w:rPr/>
              <w:t>Other comprehensive income (loss)</w:t>
            </w:r>
          </w:p>
        </w:tc>
        <w:tc>
          <w:tcPr>
            <w:tcW w:w="120"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9" w:type="dxa"/>
            <w:tcBorders>
              <w:bottom w:val="single" w:sz="12" w:space="0" w:color="000000"/>
            </w:tcBorders>
            <w:shd w:fill="FFFFFF" w:val="clear"/>
            <w:tcMar>
              <w:bottom w:w="28" w:type="dxa"/>
            </w:tcMar>
            <w:vAlign w:val="bottom"/>
          </w:tcPr>
          <w:p>
            <w:pPr>
              <w:pStyle w:val="TableContents"/>
              <w:spacing w:before="0" w:after="0"/>
              <w:jc w:val="right"/>
              <w:rPr/>
            </w:pPr>
            <w:r>
              <w:rPr/>
              <w:t>2,386</w:t>
            </w:r>
          </w:p>
        </w:tc>
        <w:tc>
          <w:tcPr>
            <w:tcW w:w="106"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1" w:type="dxa"/>
            <w:tcBorders>
              <w:bottom w:val="single" w:sz="12" w:space="0" w:color="000000"/>
            </w:tcBorders>
            <w:shd w:fill="FFFFFF" w:val="clear"/>
            <w:tcMar>
              <w:bottom w:w="28" w:type="dxa"/>
            </w:tcMar>
            <w:vAlign w:val="bottom"/>
          </w:tcPr>
          <w:p>
            <w:pPr>
              <w:pStyle w:val="TableContents"/>
              <w:spacing w:before="0" w:after="0"/>
              <w:jc w:val="right"/>
              <w:rPr/>
            </w:pPr>
            <w:r>
              <w:rPr/>
              <w:t>(712</w:t>
            </w:r>
          </w:p>
        </w:tc>
        <w:tc>
          <w:tcPr>
            <w:tcW w:w="120" w:type="dxa"/>
            <w:tcBorders/>
            <w:shd w:fill="FFFFFF" w:val="clear"/>
            <w:vAlign w:val="bottom"/>
          </w:tcPr>
          <w:p>
            <w:pPr>
              <w:pStyle w:val="TableContents"/>
              <w:spacing w:before="0" w:after="0"/>
              <w:rPr/>
            </w:pPr>
            <w:r>
              <w:rPr/>
              <w:t>)</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5,677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(3,215</w:t>
            </w:r>
          </w:p>
        </w:tc>
        <w:tc>
          <w:tcPr>
            <w:tcW w:w="135" w:type="dxa"/>
            <w:tcBorders/>
            <w:shd w:fill="FFFFFF" w:val="clear"/>
            <w:vAlign w:val="bottom"/>
          </w:tcPr>
          <w:p>
            <w:pPr>
              <w:pStyle w:val="TableContents"/>
              <w:spacing w:before="0" w:after="0"/>
              <w:rPr/>
            </w:pPr>
            <w:r>
              <w:rPr/>
              <w:t>)</w:t>
            </w:r>
          </w:p>
        </w:tc>
      </w:tr>
      <w:tr>
        <w:trPr/>
        <w:tc>
          <w:tcPr>
            <w:tcW w:w="5960" w:type="dxa"/>
            <w:tcBorders/>
            <w:shd w:fill="CCEEFF" w:val="clear"/>
            <w:vAlign w:val="bottom"/>
          </w:tcPr>
          <w:p>
            <w:pPr>
              <w:pStyle w:val="TableContents"/>
              <w:spacing w:before="0" w:after="0"/>
              <w:ind w:left="144" w:right="0" w:hanging="144"/>
              <w:jc w:val="right"/>
              <w:rPr/>
            </w:pPr>
            <w:r>
              <w:rPr/>
              <w:t>Comprehensive income</w:t>
            </w:r>
          </w:p>
        </w:tc>
        <w:tc>
          <w:tcPr>
            <w:tcW w:w="120"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0"/>
              <w:rPr/>
            </w:pPr>
            <w:r>
              <w:rPr/>
              <w:t>$</w:t>
            </w:r>
          </w:p>
        </w:tc>
        <w:tc>
          <w:tcPr>
            <w:tcW w:w="759" w:type="dxa"/>
            <w:tcBorders>
              <w:bottom w:val="double" w:sz="8" w:space="0" w:color="000000"/>
            </w:tcBorders>
            <w:shd w:fill="CCEEFF" w:val="clear"/>
            <w:tcMar>
              <w:bottom w:w="28" w:type="dxa"/>
            </w:tcMar>
            <w:vAlign w:val="bottom"/>
          </w:tcPr>
          <w:p>
            <w:pPr>
              <w:pStyle w:val="TableContents"/>
              <w:spacing w:before="0" w:after="0"/>
              <w:jc w:val="right"/>
              <w:rPr/>
            </w:pPr>
            <w:r>
              <w:rPr/>
              <w:t>13,116</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0"/>
              <w:rPr/>
            </w:pPr>
            <w:r>
              <w:rPr/>
              <w:t>$</w:t>
            </w:r>
          </w:p>
        </w:tc>
        <w:tc>
          <w:tcPr>
            <w:tcW w:w="711" w:type="dxa"/>
            <w:tcBorders>
              <w:bottom w:val="double" w:sz="8" w:space="0" w:color="000000"/>
            </w:tcBorders>
            <w:shd w:fill="CCEEFF" w:val="clear"/>
            <w:tcMar>
              <w:bottom w:w="28" w:type="dxa"/>
            </w:tcMar>
            <w:vAlign w:val="bottom"/>
          </w:tcPr>
          <w:p>
            <w:pPr>
              <w:pStyle w:val="TableContents"/>
              <w:spacing w:before="0" w:after="0"/>
              <w:jc w:val="right"/>
              <w:rPr/>
            </w:pPr>
            <w:r>
              <w:rPr/>
              <w:t>8,105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25,788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14,763</w:t>
            </w:r>
          </w:p>
        </w:tc>
        <w:tc>
          <w:tcPr>
            <w:tcW w:w="135" w:type="dxa"/>
            <w:tcBorders/>
            <w:shd w:fill="CCEEFF" w:val="clear"/>
            <w:vAlign w:val="bottom"/>
          </w:tcPr>
          <w:p>
            <w:pPr>
              <w:pStyle w:val="TableContents"/>
              <w:spacing w:before="0" w:after="283"/>
              <w:rPr/>
            </w:pPr>
            <w:r>
              <w:rPr/>
              <w:t> </w:t>
            </w:r>
          </w:p>
        </w:tc>
      </w:tr>
    </w:tbl>
    <w:p>
      <w:pPr>
        <w:pStyle w:val="TextBody"/>
        <w:spacing w:before="0" w:after="0"/>
        <w:rPr/>
      </w:pPr>
      <w:r>
        <w:rPr/>
      </w:r>
    </w:p>
    <w:p>
      <w:pPr>
        <w:pStyle w:val="TextBody"/>
        <w:spacing w:before="0" w:after="0"/>
        <w:rPr/>
      </w:pPr>
      <w:r>
        <w:rPr/>
        <w:t>See notes to interim condensed consolidated 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8" w:name="DSPFPageBreakArea4"/>
      <w:bookmarkStart w:id="69" w:name="DSPFPageBreakArea4"/>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0" w:name="DSPFPageNumber4"/>
      <w:bookmarkStart w:id="71" w:name="DSPFPageNumberArea3"/>
      <w:bookmarkEnd w:id="70"/>
      <w:bookmarkEnd w:id="71"/>
      <w:r>
        <w:rPr>
          <w:b w:val="false"/>
          <w:i w:val="false"/>
          <w:caps w:val="false"/>
          <w:smallCaps w:val="false"/>
          <w:sz w:val="13"/>
        </w:rPr>
        <w:t>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2" w:name="DSPFPageBreak4"/>
      <w:bookmarkStart w:id="73" w:name="DSPFPageBreak4"/>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4" w:name="DSPFPageHeader3"/>
        <w:bookmarkEnd w:id="7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INDEPENDENT BANK CORPORATION AND SUBSIDIARIES</w:t>
      </w:r>
    </w:p>
    <w:p>
      <w:pPr>
        <w:pStyle w:val="TextBody"/>
        <w:spacing w:before="0" w:after="0"/>
        <w:jc w:val="center"/>
        <w:rPr>
          <w:u w:val="single"/>
        </w:rPr>
      </w:pPr>
      <w:r>
        <w:rPr>
          <w:u w:val="single"/>
        </w:rPr>
        <w:t xml:space="preserve">Condensed Consolidated </w:t>
      </w:r>
      <w:bookmarkStart w:id="75" w:name="StatementsofCashFlows"/>
      <w:bookmarkEnd w:id="75"/>
      <w:r>
        <w:rPr>
          <w:u w:val="single"/>
        </w:rPr>
        <w:t>Statements of Cash Flows</w:t>
      </w:r>
    </w:p>
    <w:p>
      <w:pPr>
        <w:pStyle w:val="TextBody"/>
        <w:spacing w:before="0" w:after="0"/>
        <w:rPr/>
      </w:pPr>
      <w:r>
        <w:rPr/>
      </w:r>
    </w:p>
    <w:p>
      <w:pPr>
        <w:pStyle w:val="Normal"/>
        <w:spacing w:before="0" w:after="0"/>
        <w:rPr>
          <w:sz w:val="4"/>
          <w:szCs w:val="4"/>
        </w:rPr>
      </w:pPr>
      <w:r>
        <w:rPr>
          <w:sz w:val="4"/>
          <w:szCs w:val="4"/>
        </w:rPr>
      </w:r>
      <w:bookmarkStart w:id="76" w:name="zc2aa7fce25c342318cf8537cbd1551f4"/>
      <w:bookmarkStart w:id="77" w:name="zc2aa7fce25c342318cf8537cbd1551f4"/>
      <w:bookmarkEnd w:id="77"/>
    </w:p>
    <w:tbl>
      <w:tblPr>
        <w:tblW w:w="10205" w:type="dxa"/>
        <w:jc w:val="left"/>
        <w:tblInd w:w="0" w:type="dxa"/>
        <w:tblCellMar>
          <w:top w:w="0" w:type="dxa"/>
          <w:left w:w="0" w:type="dxa"/>
          <w:bottom w:w="0" w:type="dxa"/>
          <w:right w:w="0" w:type="dxa"/>
        </w:tblCellMar>
      </w:tblPr>
      <w:tblGrid>
        <w:gridCol w:w="7465"/>
        <w:gridCol w:w="60"/>
        <w:gridCol w:w="152"/>
        <w:gridCol w:w="950"/>
        <w:gridCol w:w="103"/>
        <w:gridCol w:w="65"/>
        <w:gridCol w:w="152"/>
        <w:gridCol w:w="1148"/>
        <w:gridCol w:w="110"/>
      </w:tblGrid>
      <w:tr>
        <w:trPr/>
        <w:tc>
          <w:tcPr>
            <w:tcW w:w="74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70" w:type="dxa"/>
            <w:gridSpan w:val="6"/>
            <w:tcBorders>
              <w:bottom w:val="single" w:sz="12" w:space="0" w:color="000000"/>
            </w:tcBorders>
            <w:shd w:fill="auto" w:val="clear"/>
            <w:tcMar>
              <w:bottom w:w="28" w:type="dxa"/>
            </w:tcMar>
            <w:vAlign w:val="bottom"/>
          </w:tcPr>
          <w:p>
            <w:pPr>
              <w:pStyle w:val="TableContents"/>
              <w:spacing w:before="0" w:after="0"/>
              <w:jc w:val="center"/>
              <w:rPr/>
            </w:pPr>
            <w:r>
              <w:rPr/>
              <w:t>Six months ended June 30,</w:t>
            </w:r>
          </w:p>
        </w:tc>
        <w:tc>
          <w:tcPr>
            <w:tcW w:w="110" w:type="dxa"/>
            <w:tcBorders/>
            <w:shd w:fill="auto" w:val="clear"/>
            <w:vAlign w:val="bottom"/>
          </w:tcPr>
          <w:p>
            <w:pPr>
              <w:pStyle w:val="TableContents"/>
              <w:spacing w:before="0" w:after="283"/>
              <w:rPr/>
            </w:pPr>
            <w:r>
              <w:rPr/>
              <w:t> </w:t>
            </w:r>
          </w:p>
        </w:tc>
      </w:tr>
      <w:tr>
        <w:trPr/>
        <w:tc>
          <w:tcPr>
            <w:tcW w:w="74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2"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300"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110" w:type="dxa"/>
            <w:tcBorders/>
            <w:shd w:fill="auto" w:val="clear"/>
            <w:vAlign w:val="bottom"/>
          </w:tcPr>
          <w:p>
            <w:pPr>
              <w:pStyle w:val="TableContents"/>
              <w:spacing w:before="0" w:after="283"/>
              <w:rPr/>
            </w:pPr>
            <w:r>
              <w:rPr/>
              <w:t> </w:t>
            </w:r>
          </w:p>
        </w:tc>
      </w:tr>
      <w:tr>
        <w:trPr/>
        <w:tc>
          <w:tcPr>
            <w:tcW w:w="74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70" w:type="dxa"/>
            <w:gridSpan w:val="6"/>
            <w:tcBorders/>
            <w:shd w:fill="auto" w:val="clear"/>
            <w:vAlign w:val="bottom"/>
          </w:tcPr>
          <w:p>
            <w:pPr>
              <w:pStyle w:val="TableContents"/>
              <w:spacing w:before="0" w:after="0"/>
              <w:jc w:val="center"/>
              <w:rPr/>
            </w:pPr>
            <w:r>
              <w:rPr/>
              <w:t>(unaudited - In thousands)</w:t>
            </w:r>
          </w:p>
        </w:tc>
        <w:tc>
          <w:tcPr>
            <w:tcW w:w="110" w:type="dxa"/>
            <w:tcBorders/>
            <w:shd w:fill="auto"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144" w:right="0" w:hanging="144"/>
              <w:rPr/>
            </w:pPr>
            <w:r>
              <w:rPr/>
              <w:t>Net Income</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0"/>
              <w:rPr/>
            </w:pPr>
            <w:r>
              <w:rPr/>
              <w:t>$</w:t>
            </w:r>
          </w:p>
        </w:tc>
        <w:tc>
          <w:tcPr>
            <w:tcW w:w="950" w:type="dxa"/>
            <w:tcBorders>
              <w:bottom w:val="single" w:sz="12" w:space="0" w:color="000000"/>
            </w:tcBorders>
            <w:shd w:fill="CCEEFF" w:val="clear"/>
            <w:tcMar>
              <w:bottom w:w="28" w:type="dxa"/>
            </w:tcMar>
            <w:vAlign w:val="bottom"/>
          </w:tcPr>
          <w:p>
            <w:pPr>
              <w:pStyle w:val="TableContents"/>
              <w:spacing w:before="0" w:after="0"/>
              <w:jc w:val="right"/>
              <w:rPr/>
            </w:pPr>
            <w:r>
              <w:rPr/>
              <w:t>20,111</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0"/>
              <w:rPr/>
            </w:pPr>
            <w:r>
              <w:rPr/>
              <w:t>$</w:t>
            </w:r>
          </w:p>
        </w:tc>
        <w:tc>
          <w:tcPr>
            <w:tcW w:w="1148" w:type="dxa"/>
            <w:tcBorders>
              <w:bottom w:val="single" w:sz="12" w:space="0" w:color="000000"/>
            </w:tcBorders>
            <w:shd w:fill="CCEEFF" w:val="clear"/>
            <w:tcMar>
              <w:bottom w:w="28" w:type="dxa"/>
            </w:tcMar>
            <w:vAlign w:val="bottom"/>
          </w:tcPr>
          <w:p>
            <w:pPr>
              <w:pStyle w:val="TableContents"/>
              <w:spacing w:before="0" w:after="0"/>
              <w:jc w:val="right"/>
              <w:rPr/>
            </w:pPr>
            <w:r>
              <w:rPr/>
              <w:t>17,978</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144" w:right="0" w:hanging="144"/>
              <w:rPr/>
            </w:pPr>
            <w:r>
              <w:rPr/>
              <w:t>Adjustments to Reconcile Net Income to Net Cash From Operating Activities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Proceeds from the sale of equity securities at fair value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560</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Proceeds from sales of loans held for sale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222,953</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210,641</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Disbursements for loans held for sale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(233,170</w:t>
            </w:r>
          </w:p>
        </w:tc>
        <w:tc>
          <w:tcPr>
            <w:tcW w:w="103" w:type="dxa"/>
            <w:tcBorders/>
            <w:shd w:fill="CCEEFF" w:val="clear"/>
            <w:vAlign w:val="bottom"/>
          </w:tcPr>
          <w:p>
            <w:pPr>
              <w:pStyle w:val="TableContents"/>
              <w:spacing w:before="0" w:after="0"/>
              <w:rPr/>
            </w:pPr>
            <w:r>
              <w:rPr/>
              <w:t>)</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(214,952</w:t>
            </w:r>
          </w:p>
        </w:tc>
        <w:tc>
          <w:tcPr>
            <w:tcW w:w="110" w:type="dxa"/>
            <w:tcBorders/>
            <w:shd w:fill="CCEEFF" w:val="clear"/>
            <w:vAlign w:val="bottom"/>
          </w:tcPr>
          <w:p>
            <w:pPr>
              <w:pStyle w:val="TableContents"/>
              <w:spacing w:before="0" w:after="0"/>
              <w:rPr/>
            </w:pPr>
            <w:r>
              <w:rPr/>
              <w:t>)</w:t>
            </w:r>
          </w:p>
        </w:tc>
      </w:tr>
      <w:tr>
        <w:trPr/>
        <w:tc>
          <w:tcPr>
            <w:tcW w:w="7465" w:type="dxa"/>
            <w:tcBorders/>
            <w:shd w:fill="FFFFFF" w:val="clear"/>
            <w:vAlign w:val="bottom"/>
          </w:tcPr>
          <w:p>
            <w:pPr>
              <w:pStyle w:val="TableContents"/>
              <w:spacing w:before="0" w:after="0"/>
              <w:ind w:left="324" w:right="0" w:hanging="144"/>
              <w:rPr/>
            </w:pPr>
            <w:r>
              <w:rPr/>
              <w:t>Provision for loan losses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1,316</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965</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Deferred income tax expense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1,524</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4,518</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Deferred loan fees and costs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(1,947</w:t>
            </w:r>
          </w:p>
        </w:tc>
        <w:tc>
          <w:tcPr>
            <w:tcW w:w="103" w:type="dxa"/>
            <w:tcBorders/>
            <w:shd w:fill="FFFFFF" w:val="clear"/>
            <w:vAlign w:val="bottom"/>
          </w:tcPr>
          <w:p>
            <w:pPr>
              <w:pStyle w:val="TableContents"/>
              <w:spacing w:before="0" w:after="0"/>
              <w:rPr/>
            </w:pPr>
            <w:r>
              <w:rPr/>
              <w:t>)</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(2,457</w:t>
            </w:r>
          </w:p>
        </w:tc>
        <w:tc>
          <w:tcPr>
            <w:tcW w:w="110" w:type="dxa"/>
            <w:tcBorders/>
            <w:shd w:fill="FFFFFF" w:val="clear"/>
            <w:vAlign w:val="bottom"/>
          </w:tcPr>
          <w:p>
            <w:pPr>
              <w:pStyle w:val="TableContents"/>
              <w:spacing w:before="0" w:after="0"/>
              <w:rPr/>
            </w:pPr>
            <w:r>
              <w:rPr/>
              <w:t>)</w:t>
            </w:r>
          </w:p>
        </w:tc>
      </w:tr>
      <w:tr>
        <w:trPr/>
        <w:tc>
          <w:tcPr>
            <w:tcW w:w="7465" w:type="dxa"/>
            <w:tcBorders/>
            <w:shd w:fill="CCEEFF" w:val="clear"/>
            <w:vAlign w:val="bottom"/>
          </w:tcPr>
          <w:p>
            <w:pPr>
              <w:pStyle w:val="TableContents"/>
              <w:spacing w:before="0" w:after="0"/>
              <w:ind w:left="360" w:right="0" w:hanging="180"/>
              <w:rPr/>
            </w:pPr>
            <w:r>
              <w:rPr/>
              <w:t>Net depreciation, amortization of intangible assets and premiums and accretion of discounts on securities, loans and interest bearing deposits - time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2,906</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3,192</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Net gains on mortgage loans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(7,913</w:t>
            </w:r>
          </w:p>
        </w:tc>
        <w:tc>
          <w:tcPr>
            <w:tcW w:w="103" w:type="dxa"/>
            <w:tcBorders/>
            <w:shd w:fill="FFFFFF" w:val="clear"/>
            <w:vAlign w:val="bottom"/>
          </w:tcPr>
          <w:p>
            <w:pPr>
              <w:pStyle w:val="TableContents"/>
              <w:spacing w:before="0" w:after="0"/>
              <w:rPr/>
            </w:pPr>
            <w:r>
              <w:rPr/>
              <w:t>)</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(5,826</w:t>
            </w:r>
          </w:p>
        </w:tc>
        <w:tc>
          <w:tcPr>
            <w:tcW w:w="110" w:type="dxa"/>
            <w:tcBorders/>
            <w:shd w:fill="FFFFFF" w:val="clear"/>
            <w:vAlign w:val="bottom"/>
          </w:tcPr>
          <w:p>
            <w:pPr>
              <w:pStyle w:val="TableContents"/>
              <w:spacing w:before="0" w:after="0"/>
              <w:rPr/>
            </w:pPr>
            <w:r>
              <w:rPr/>
              <w:t>)</w:t>
            </w:r>
          </w:p>
        </w:tc>
      </w:tr>
      <w:tr>
        <w:trPr/>
        <w:tc>
          <w:tcPr>
            <w:tcW w:w="7465" w:type="dxa"/>
            <w:tcBorders/>
            <w:shd w:fill="CCEEFF" w:val="clear"/>
            <w:vAlign w:val="bottom"/>
          </w:tcPr>
          <w:p>
            <w:pPr>
              <w:pStyle w:val="TableContents"/>
              <w:spacing w:before="0" w:after="0"/>
              <w:ind w:left="324" w:right="0" w:hanging="144"/>
              <w:rPr/>
            </w:pPr>
            <w:r>
              <w:rPr/>
              <w:t>Net (gains) losses on securities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(304</w:t>
            </w:r>
          </w:p>
        </w:tc>
        <w:tc>
          <w:tcPr>
            <w:tcW w:w="103" w:type="dxa"/>
            <w:tcBorders/>
            <w:shd w:fill="CCEEFF" w:val="clear"/>
            <w:vAlign w:val="bottom"/>
          </w:tcPr>
          <w:p>
            <w:pPr>
              <w:pStyle w:val="TableContents"/>
              <w:spacing w:before="0" w:after="0"/>
              <w:rPr/>
            </w:pPr>
            <w:r>
              <w:rPr/>
              <w:t>)</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164</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Share based compensation</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888</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848</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Increase in accrued income and other assets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(3,112</w:t>
            </w:r>
          </w:p>
        </w:tc>
        <w:tc>
          <w:tcPr>
            <w:tcW w:w="103" w:type="dxa"/>
            <w:tcBorders/>
            <w:shd w:fill="CCEEFF" w:val="clear"/>
            <w:vAlign w:val="bottom"/>
          </w:tcPr>
          <w:p>
            <w:pPr>
              <w:pStyle w:val="TableContents"/>
              <w:spacing w:before="0" w:after="0"/>
              <w:rPr/>
            </w:pPr>
            <w:r>
              <w:rPr/>
              <w:t>)</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(3,377</w:t>
            </w:r>
          </w:p>
        </w:tc>
        <w:tc>
          <w:tcPr>
            <w:tcW w:w="110" w:type="dxa"/>
            <w:tcBorders/>
            <w:shd w:fill="CCEEFF" w:val="clear"/>
            <w:vAlign w:val="bottom"/>
          </w:tcPr>
          <w:p>
            <w:pPr>
              <w:pStyle w:val="TableContents"/>
              <w:spacing w:before="0" w:after="0"/>
              <w:rPr/>
            </w:pPr>
            <w:r>
              <w:rPr/>
              <w:t>)</w:t>
            </w:r>
          </w:p>
        </w:tc>
      </w:tr>
      <w:tr>
        <w:trPr/>
        <w:tc>
          <w:tcPr>
            <w:tcW w:w="7465" w:type="dxa"/>
            <w:tcBorders/>
            <w:shd w:fill="FFFFFF" w:val="clear"/>
            <w:vAlign w:val="bottom"/>
          </w:tcPr>
          <w:p>
            <w:pPr>
              <w:pStyle w:val="TableContents"/>
              <w:spacing w:before="0" w:after="0"/>
              <w:ind w:left="324" w:right="0" w:hanging="144"/>
              <w:rPr/>
            </w:pPr>
            <w:r>
              <w:rPr/>
              <w:t>Increase in accrued expenses and other liabilities</w:t>
            </w:r>
          </w:p>
        </w:tc>
        <w:tc>
          <w:tcPr>
            <w:tcW w:w="6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50" w:type="dxa"/>
            <w:tcBorders>
              <w:bottom w:val="single" w:sz="12" w:space="0" w:color="000000"/>
            </w:tcBorders>
            <w:shd w:fill="FFFFFF" w:val="clear"/>
            <w:tcMar>
              <w:bottom w:w="28" w:type="dxa"/>
            </w:tcMar>
            <w:vAlign w:val="bottom"/>
          </w:tcPr>
          <w:p>
            <w:pPr>
              <w:pStyle w:val="TableContents"/>
              <w:spacing w:before="0" w:after="0"/>
              <w:jc w:val="right"/>
              <w:rPr/>
            </w:pPr>
            <w:r>
              <w:rPr/>
              <w:t>10,125</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48" w:type="dxa"/>
            <w:tcBorders>
              <w:bottom w:val="single" w:sz="12" w:space="0" w:color="000000"/>
            </w:tcBorders>
            <w:shd w:fill="FFFFFF" w:val="clear"/>
            <w:tcMar>
              <w:bottom w:w="28" w:type="dxa"/>
            </w:tcMar>
            <w:vAlign w:val="bottom"/>
          </w:tcPr>
          <w:p>
            <w:pPr>
              <w:pStyle w:val="TableContents"/>
              <w:spacing w:before="0" w:after="0"/>
              <w:jc w:val="right"/>
              <w:rPr/>
            </w:pPr>
            <w:r>
              <w:rPr/>
              <w:t>1,604</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144" w:right="0" w:hanging="144"/>
              <w:jc w:val="right"/>
              <w:rPr/>
            </w:pPr>
            <w:r>
              <w:rPr/>
              <w:t>Total Adjustments</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pPr>
            <w:r>
              <w:rPr/>
              <w:t>(6,174</w:t>
            </w:r>
          </w:p>
        </w:tc>
        <w:tc>
          <w:tcPr>
            <w:tcW w:w="103" w:type="dxa"/>
            <w:tcBorders/>
            <w:shd w:fill="CCEEFF" w:val="clear"/>
            <w:vAlign w:val="bottom"/>
          </w:tcPr>
          <w:p>
            <w:pPr>
              <w:pStyle w:val="TableContents"/>
              <w:spacing w:before="0" w:after="0"/>
              <w:rPr/>
            </w:pPr>
            <w:r>
              <w:rPr/>
              <w:t>)</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48" w:type="dxa"/>
            <w:tcBorders>
              <w:bottom w:val="single" w:sz="12" w:space="0" w:color="000000"/>
            </w:tcBorders>
            <w:shd w:fill="CCEEFF" w:val="clear"/>
            <w:tcMar>
              <w:bottom w:w="28" w:type="dxa"/>
            </w:tcMar>
            <w:vAlign w:val="bottom"/>
          </w:tcPr>
          <w:p>
            <w:pPr>
              <w:pStyle w:val="TableContents"/>
              <w:spacing w:before="0" w:after="0"/>
              <w:jc w:val="right"/>
              <w:rPr/>
            </w:pPr>
            <w:r>
              <w:rPr/>
              <w:t>(4,680</w:t>
            </w:r>
          </w:p>
        </w:tc>
        <w:tc>
          <w:tcPr>
            <w:tcW w:w="110" w:type="dxa"/>
            <w:tcBorders/>
            <w:shd w:fill="CCEEFF" w:val="clear"/>
            <w:vAlign w:val="bottom"/>
          </w:tcPr>
          <w:p>
            <w:pPr>
              <w:pStyle w:val="TableContents"/>
              <w:spacing w:before="0" w:after="0"/>
              <w:rPr/>
            </w:pPr>
            <w:r>
              <w:rPr/>
              <w:t>)</w:t>
            </w:r>
          </w:p>
        </w:tc>
      </w:tr>
      <w:tr>
        <w:trPr/>
        <w:tc>
          <w:tcPr>
            <w:tcW w:w="7465" w:type="dxa"/>
            <w:tcBorders/>
            <w:shd w:fill="FFFFFF" w:val="clear"/>
            <w:vAlign w:val="bottom"/>
          </w:tcPr>
          <w:p>
            <w:pPr>
              <w:pStyle w:val="TableContents"/>
              <w:spacing w:before="0" w:after="0"/>
              <w:ind w:left="144" w:right="0" w:hanging="144"/>
              <w:jc w:val="right"/>
              <w:rPr/>
            </w:pPr>
            <w:r>
              <w:rPr/>
              <w:t>Net Cash From Operating Activities</w:t>
            </w:r>
          </w:p>
        </w:tc>
        <w:tc>
          <w:tcPr>
            <w:tcW w:w="6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50" w:type="dxa"/>
            <w:tcBorders>
              <w:bottom w:val="single" w:sz="12" w:space="0" w:color="000000"/>
            </w:tcBorders>
            <w:shd w:fill="FFFFFF" w:val="clear"/>
            <w:tcMar>
              <w:bottom w:w="28" w:type="dxa"/>
            </w:tcMar>
            <w:vAlign w:val="bottom"/>
          </w:tcPr>
          <w:p>
            <w:pPr>
              <w:pStyle w:val="TableContents"/>
              <w:spacing w:before="0" w:after="0"/>
              <w:jc w:val="right"/>
              <w:rPr/>
            </w:pPr>
            <w:r>
              <w:rPr/>
              <w:t>13,937</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48" w:type="dxa"/>
            <w:tcBorders>
              <w:bottom w:val="single" w:sz="12" w:space="0" w:color="000000"/>
            </w:tcBorders>
            <w:shd w:fill="FFFFFF" w:val="clear"/>
            <w:tcMar>
              <w:bottom w:w="28" w:type="dxa"/>
            </w:tcMar>
            <w:vAlign w:val="bottom"/>
          </w:tcPr>
          <w:p>
            <w:pPr>
              <w:pStyle w:val="TableContents"/>
              <w:spacing w:before="0" w:after="0"/>
              <w:jc w:val="right"/>
              <w:rPr/>
            </w:pPr>
            <w:r>
              <w:rPr/>
              <w:t>13,298</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144" w:right="0" w:hanging="144"/>
              <w:rPr/>
            </w:pPr>
            <w:r>
              <w:rPr/>
              <w:t>Cash Flow Used in Investing Activities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Proceeds from the sale of securities available for sale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42,236</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31,445</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Proceeds from maturities, prepayments and calls of securities available for sale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76,579</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88,131</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Purchases of securities available for sale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(81,639</w:t>
            </w:r>
          </w:p>
        </w:tc>
        <w:tc>
          <w:tcPr>
            <w:tcW w:w="103" w:type="dxa"/>
            <w:tcBorders/>
            <w:shd w:fill="FFFFFF" w:val="clear"/>
            <w:vAlign w:val="bottom"/>
          </w:tcPr>
          <w:p>
            <w:pPr>
              <w:pStyle w:val="TableContents"/>
              <w:spacing w:before="0" w:after="0"/>
              <w:rPr/>
            </w:pPr>
            <w:r>
              <w:rPr/>
              <w:t>)</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(47,054</w:t>
            </w:r>
          </w:p>
        </w:tc>
        <w:tc>
          <w:tcPr>
            <w:tcW w:w="110" w:type="dxa"/>
            <w:tcBorders/>
            <w:shd w:fill="FFFFFF" w:val="clear"/>
            <w:vAlign w:val="bottom"/>
          </w:tcPr>
          <w:p>
            <w:pPr>
              <w:pStyle w:val="TableContents"/>
              <w:spacing w:before="0" w:after="0"/>
              <w:rPr/>
            </w:pPr>
            <w:r>
              <w:rPr/>
              <w:t>)</w:t>
            </w:r>
          </w:p>
        </w:tc>
      </w:tr>
      <w:tr>
        <w:trPr/>
        <w:tc>
          <w:tcPr>
            <w:tcW w:w="7465" w:type="dxa"/>
            <w:tcBorders/>
            <w:shd w:fill="CCEEFF" w:val="clear"/>
            <w:vAlign w:val="bottom"/>
          </w:tcPr>
          <w:p>
            <w:pPr>
              <w:pStyle w:val="TableContents"/>
              <w:spacing w:before="0" w:after="0"/>
              <w:ind w:left="324" w:right="0" w:hanging="144"/>
              <w:rPr/>
            </w:pPr>
            <w:r>
              <w:rPr/>
              <w:t>Proceeds from the sale of interest bearing deposits - time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2,474</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Proceeds from the maturity of interest bearing deposits - time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100</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1,842</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Net increase in portfolio loans (loans originated, net of principal payments)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(152,256</w:t>
            </w:r>
          </w:p>
        </w:tc>
        <w:tc>
          <w:tcPr>
            <w:tcW w:w="103" w:type="dxa"/>
            <w:tcBorders/>
            <w:shd w:fill="CCEEFF" w:val="clear"/>
            <w:vAlign w:val="bottom"/>
          </w:tcPr>
          <w:p>
            <w:pPr>
              <w:pStyle w:val="TableContents"/>
              <w:spacing w:before="0" w:after="0"/>
              <w:rPr/>
            </w:pPr>
            <w:r>
              <w:rPr/>
              <w:t>)</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(181,365</w:t>
            </w:r>
          </w:p>
        </w:tc>
        <w:tc>
          <w:tcPr>
            <w:tcW w:w="110" w:type="dxa"/>
            <w:tcBorders/>
            <w:shd w:fill="CCEEFF" w:val="clear"/>
            <w:vAlign w:val="bottom"/>
          </w:tcPr>
          <w:p>
            <w:pPr>
              <w:pStyle w:val="TableContents"/>
              <w:spacing w:before="0" w:after="0"/>
              <w:rPr/>
            </w:pPr>
            <w:r>
              <w:rPr/>
              <w:t>)</w:t>
            </w:r>
          </w:p>
        </w:tc>
      </w:tr>
      <w:tr>
        <w:trPr/>
        <w:tc>
          <w:tcPr>
            <w:tcW w:w="7465" w:type="dxa"/>
            <w:tcBorders/>
            <w:shd w:fill="FFFFFF" w:val="clear"/>
            <w:vAlign w:val="bottom"/>
          </w:tcPr>
          <w:p>
            <w:pPr>
              <w:pStyle w:val="TableContents"/>
              <w:spacing w:before="0" w:after="0"/>
              <w:ind w:left="324" w:right="0" w:hanging="144"/>
              <w:rPr/>
            </w:pPr>
            <w:r>
              <w:rPr/>
              <w:t>Proceeds from the sale of portfolio loans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40,630</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16,460</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Acquisition of TCSB Bancorp Inc., less cash received</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23,516</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Proceeds from bank-owned life insurance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474</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Proceeds from the sale of other real estate and repossessed assets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808</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889</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Capital expenditures</w:t>
            </w:r>
          </w:p>
        </w:tc>
        <w:tc>
          <w:tcPr>
            <w:tcW w:w="6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50" w:type="dxa"/>
            <w:tcBorders>
              <w:bottom w:val="single" w:sz="12" w:space="0" w:color="000000"/>
            </w:tcBorders>
            <w:shd w:fill="FFFFFF" w:val="clear"/>
            <w:tcMar>
              <w:bottom w:w="28" w:type="dxa"/>
            </w:tcMar>
            <w:vAlign w:val="bottom"/>
          </w:tcPr>
          <w:p>
            <w:pPr>
              <w:pStyle w:val="TableContents"/>
              <w:spacing w:before="0" w:after="0"/>
              <w:jc w:val="right"/>
              <w:rPr/>
            </w:pPr>
            <w:r>
              <w:rPr/>
              <w:t>(1,542</w:t>
            </w:r>
          </w:p>
        </w:tc>
        <w:tc>
          <w:tcPr>
            <w:tcW w:w="103" w:type="dxa"/>
            <w:tcBorders/>
            <w:shd w:fill="FFFFFF" w:val="clear"/>
            <w:vAlign w:val="bottom"/>
          </w:tcPr>
          <w:p>
            <w:pPr>
              <w:pStyle w:val="TableContents"/>
              <w:spacing w:before="0" w:after="0"/>
              <w:rPr/>
            </w:pPr>
            <w:r>
              <w:rPr/>
              <w:t>)</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48" w:type="dxa"/>
            <w:tcBorders>
              <w:bottom w:val="single" w:sz="12" w:space="0" w:color="000000"/>
            </w:tcBorders>
            <w:shd w:fill="FFFFFF" w:val="clear"/>
            <w:tcMar>
              <w:bottom w:w="28" w:type="dxa"/>
            </w:tcMar>
            <w:vAlign w:val="bottom"/>
          </w:tcPr>
          <w:p>
            <w:pPr>
              <w:pStyle w:val="TableContents"/>
              <w:spacing w:before="0" w:after="0"/>
              <w:jc w:val="right"/>
              <w:rPr/>
            </w:pPr>
            <w:r>
              <w:rPr/>
              <w:t>(2,033</w:t>
            </w:r>
          </w:p>
        </w:tc>
        <w:tc>
          <w:tcPr>
            <w:tcW w:w="110" w:type="dxa"/>
            <w:tcBorders/>
            <w:shd w:fill="FFFFFF" w:val="clear"/>
            <w:vAlign w:val="bottom"/>
          </w:tcPr>
          <w:p>
            <w:pPr>
              <w:pStyle w:val="TableContents"/>
              <w:spacing w:before="0" w:after="0"/>
              <w:rPr/>
            </w:pPr>
            <w:r>
              <w:rPr/>
              <w:t>)</w:t>
            </w:r>
          </w:p>
        </w:tc>
      </w:tr>
      <w:tr>
        <w:trPr/>
        <w:tc>
          <w:tcPr>
            <w:tcW w:w="7465" w:type="dxa"/>
            <w:tcBorders/>
            <w:shd w:fill="CCEEFF" w:val="clear"/>
            <w:vAlign w:val="bottom"/>
          </w:tcPr>
          <w:p>
            <w:pPr>
              <w:pStyle w:val="TableContents"/>
              <w:spacing w:before="0" w:after="0"/>
              <w:ind w:left="144" w:right="0" w:hanging="144"/>
              <w:jc w:val="right"/>
              <w:rPr/>
            </w:pPr>
            <w:r>
              <w:rPr/>
              <w:t>Net Cash Used in Investing Activities</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pPr>
            <w:r>
              <w:rPr/>
              <w:t>(75,084</w:t>
            </w:r>
          </w:p>
        </w:tc>
        <w:tc>
          <w:tcPr>
            <w:tcW w:w="103" w:type="dxa"/>
            <w:tcBorders/>
            <w:shd w:fill="CCEEFF" w:val="clear"/>
            <w:vAlign w:val="bottom"/>
          </w:tcPr>
          <w:p>
            <w:pPr>
              <w:pStyle w:val="TableContents"/>
              <w:spacing w:before="0" w:after="0"/>
              <w:rPr/>
            </w:pPr>
            <w:r>
              <w:rPr/>
              <w:t>)</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48" w:type="dxa"/>
            <w:tcBorders>
              <w:bottom w:val="single" w:sz="12" w:space="0" w:color="000000"/>
            </w:tcBorders>
            <w:shd w:fill="CCEEFF" w:val="clear"/>
            <w:tcMar>
              <w:bottom w:w="28" w:type="dxa"/>
            </w:tcMar>
            <w:vAlign w:val="bottom"/>
          </w:tcPr>
          <w:p>
            <w:pPr>
              <w:pStyle w:val="TableContents"/>
              <w:spacing w:before="0" w:after="0"/>
              <w:jc w:val="right"/>
              <w:rPr/>
            </w:pPr>
            <w:r>
              <w:rPr/>
              <w:t>(65,221</w:t>
            </w:r>
          </w:p>
        </w:tc>
        <w:tc>
          <w:tcPr>
            <w:tcW w:w="110" w:type="dxa"/>
            <w:tcBorders/>
            <w:shd w:fill="CCEEFF" w:val="clear"/>
            <w:vAlign w:val="bottom"/>
          </w:tcPr>
          <w:p>
            <w:pPr>
              <w:pStyle w:val="TableContents"/>
              <w:spacing w:before="0" w:after="0"/>
              <w:rPr/>
            </w:pPr>
            <w:r>
              <w:rPr/>
              <w:t>)</w:t>
            </w:r>
          </w:p>
        </w:tc>
      </w:tr>
      <w:tr>
        <w:trPr/>
        <w:tc>
          <w:tcPr>
            <w:tcW w:w="7465" w:type="dxa"/>
            <w:tcBorders/>
            <w:shd w:fill="FFFFFF" w:val="clear"/>
            <w:vAlign w:val="bottom"/>
          </w:tcPr>
          <w:p>
            <w:pPr>
              <w:pStyle w:val="TableContents"/>
              <w:spacing w:before="0" w:after="0"/>
              <w:ind w:left="144" w:right="0" w:hanging="144"/>
              <w:rPr/>
            </w:pPr>
            <w:r>
              <w:rPr/>
              <w:t>Cash Flow From Financing Activities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Net increase in total deposits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65,457</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92,273</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Net increase (decrease) in other borrowings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550</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(3,093</w:t>
            </w:r>
          </w:p>
        </w:tc>
        <w:tc>
          <w:tcPr>
            <w:tcW w:w="110" w:type="dxa"/>
            <w:tcBorders/>
            <w:shd w:fill="FFFFFF" w:val="clear"/>
            <w:vAlign w:val="bottom"/>
          </w:tcPr>
          <w:p>
            <w:pPr>
              <w:pStyle w:val="TableContents"/>
              <w:spacing w:before="0" w:after="0"/>
              <w:rPr/>
            </w:pPr>
            <w:r>
              <w:rPr/>
              <w:t>)</w:t>
            </w:r>
          </w:p>
        </w:tc>
      </w:tr>
      <w:tr>
        <w:trPr/>
        <w:tc>
          <w:tcPr>
            <w:tcW w:w="7465" w:type="dxa"/>
            <w:tcBorders/>
            <w:shd w:fill="CCEEFF" w:val="clear"/>
            <w:vAlign w:val="bottom"/>
          </w:tcPr>
          <w:p>
            <w:pPr>
              <w:pStyle w:val="TableContents"/>
              <w:spacing w:before="0" w:after="0"/>
              <w:ind w:left="324" w:right="0" w:hanging="144"/>
              <w:rPr/>
            </w:pPr>
            <w:r>
              <w:rPr/>
              <w:t>Proceeds from Federal Home Loan Bank Advances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27,000</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1,044,000</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Payments of Federal Home Loan Bank Advances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(12,143</w:t>
            </w:r>
          </w:p>
        </w:tc>
        <w:tc>
          <w:tcPr>
            <w:tcW w:w="103" w:type="dxa"/>
            <w:tcBorders/>
            <w:shd w:fill="FFFFFF" w:val="clear"/>
            <w:vAlign w:val="bottom"/>
          </w:tcPr>
          <w:p>
            <w:pPr>
              <w:pStyle w:val="TableContents"/>
              <w:spacing w:before="0" w:after="0"/>
              <w:rPr/>
            </w:pPr>
            <w:r>
              <w:rPr/>
              <w:t>)</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(1,069,287</w:t>
            </w:r>
          </w:p>
        </w:tc>
        <w:tc>
          <w:tcPr>
            <w:tcW w:w="110" w:type="dxa"/>
            <w:tcBorders/>
            <w:shd w:fill="FFFFFF" w:val="clear"/>
            <w:vAlign w:val="bottom"/>
          </w:tcPr>
          <w:p>
            <w:pPr>
              <w:pStyle w:val="TableContents"/>
              <w:spacing w:before="0" w:after="0"/>
              <w:rPr/>
            </w:pPr>
            <w:r>
              <w:rPr/>
              <w:t>)</w:t>
            </w:r>
          </w:p>
        </w:tc>
      </w:tr>
      <w:tr>
        <w:trPr/>
        <w:tc>
          <w:tcPr>
            <w:tcW w:w="7465" w:type="dxa"/>
            <w:tcBorders/>
            <w:shd w:fill="CCEEFF" w:val="clear"/>
            <w:vAlign w:val="bottom"/>
          </w:tcPr>
          <w:p>
            <w:pPr>
              <w:pStyle w:val="TableContents"/>
              <w:spacing w:before="0" w:after="0"/>
              <w:ind w:left="324" w:right="0" w:hanging="144"/>
              <w:rPr/>
            </w:pPr>
            <w:r>
              <w:rPr/>
              <w:t>Dividends paid</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(8,458</w:t>
            </w:r>
          </w:p>
        </w:tc>
        <w:tc>
          <w:tcPr>
            <w:tcW w:w="103" w:type="dxa"/>
            <w:tcBorders/>
            <w:shd w:fill="CCEEFF" w:val="clear"/>
            <w:vAlign w:val="bottom"/>
          </w:tcPr>
          <w:p>
            <w:pPr>
              <w:pStyle w:val="TableContents"/>
              <w:spacing w:before="0" w:after="0"/>
              <w:rPr/>
            </w:pPr>
            <w:r>
              <w:rPr/>
              <w:t>)</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(6,823</w:t>
            </w:r>
          </w:p>
        </w:tc>
        <w:tc>
          <w:tcPr>
            <w:tcW w:w="110" w:type="dxa"/>
            <w:tcBorders/>
            <w:shd w:fill="CCEEFF" w:val="clear"/>
            <w:vAlign w:val="bottom"/>
          </w:tcPr>
          <w:p>
            <w:pPr>
              <w:pStyle w:val="TableContents"/>
              <w:spacing w:before="0" w:after="0"/>
              <w:rPr/>
            </w:pPr>
            <w:r>
              <w:rPr/>
              <w:t>)</w:t>
            </w:r>
          </w:p>
        </w:tc>
      </w:tr>
      <w:tr>
        <w:trPr/>
        <w:tc>
          <w:tcPr>
            <w:tcW w:w="7465" w:type="dxa"/>
            <w:tcBorders/>
            <w:shd w:fill="FFFFFF" w:val="clear"/>
            <w:vAlign w:val="bottom"/>
          </w:tcPr>
          <w:p>
            <w:pPr>
              <w:pStyle w:val="TableContents"/>
              <w:spacing w:before="0" w:after="0"/>
              <w:ind w:left="324" w:right="0" w:hanging="144"/>
              <w:rPr/>
            </w:pPr>
            <w:r>
              <w:rPr/>
              <w:t>Proceeds from issuance of common stock</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282</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147</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Repurchase of common stock</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(25,782</w:t>
            </w:r>
          </w:p>
        </w:tc>
        <w:tc>
          <w:tcPr>
            <w:tcW w:w="103" w:type="dxa"/>
            <w:tcBorders/>
            <w:shd w:fill="CCEEFF" w:val="clear"/>
            <w:vAlign w:val="bottom"/>
          </w:tcPr>
          <w:p>
            <w:pPr>
              <w:pStyle w:val="TableContents"/>
              <w:spacing w:before="0" w:after="0"/>
              <w:rPr/>
            </w:pPr>
            <w:r>
              <w:rPr/>
              <w:t>)</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Share based compensation withholding obligation</w:t>
            </w:r>
          </w:p>
        </w:tc>
        <w:tc>
          <w:tcPr>
            <w:tcW w:w="6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50" w:type="dxa"/>
            <w:tcBorders>
              <w:bottom w:val="single" w:sz="12" w:space="0" w:color="000000"/>
            </w:tcBorders>
            <w:shd w:fill="FFFFFF" w:val="clear"/>
            <w:tcMar>
              <w:bottom w:w="28" w:type="dxa"/>
            </w:tcMar>
            <w:vAlign w:val="bottom"/>
          </w:tcPr>
          <w:p>
            <w:pPr>
              <w:pStyle w:val="TableContents"/>
              <w:spacing w:before="0" w:after="0"/>
              <w:jc w:val="right"/>
              <w:rPr/>
            </w:pPr>
            <w:r>
              <w:rPr/>
              <w:t>(866</w:t>
            </w:r>
          </w:p>
        </w:tc>
        <w:tc>
          <w:tcPr>
            <w:tcW w:w="103" w:type="dxa"/>
            <w:tcBorders/>
            <w:shd w:fill="FFFFFF" w:val="clear"/>
            <w:vAlign w:val="bottom"/>
          </w:tcPr>
          <w:p>
            <w:pPr>
              <w:pStyle w:val="TableContents"/>
              <w:spacing w:before="0" w:after="0"/>
              <w:rPr/>
            </w:pPr>
            <w:r>
              <w:rPr/>
              <w:t>)</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48" w:type="dxa"/>
            <w:tcBorders>
              <w:bottom w:val="single" w:sz="12" w:space="0" w:color="000000"/>
            </w:tcBorders>
            <w:shd w:fill="FFFFFF" w:val="clear"/>
            <w:tcMar>
              <w:bottom w:w="28" w:type="dxa"/>
            </w:tcMar>
            <w:vAlign w:val="bottom"/>
          </w:tcPr>
          <w:p>
            <w:pPr>
              <w:pStyle w:val="TableContents"/>
              <w:spacing w:before="0" w:after="0"/>
              <w:jc w:val="right"/>
              <w:rPr/>
            </w:pPr>
            <w:r>
              <w:rPr/>
              <w:t>(1,321</w:t>
            </w:r>
          </w:p>
        </w:tc>
        <w:tc>
          <w:tcPr>
            <w:tcW w:w="110" w:type="dxa"/>
            <w:tcBorders/>
            <w:shd w:fill="FFFFFF" w:val="clear"/>
            <w:vAlign w:val="bottom"/>
          </w:tcPr>
          <w:p>
            <w:pPr>
              <w:pStyle w:val="TableContents"/>
              <w:spacing w:before="0" w:after="0"/>
              <w:rPr/>
            </w:pPr>
            <w:r>
              <w:rPr/>
              <w:t>)</w:t>
            </w:r>
          </w:p>
        </w:tc>
      </w:tr>
      <w:tr>
        <w:trPr/>
        <w:tc>
          <w:tcPr>
            <w:tcW w:w="7465" w:type="dxa"/>
            <w:tcBorders/>
            <w:shd w:fill="CCEEFF" w:val="clear"/>
            <w:vAlign w:val="bottom"/>
          </w:tcPr>
          <w:p>
            <w:pPr>
              <w:pStyle w:val="TableContents"/>
              <w:spacing w:before="0" w:after="0"/>
              <w:ind w:left="144" w:right="0" w:hanging="144"/>
              <w:jc w:val="right"/>
              <w:rPr/>
            </w:pPr>
            <w:r>
              <w:rPr/>
              <w:t>Net Cash From Financing Activities</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pPr>
            <w:r>
              <w:rPr/>
              <w:t>46,040</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48" w:type="dxa"/>
            <w:tcBorders>
              <w:bottom w:val="single" w:sz="12" w:space="0" w:color="000000"/>
            </w:tcBorders>
            <w:shd w:fill="CCEEFF" w:val="clear"/>
            <w:tcMar>
              <w:bottom w:w="28" w:type="dxa"/>
            </w:tcMar>
            <w:vAlign w:val="bottom"/>
          </w:tcPr>
          <w:p>
            <w:pPr>
              <w:pStyle w:val="TableContents"/>
              <w:spacing w:before="0" w:after="0"/>
              <w:jc w:val="right"/>
              <w:rPr/>
            </w:pPr>
            <w:r>
              <w:rPr/>
              <w:t>55,896</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144" w:right="0" w:hanging="144"/>
              <w:jc w:val="right"/>
              <w:rPr/>
            </w:pPr>
            <w:r>
              <w:rPr/>
              <w:t>Net Increase (Decrease) in Cash and Cash Equivalents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(15,107</w:t>
            </w:r>
          </w:p>
        </w:tc>
        <w:tc>
          <w:tcPr>
            <w:tcW w:w="103" w:type="dxa"/>
            <w:tcBorders/>
            <w:shd w:fill="FFFFFF" w:val="clear"/>
            <w:vAlign w:val="bottom"/>
          </w:tcPr>
          <w:p>
            <w:pPr>
              <w:pStyle w:val="TableContents"/>
              <w:spacing w:before="0" w:after="0"/>
              <w:rPr/>
            </w:pPr>
            <w:r>
              <w:rPr/>
              <w:t>)</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3,973</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144" w:right="0" w:hanging="144"/>
              <w:rPr/>
            </w:pPr>
            <w:r>
              <w:rPr/>
              <w:t>Cash and Cash Equivalents at Beginning of Period</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pPr>
            <w:r>
              <w:rPr/>
              <w:t>70,244</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48" w:type="dxa"/>
            <w:tcBorders>
              <w:bottom w:val="single" w:sz="12" w:space="0" w:color="000000"/>
            </w:tcBorders>
            <w:shd w:fill="CCEEFF" w:val="clear"/>
            <w:tcMar>
              <w:bottom w:w="28" w:type="dxa"/>
            </w:tcMar>
            <w:vAlign w:val="bottom"/>
          </w:tcPr>
          <w:p>
            <w:pPr>
              <w:pStyle w:val="TableContents"/>
              <w:spacing w:before="0" w:after="0"/>
              <w:jc w:val="right"/>
              <w:rPr/>
            </w:pPr>
            <w:r>
              <w:rPr/>
              <w:t>54,738</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144" w:right="0" w:hanging="144"/>
              <w:jc w:val="right"/>
              <w:rPr/>
            </w:pPr>
            <w:r>
              <w:rPr/>
              <w:t>Cash and Cash Equivalents at End of Period</w:t>
            </w:r>
          </w:p>
        </w:tc>
        <w:tc>
          <w:tcPr>
            <w:tcW w:w="6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950" w:type="dxa"/>
            <w:tcBorders>
              <w:bottom w:val="double" w:sz="8" w:space="0" w:color="000000"/>
            </w:tcBorders>
            <w:shd w:fill="FFFFFF" w:val="clear"/>
            <w:tcMar>
              <w:bottom w:w="28" w:type="dxa"/>
            </w:tcMar>
            <w:vAlign w:val="bottom"/>
          </w:tcPr>
          <w:p>
            <w:pPr>
              <w:pStyle w:val="TableContents"/>
              <w:spacing w:before="0" w:after="0"/>
              <w:jc w:val="right"/>
              <w:rPr/>
            </w:pPr>
            <w:r>
              <w:rPr/>
              <w:t>55,137</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1148" w:type="dxa"/>
            <w:tcBorders>
              <w:bottom w:val="double" w:sz="8" w:space="0" w:color="000000"/>
            </w:tcBorders>
            <w:shd w:fill="FFFFFF" w:val="clear"/>
            <w:tcMar>
              <w:bottom w:w="28" w:type="dxa"/>
            </w:tcMar>
            <w:vAlign w:val="bottom"/>
          </w:tcPr>
          <w:p>
            <w:pPr>
              <w:pStyle w:val="TableContents"/>
              <w:spacing w:before="0" w:after="0"/>
              <w:jc w:val="right"/>
              <w:rPr/>
            </w:pPr>
            <w:r>
              <w:rPr/>
              <w:t>58,711</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144" w:right="0" w:hanging="144"/>
              <w:rPr/>
            </w:pPr>
            <w:r>
              <w:rPr/>
              <w:t>Cash paid during the period for</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Interest</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0"/>
              <w:rPr/>
            </w:pPr>
            <w:r>
              <w:rPr/>
              <w:t>$</w:t>
            </w:r>
          </w:p>
        </w:tc>
        <w:tc>
          <w:tcPr>
            <w:tcW w:w="950" w:type="dxa"/>
            <w:tcBorders/>
            <w:shd w:fill="FFFFFF" w:val="clear"/>
            <w:vAlign w:val="bottom"/>
          </w:tcPr>
          <w:p>
            <w:pPr>
              <w:pStyle w:val="TableContents"/>
              <w:spacing w:before="0" w:after="0"/>
              <w:jc w:val="right"/>
              <w:rPr/>
            </w:pPr>
            <w:r>
              <w:rPr/>
              <w:t>13,188</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0"/>
              <w:rPr/>
            </w:pPr>
            <w:r>
              <w:rPr/>
              <w:t>$</w:t>
            </w:r>
          </w:p>
        </w:tc>
        <w:tc>
          <w:tcPr>
            <w:tcW w:w="1148" w:type="dxa"/>
            <w:tcBorders/>
            <w:shd w:fill="FFFFFF" w:val="clear"/>
            <w:vAlign w:val="bottom"/>
          </w:tcPr>
          <w:p>
            <w:pPr>
              <w:pStyle w:val="TableContents"/>
              <w:spacing w:before="0" w:after="0"/>
              <w:jc w:val="right"/>
              <w:rPr/>
            </w:pPr>
            <w:r>
              <w:rPr/>
              <w:t>6,545</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324" w:right="0" w:hanging="144"/>
              <w:rPr/>
            </w:pPr>
            <w:r>
              <w:rPr/>
              <w:t>Income taxes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2,457</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120</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324" w:right="0" w:hanging="144"/>
              <w:rPr/>
            </w:pPr>
            <w:r>
              <w:rPr/>
              <w:t>Operating leases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1,127</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144" w:right="0" w:hanging="144"/>
              <w:rPr/>
            </w:pPr>
            <w:r>
              <w:rPr/>
              <w:t>Transfers to other real estate and repossessed assets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1,420</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641</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144" w:right="0" w:hanging="144"/>
              <w:rPr/>
            </w:pPr>
            <w:r>
              <w:rPr/>
              <w:t>Purchase of securities available for sale not yet settled</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645</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144" w:right="0" w:hanging="144"/>
              <w:rPr/>
            </w:pPr>
            <w:r>
              <w:rPr/>
              <w:t>Securitization of portfolio loans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29,790</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w:t>
            </w:r>
          </w:p>
        </w:tc>
        <w:tc>
          <w:tcPr>
            <w:tcW w:w="110" w:type="dxa"/>
            <w:tcBorders/>
            <w:shd w:fill="CCEEFF" w:val="clear"/>
            <w:vAlign w:val="bottom"/>
          </w:tcPr>
          <w:p>
            <w:pPr>
              <w:pStyle w:val="TableContents"/>
              <w:spacing w:before="0" w:after="283"/>
              <w:rPr/>
            </w:pPr>
            <w:r>
              <w:rPr/>
              <w:t> </w:t>
            </w:r>
          </w:p>
        </w:tc>
      </w:tr>
      <w:tr>
        <w:trPr/>
        <w:tc>
          <w:tcPr>
            <w:tcW w:w="7465" w:type="dxa"/>
            <w:tcBorders/>
            <w:shd w:fill="FFFFFF" w:val="clear"/>
            <w:vAlign w:val="bottom"/>
          </w:tcPr>
          <w:p>
            <w:pPr>
              <w:pStyle w:val="TableContents"/>
              <w:spacing w:before="0" w:after="0"/>
              <w:ind w:left="144" w:right="0" w:hanging="144"/>
              <w:rPr/>
            </w:pPr>
            <w:r>
              <w:rPr/>
              <w:t>Right of use assets obtained in exchange for lease obligations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950" w:type="dxa"/>
            <w:tcBorders/>
            <w:shd w:fill="FFFFFF" w:val="clear"/>
            <w:vAlign w:val="bottom"/>
          </w:tcPr>
          <w:p>
            <w:pPr>
              <w:pStyle w:val="TableContents"/>
              <w:spacing w:before="0" w:after="0"/>
              <w:jc w:val="right"/>
              <w:rPr/>
            </w:pPr>
            <w:r>
              <w:rPr/>
              <w:t>7,703</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w:t>
            </w:r>
          </w:p>
        </w:tc>
        <w:tc>
          <w:tcPr>
            <w:tcW w:w="110" w:type="dxa"/>
            <w:tcBorders/>
            <w:shd w:fill="FFFFFF" w:val="clear"/>
            <w:vAlign w:val="bottom"/>
          </w:tcPr>
          <w:p>
            <w:pPr>
              <w:pStyle w:val="TableContents"/>
              <w:spacing w:before="0" w:after="283"/>
              <w:rPr/>
            </w:pPr>
            <w:r>
              <w:rPr/>
              <w:t> </w:t>
            </w:r>
          </w:p>
        </w:tc>
      </w:tr>
      <w:tr>
        <w:trPr/>
        <w:tc>
          <w:tcPr>
            <w:tcW w:w="7465" w:type="dxa"/>
            <w:tcBorders/>
            <w:shd w:fill="CCEEFF" w:val="clear"/>
            <w:vAlign w:val="bottom"/>
          </w:tcPr>
          <w:p>
            <w:pPr>
              <w:pStyle w:val="TableContents"/>
              <w:spacing w:before="0" w:after="0"/>
              <w:ind w:left="144" w:right="0" w:hanging="144"/>
              <w:rPr/>
            </w:pPr>
            <w:r>
              <w:rPr/>
              <w:t>Transfer of loans to held for sale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0"/>
              <w:jc w:val="right"/>
              <w:rPr/>
            </w:pPr>
            <w:r>
              <w:rPr/>
              <w:t>-</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13,216</w:t>
            </w:r>
          </w:p>
        </w:tc>
        <w:tc>
          <w:tcPr>
            <w:tcW w:w="110" w:type="dxa"/>
            <w:tcBorders/>
            <w:shd w:fill="CCEEFF" w:val="clear"/>
            <w:vAlign w:val="bottom"/>
          </w:tcPr>
          <w:p>
            <w:pPr>
              <w:pStyle w:val="TableContents"/>
              <w:spacing w:before="0" w:after="283"/>
              <w:rPr/>
            </w:pPr>
            <w:r>
              <w:rPr/>
              <w:t> </w:t>
            </w:r>
          </w:p>
        </w:tc>
      </w:tr>
    </w:tbl>
    <w:p>
      <w:pPr>
        <w:pStyle w:val="TextBody"/>
        <w:spacing w:before="0" w:after="0"/>
        <w:rPr/>
      </w:pPr>
      <w:r>
        <w:rPr/>
      </w:r>
    </w:p>
    <w:p>
      <w:pPr>
        <w:pStyle w:val="TextBody"/>
        <w:spacing w:before="0" w:after="0"/>
        <w:rPr/>
      </w:pPr>
      <w:r>
        <w:rPr/>
        <w:t>See notes to interim condensed consolidated 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8" w:name="DSPFPageBreakArea5"/>
      <w:bookmarkStart w:id="79" w:name="DSPFPageBreakArea5"/>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0" w:name="DSPFPageNumber5"/>
      <w:bookmarkStart w:id="81" w:name="DSPFPageNumberArea4"/>
      <w:bookmarkEnd w:id="80"/>
      <w:bookmarkEnd w:id="81"/>
      <w:r>
        <w:rPr>
          <w:b w:val="false"/>
          <w:i w:val="false"/>
          <w:caps w:val="false"/>
          <w:smallCaps w:val="false"/>
          <w:sz w:val="13"/>
        </w:rPr>
        <w:t>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2" w:name="DSPFPageBreak5"/>
      <w:bookmarkStart w:id="83" w:name="DSPFPageBreak5"/>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4" w:name="DSPFPageHeader4"/>
        <w:bookmarkEnd w:id="8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INDEPENDENT BANK CORPORATION AND SUBSIDIARIES</w:t>
      </w:r>
    </w:p>
    <w:p>
      <w:pPr>
        <w:pStyle w:val="TextBody"/>
        <w:spacing w:before="0" w:after="0"/>
        <w:jc w:val="center"/>
        <w:rPr>
          <w:u w:val="single"/>
        </w:rPr>
      </w:pPr>
      <w:r>
        <w:rPr>
          <w:u w:val="single"/>
        </w:rPr>
        <w:t xml:space="preserve">Condensed Consolidated </w:t>
      </w:r>
      <w:bookmarkStart w:id="85" w:name="StatementsofShareholdersE"/>
      <w:bookmarkEnd w:id="85"/>
      <w:r>
        <w:rPr>
          <w:u w:val="single"/>
        </w:rPr>
        <w:t>Statements of Shareholders’ Equity</w:t>
      </w:r>
    </w:p>
    <w:p>
      <w:pPr>
        <w:pStyle w:val="TextBody"/>
        <w:spacing w:before="0" w:after="0"/>
        <w:rPr/>
      </w:pPr>
      <w:r>
        <w:rPr/>
      </w:r>
    </w:p>
    <w:p>
      <w:pPr>
        <w:pStyle w:val="Normal"/>
        <w:spacing w:before="0" w:after="0"/>
        <w:rPr>
          <w:sz w:val="4"/>
          <w:szCs w:val="4"/>
        </w:rPr>
      </w:pPr>
      <w:r>
        <w:rPr>
          <w:sz w:val="4"/>
          <w:szCs w:val="4"/>
        </w:rPr>
      </w:r>
      <w:bookmarkStart w:id="86" w:name="z897d578d933341889d943eb28f6d86b8"/>
      <w:bookmarkStart w:id="87" w:name="z897d578d933341889d943eb28f6d86b8"/>
      <w:bookmarkEnd w:id="87"/>
    </w:p>
    <w:tbl>
      <w:tblPr>
        <w:tblW w:w="10205" w:type="dxa"/>
        <w:jc w:val="left"/>
        <w:tblInd w:w="0" w:type="dxa"/>
        <w:tblCellMar>
          <w:top w:w="0" w:type="dxa"/>
          <w:left w:w="0" w:type="dxa"/>
          <w:bottom w:w="0" w:type="dxa"/>
          <w:right w:w="0" w:type="dxa"/>
        </w:tblCellMar>
      </w:tblPr>
      <w:tblGrid>
        <w:gridCol w:w="4520"/>
        <w:gridCol w:w="60"/>
        <w:gridCol w:w="140"/>
        <w:gridCol w:w="800"/>
        <w:gridCol w:w="95"/>
        <w:gridCol w:w="60"/>
        <w:gridCol w:w="200"/>
        <w:gridCol w:w="1080"/>
        <w:gridCol w:w="95"/>
        <w:gridCol w:w="60"/>
        <w:gridCol w:w="235"/>
        <w:gridCol w:w="1270"/>
        <w:gridCol w:w="95"/>
        <w:gridCol w:w="60"/>
        <w:gridCol w:w="197"/>
        <w:gridCol w:w="1128"/>
        <w:gridCol w:w="110"/>
      </w:tblGrid>
      <w:tr>
        <w:trPr/>
        <w:tc>
          <w:tcPr>
            <w:tcW w:w="45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Common</w:t>
            </w:r>
          </w:p>
          <w:p>
            <w:pPr>
              <w:pStyle w:val="TableContents"/>
              <w:spacing w:before="0" w:after="0"/>
              <w:jc w:val="center"/>
              <w:rPr/>
            </w:pPr>
            <w:r>
              <w:rPr/>
              <w:t>Stock</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bottom"/>
          </w:tcPr>
          <w:p>
            <w:pPr>
              <w:pStyle w:val="TableContents"/>
              <w:spacing w:before="0" w:after="0"/>
              <w:jc w:val="center"/>
              <w:rPr/>
            </w:pPr>
            <w:r>
              <w:rPr/>
              <w:t>Accumulated</w:t>
            </w:r>
          </w:p>
          <w:p>
            <w:pPr>
              <w:pStyle w:val="TableContents"/>
              <w:spacing w:before="0" w:after="0"/>
              <w:jc w:val="center"/>
              <w:rPr/>
            </w:pPr>
            <w:r>
              <w:rPr/>
              <w:t>Deficit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12" w:space="0" w:color="000000"/>
            </w:tcBorders>
            <w:shd w:fill="auto" w:val="clear"/>
            <w:tcMar>
              <w:bottom w:w="28" w:type="dxa"/>
            </w:tcMar>
            <w:vAlign w:val="bottom"/>
          </w:tcPr>
          <w:p>
            <w:pPr>
              <w:pStyle w:val="TableContents"/>
              <w:spacing w:before="0" w:after="0"/>
              <w:jc w:val="center"/>
              <w:rPr/>
            </w:pPr>
            <w:r>
              <w:rPr/>
              <w:t>Accumulated</w:t>
            </w:r>
          </w:p>
          <w:p>
            <w:pPr>
              <w:pStyle w:val="TableContents"/>
              <w:spacing w:before="0" w:after="0"/>
              <w:jc w:val="center"/>
              <w:rPr/>
            </w:pPr>
            <w:r>
              <w:rPr/>
              <w:t>Other</w:t>
            </w:r>
          </w:p>
          <w:p>
            <w:pPr>
              <w:pStyle w:val="TableContents"/>
              <w:spacing w:before="0" w:after="0"/>
              <w:jc w:val="center"/>
              <w:rPr/>
            </w:pPr>
            <w:r>
              <w:rPr/>
              <w:t>Comprehensive</w:t>
            </w:r>
          </w:p>
          <w:p>
            <w:pPr>
              <w:pStyle w:val="TableContents"/>
              <w:spacing w:before="0" w:after="0"/>
              <w:jc w:val="center"/>
              <w:rPr/>
            </w:pPr>
            <w:r>
              <w:rPr/>
              <w:t>Loss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p>
            <w:pPr>
              <w:pStyle w:val="TableContents"/>
              <w:spacing w:before="0" w:after="0"/>
              <w:jc w:val="center"/>
              <w:rPr/>
            </w:pPr>
            <w:r>
              <w:rPr/>
              <w:t>Shareholders’</w:t>
            </w:r>
          </w:p>
          <w:p>
            <w:pPr>
              <w:pStyle w:val="TableContents"/>
              <w:spacing w:before="0" w:after="0"/>
              <w:jc w:val="center"/>
              <w:rPr/>
            </w:pPr>
            <w:r>
              <w:rPr/>
              <w:t>Equity</w:t>
            </w:r>
          </w:p>
        </w:tc>
        <w:tc>
          <w:tcPr>
            <w:tcW w:w="110" w:type="dxa"/>
            <w:tcBorders/>
            <w:shd w:fill="auto" w:val="clear"/>
            <w:vAlign w:val="bottom"/>
          </w:tcPr>
          <w:p>
            <w:pPr>
              <w:pStyle w:val="TableContents"/>
              <w:spacing w:before="0" w:after="283"/>
              <w:rPr/>
            </w:pPr>
            <w:r>
              <w:rPr/>
              <w:t> </w:t>
            </w:r>
          </w:p>
        </w:tc>
      </w:tr>
      <w:tr>
        <w:trPr/>
        <w:tc>
          <w:tcPr>
            <w:tcW w:w="45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15" w:type="dxa"/>
            <w:gridSpan w:val="14"/>
            <w:tcBorders/>
            <w:shd w:fill="auto" w:val="clear"/>
            <w:vAlign w:val="bottom"/>
          </w:tcPr>
          <w:p>
            <w:pPr>
              <w:pStyle w:val="TableContents"/>
              <w:spacing w:before="0" w:after="0"/>
              <w:jc w:val="center"/>
              <w:rPr/>
            </w:pPr>
            <w:r>
              <w:rPr/>
              <w:t>(Dollars in thousands, except per share amounts)</w:t>
            </w:r>
          </w:p>
        </w:tc>
        <w:tc>
          <w:tcPr>
            <w:tcW w:w="110" w:type="dxa"/>
            <w:tcBorders/>
            <w:shd w:fill="auto"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Balances at April 1, 2019</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374,678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0"/>
              <w:rPr/>
            </w:pPr>
            <w:r>
              <w:rPr/>
              <w:t>$</w:t>
            </w:r>
          </w:p>
        </w:tc>
        <w:tc>
          <w:tcPr>
            <w:tcW w:w="1080" w:type="dxa"/>
            <w:tcBorders/>
            <w:shd w:fill="CCEEFF" w:val="clear"/>
            <w:vAlign w:val="bottom"/>
          </w:tcPr>
          <w:p>
            <w:pPr>
              <w:pStyle w:val="TableContents"/>
              <w:spacing w:before="0" w:after="0"/>
              <w:jc w:val="right"/>
              <w:rPr/>
            </w:pPr>
            <w:r>
              <w:rPr/>
              <w:t>(23,135</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1270" w:type="dxa"/>
            <w:tcBorders/>
            <w:shd w:fill="CCEEFF" w:val="clear"/>
            <w:vAlign w:val="bottom"/>
          </w:tcPr>
          <w:p>
            <w:pPr>
              <w:pStyle w:val="TableContents"/>
              <w:spacing w:before="0" w:after="0"/>
              <w:jc w:val="right"/>
              <w:rPr/>
            </w:pPr>
            <w:r>
              <w:rPr/>
              <w:t>(6,817</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0"/>
              <w:rPr/>
            </w:pPr>
            <w:r>
              <w:rPr/>
              <w:t>$</w:t>
            </w:r>
          </w:p>
        </w:tc>
        <w:tc>
          <w:tcPr>
            <w:tcW w:w="1128" w:type="dxa"/>
            <w:tcBorders/>
            <w:shd w:fill="CCEEFF" w:val="clear"/>
            <w:vAlign w:val="bottom"/>
          </w:tcPr>
          <w:p>
            <w:pPr>
              <w:pStyle w:val="TableContents"/>
              <w:spacing w:before="0" w:after="0"/>
              <w:jc w:val="right"/>
              <w:rPr/>
            </w:pPr>
            <w:r>
              <w:rPr/>
              <w:t>344,726</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0"/>
              <w:ind w:left="144" w:right="0" w:hanging="144"/>
              <w:rPr/>
            </w:pPr>
            <w:r>
              <w:rPr/>
              <w:t>Net income, three months ended June 30, 2019</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10,730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10,730</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Cash dividends declared, $.18 per share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(4,212</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(4,212</w:t>
            </w:r>
          </w:p>
        </w:tc>
        <w:tc>
          <w:tcPr>
            <w:tcW w:w="110" w:type="dxa"/>
            <w:tcBorders/>
            <w:shd w:fill="CCEEFF" w:val="clear"/>
            <w:vAlign w:val="bottom"/>
          </w:tcPr>
          <w:p>
            <w:pPr>
              <w:pStyle w:val="TableContents"/>
              <w:spacing w:before="0" w:after="0"/>
              <w:rPr/>
            </w:pPr>
            <w:r>
              <w:rPr/>
              <w:t>)</w:t>
            </w:r>
          </w:p>
        </w:tc>
      </w:tr>
      <w:tr>
        <w:trPr/>
        <w:tc>
          <w:tcPr>
            <w:tcW w:w="4520" w:type="dxa"/>
            <w:tcBorders/>
            <w:shd w:fill="FFFFFF" w:val="clear"/>
            <w:vAlign w:val="bottom"/>
          </w:tcPr>
          <w:p>
            <w:pPr>
              <w:pStyle w:val="TableContents"/>
              <w:spacing w:before="0" w:after="0"/>
              <w:ind w:left="144" w:right="0" w:hanging="144"/>
              <w:rPr/>
            </w:pPr>
            <w:r>
              <w:rPr/>
              <w:t>Repurchase of 1,063,901 shares of common stock</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(23,252</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(23,252</w:t>
            </w:r>
          </w:p>
        </w:tc>
        <w:tc>
          <w:tcPr>
            <w:tcW w:w="110" w:type="dxa"/>
            <w:tcBorders/>
            <w:shd w:fill="FFFFFF" w:val="clear"/>
            <w:vAlign w:val="bottom"/>
          </w:tcPr>
          <w:p>
            <w:pPr>
              <w:pStyle w:val="TableContents"/>
              <w:spacing w:before="0" w:after="0"/>
              <w:rPr/>
            </w:pPr>
            <w:r>
              <w:rPr/>
              <w:t>)</w:t>
            </w:r>
          </w:p>
        </w:tc>
      </w:tr>
      <w:tr>
        <w:trPr/>
        <w:tc>
          <w:tcPr>
            <w:tcW w:w="4520" w:type="dxa"/>
            <w:tcBorders/>
            <w:shd w:fill="CCEEFF" w:val="clear"/>
            <w:vAlign w:val="bottom"/>
          </w:tcPr>
          <w:p>
            <w:pPr>
              <w:pStyle w:val="TableContents"/>
              <w:spacing w:before="0" w:after="0"/>
              <w:ind w:left="144" w:right="0" w:hanging="144"/>
              <w:rPr/>
            </w:pPr>
            <w:r>
              <w:rPr/>
              <w:t>Share based compensation (issuance of 2,498 shares of common stock)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468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468</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0"/>
              <w:ind w:left="144" w:right="0" w:hanging="144"/>
              <w:rPr/>
            </w:pPr>
            <w:r>
              <w:rPr/>
              <w:t>Other comprehensive income</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0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8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70" w:type="dxa"/>
            <w:tcBorders>
              <w:bottom w:val="single" w:sz="12" w:space="0" w:color="000000"/>
            </w:tcBorders>
            <w:shd w:fill="FFFFFF" w:val="clear"/>
            <w:tcMar>
              <w:bottom w:w="28" w:type="dxa"/>
            </w:tcMar>
            <w:vAlign w:val="bottom"/>
          </w:tcPr>
          <w:p>
            <w:pPr>
              <w:pStyle w:val="TableContents"/>
              <w:spacing w:before="0" w:after="0"/>
              <w:jc w:val="right"/>
              <w:rPr/>
            </w:pPr>
            <w:r>
              <w:rPr/>
              <w:t>2,386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28" w:type="dxa"/>
            <w:tcBorders>
              <w:bottom w:val="single" w:sz="12" w:space="0" w:color="000000"/>
            </w:tcBorders>
            <w:shd w:fill="FFFFFF" w:val="clear"/>
            <w:tcMar>
              <w:bottom w:w="28" w:type="dxa"/>
            </w:tcMar>
            <w:vAlign w:val="bottom"/>
          </w:tcPr>
          <w:p>
            <w:pPr>
              <w:pStyle w:val="TableContents"/>
              <w:spacing w:before="0" w:after="0"/>
              <w:jc w:val="right"/>
              <w:rPr/>
            </w:pPr>
            <w:r>
              <w:rPr/>
              <w:t>2,386</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Balances at June 30, 2019</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pPr>
            <w:r>
              <w:rPr/>
              <w:t>351,894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bottom w:val="double" w:sz="8" w:space="0" w:color="000000"/>
            </w:tcBorders>
            <w:shd w:fill="CCEEFF" w:val="clear"/>
            <w:tcMar>
              <w:bottom w:w="28" w:type="dxa"/>
            </w:tcMar>
            <w:vAlign w:val="bottom"/>
          </w:tcPr>
          <w:p>
            <w:pPr>
              <w:pStyle w:val="TableContents"/>
              <w:spacing w:before="0" w:after="0"/>
              <w:rPr/>
            </w:pPr>
            <w:r>
              <w:rPr/>
              <w:t>$</w:t>
            </w:r>
          </w:p>
        </w:tc>
        <w:tc>
          <w:tcPr>
            <w:tcW w:w="1080" w:type="dxa"/>
            <w:tcBorders>
              <w:bottom w:val="double" w:sz="8" w:space="0" w:color="000000"/>
            </w:tcBorders>
            <w:shd w:fill="CCEEFF" w:val="clear"/>
            <w:tcMar>
              <w:bottom w:w="28" w:type="dxa"/>
            </w:tcMar>
            <w:vAlign w:val="bottom"/>
          </w:tcPr>
          <w:p>
            <w:pPr>
              <w:pStyle w:val="TableContents"/>
              <w:spacing w:before="0" w:after="0"/>
              <w:jc w:val="right"/>
              <w:rPr/>
            </w:pPr>
            <w:r>
              <w:rPr/>
              <w:t>(16,617</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rPr/>
            </w:pPr>
            <w:r>
              <w:rPr/>
              <w:t>$</w:t>
            </w:r>
          </w:p>
        </w:tc>
        <w:tc>
          <w:tcPr>
            <w:tcW w:w="1270" w:type="dxa"/>
            <w:tcBorders>
              <w:bottom w:val="double" w:sz="8" w:space="0" w:color="000000"/>
            </w:tcBorders>
            <w:shd w:fill="CCEEFF" w:val="clear"/>
            <w:tcMar>
              <w:bottom w:w="28" w:type="dxa"/>
            </w:tcMar>
            <w:vAlign w:val="bottom"/>
          </w:tcPr>
          <w:p>
            <w:pPr>
              <w:pStyle w:val="TableContents"/>
              <w:spacing w:before="0" w:after="0"/>
              <w:jc w:val="right"/>
              <w:rPr/>
            </w:pPr>
            <w:r>
              <w:rPr/>
              <w:t>(4,431</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0"/>
              <w:rPr/>
            </w:pPr>
            <w:r>
              <w:rPr/>
              <w:t>$</w:t>
            </w:r>
          </w:p>
        </w:tc>
        <w:tc>
          <w:tcPr>
            <w:tcW w:w="1128" w:type="dxa"/>
            <w:tcBorders>
              <w:bottom w:val="double" w:sz="8" w:space="0" w:color="000000"/>
            </w:tcBorders>
            <w:shd w:fill="CCEEFF" w:val="clear"/>
            <w:tcMar>
              <w:bottom w:w="28" w:type="dxa"/>
            </w:tcMar>
            <w:vAlign w:val="bottom"/>
          </w:tcPr>
          <w:p>
            <w:pPr>
              <w:pStyle w:val="TableContents"/>
              <w:spacing w:before="0" w:after="0"/>
              <w:jc w:val="right"/>
              <w:rPr/>
            </w:pPr>
            <w:r>
              <w:rPr/>
              <w:t>330,846</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Balances at April 1, 2018</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324,518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0"/>
              <w:rPr/>
            </w:pPr>
            <w:r>
              <w:rPr/>
              <w:t>$</w:t>
            </w:r>
          </w:p>
        </w:tc>
        <w:tc>
          <w:tcPr>
            <w:tcW w:w="1080" w:type="dxa"/>
            <w:tcBorders/>
            <w:shd w:fill="CCEEFF" w:val="clear"/>
            <w:vAlign w:val="bottom"/>
          </w:tcPr>
          <w:p>
            <w:pPr>
              <w:pStyle w:val="TableContents"/>
              <w:spacing w:before="0" w:after="0"/>
              <w:jc w:val="right"/>
              <w:rPr/>
            </w:pPr>
            <w:r>
              <w:rPr/>
              <w:t>(48,099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1270" w:type="dxa"/>
            <w:tcBorders/>
            <w:shd w:fill="CCEEFF" w:val="clear"/>
            <w:vAlign w:val="bottom"/>
          </w:tcPr>
          <w:p>
            <w:pPr>
              <w:pStyle w:val="TableContents"/>
              <w:spacing w:before="0" w:after="0"/>
              <w:jc w:val="right"/>
              <w:rPr/>
            </w:pPr>
            <w:r>
              <w:rPr/>
              <w:t>(8,502</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0"/>
              <w:rPr/>
            </w:pPr>
            <w:r>
              <w:rPr/>
              <w:t>$</w:t>
            </w:r>
          </w:p>
        </w:tc>
        <w:tc>
          <w:tcPr>
            <w:tcW w:w="1128" w:type="dxa"/>
            <w:tcBorders/>
            <w:shd w:fill="CCEEFF" w:val="clear"/>
            <w:vAlign w:val="bottom"/>
          </w:tcPr>
          <w:p>
            <w:pPr>
              <w:pStyle w:val="TableContents"/>
              <w:spacing w:before="0" w:after="0"/>
              <w:jc w:val="right"/>
              <w:rPr/>
            </w:pPr>
            <w:r>
              <w:rPr/>
              <w:t>267,917</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0"/>
              <w:ind w:left="144" w:right="0" w:hanging="144"/>
              <w:rPr/>
            </w:pPr>
            <w:r>
              <w:rPr/>
              <w:t>Net income, three months ended June 30, 2018</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8,817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8,817</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Cash dividends declared, $.15 per share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(3,617</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(3,617</w:t>
            </w:r>
          </w:p>
        </w:tc>
        <w:tc>
          <w:tcPr>
            <w:tcW w:w="110" w:type="dxa"/>
            <w:tcBorders/>
            <w:shd w:fill="CCEEFF" w:val="clear"/>
            <w:vAlign w:val="bottom"/>
          </w:tcPr>
          <w:p>
            <w:pPr>
              <w:pStyle w:val="TableContents"/>
              <w:spacing w:before="0" w:after="0"/>
              <w:rPr/>
            </w:pPr>
            <w:r>
              <w:rPr/>
              <w:t>)</w:t>
            </w:r>
          </w:p>
        </w:tc>
      </w:tr>
      <w:tr>
        <w:trPr/>
        <w:tc>
          <w:tcPr>
            <w:tcW w:w="4520" w:type="dxa"/>
            <w:tcBorders/>
            <w:shd w:fill="FFFFFF" w:val="clear"/>
            <w:vAlign w:val="bottom"/>
          </w:tcPr>
          <w:p>
            <w:pPr>
              <w:pStyle w:val="TableContents"/>
              <w:spacing w:before="0" w:after="0"/>
              <w:ind w:left="144" w:right="0" w:hanging="144"/>
              <w:rPr/>
            </w:pPr>
            <w:r>
              <w:rPr/>
              <w:t>Acquisition of TCSB Bancorp, Inc.</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64,536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64,536</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Issuance of 101,408 shares of common stock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134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134</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0"/>
              <w:ind w:left="180" w:right="0" w:hanging="180"/>
              <w:rPr/>
            </w:pPr>
            <w:r>
              <w:rPr/>
              <w:t>Share based compensation (issuance of 7,444 shares of common stock)</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441</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441</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Share based compensation withholding obligation (withholding of 50,057 shares of common stock)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(433</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(433</w:t>
            </w:r>
          </w:p>
        </w:tc>
        <w:tc>
          <w:tcPr>
            <w:tcW w:w="110" w:type="dxa"/>
            <w:tcBorders/>
            <w:shd w:fill="CCEEFF" w:val="clear"/>
            <w:vAlign w:val="bottom"/>
          </w:tcPr>
          <w:p>
            <w:pPr>
              <w:pStyle w:val="TableContents"/>
              <w:spacing w:before="0" w:after="0"/>
              <w:rPr/>
            </w:pPr>
            <w:r>
              <w:rPr/>
              <w:t>)</w:t>
            </w:r>
          </w:p>
        </w:tc>
      </w:tr>
      <w:tr>
        <w:trPr/>
        <w:tc>
          <w:tcPr>
            <w:tcW w:w="4520" w:type="dxa"/>
            <w:tcBorders/>
            <w:shd w:fill="FFFFFF" w:val="clear"/>
            <w:vAlign w:val="bottom"/>
          </w:tcPr>
          <w:p>
            <w:pPr>
              <w:pStyle w:val="TableContents"/>
              <w:spacing w:before="0" w:after="0"/>
              <w:ind w:left="144" w:right="0" w:hanging="144"/>
              <w:rPr/>
            </w:pPr>
            <w:r>
              <w:rPr/>
              <w:t>Other comprehensive loss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0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8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70" w:type="dxa"/>
            <w:tcBorders>
              <w:bottom w:val="single" w:sz="12" w:space="0" w:color="000000"/>
            </w:tcBorders>
            <w:shd w:fill="FFFFFF" w:val="clear"/>
            <w:tcMar>
              <w:bottom w:w="28" w:type="dxa"/>
            </w:tcMar>
            <w:vAlign w:val="bottom"/>
          </w:tcPr>
          <w:p>
            <w:pPr>
              <w:pStyle w:val="TableContents"/>
              <w:spacing w:before="0" w:after="0"/>
              <w:jc w:val="right"/>
              <w:rPr/>
            </w:pPr>
            <w:r>
              <w:rPr/>
              <w:t>(712</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9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28" w:type="dxa"/>
            <w:tcBorders>
              <w:bottom w:val="single" w:sz="12" w:space="0" w:color="000000"/>
            </w:tcBorders>
            <w:shd w:fill="FFFFFF" w:val="clear"/>
            <w:tcMar>
              <w:bottom w:w="28" w:type="dxa"/>
            </w:tcMar>
            <w:vAlign w:val="bottom"/>
          </w:tcPr>
          <w:p>
            <w:pPr>
              <w:pStyle w:val="TableContents"/>
              <w:spacing w:before="0" w:after="0"/>
              <w:jc w:val="right"/>
              <w:rPr/>
            </w:pPr>
            <w:r>
              <w:rPr/>
              <w:t>(712</w:t>
            </w:r>
          </w:p>
        </w:tc>
        <w:tc>
          <w:tcPr>
            <w:tcW w:w="110" w:type="dxa"/>
            <w:tcBorders/>
            <w:shd w:fill="FFFFFF" w:val="clear"/>
            <w:vAlign w:val="bottom"/>
          </w:tcPr>
          <w:p>
            <w:pPr>
              <w:pStyle w:val="TableContents"/>
              <w:spacing w:before="0" w:after="0"/>
              <w:rPr/>
            </w:pPr>
            <w:r>
              <w:rPr/>
              <w:t>)</w:t>
            </w:r>
          </w:p>
        </w:tc>
      </w:tr>
      <w:tr>
        <w:trPr/>
        <w:tc>
          <w:tcPr>
            <w:tcW w:w="4520" w:type="dxa"/>
            <w:tcBorders/>
            <w:shd w:fill="CCEEFF" w:val="clear"/>
            <w:vAlign w:val="bottom"/>
          </w:tcPr>
          <w:p>
            <w:pPr>
              <w:pStyle w:val="TableContents"/>
              <w:spacing w:before="0" w:after="0"/>
              <w:ind w:left="144" w:right="0" w:hanging="144"/>
              <w:rPr/>
            </w:pPr>
            <w:r>
              <w:rPr/>
              <w:t>Balances at June 30, 2018</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pPr>
            <w:r>
              <w:rPr/>
              <w:t>389,196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bottom w:val="double" w:sz="8" w:space="0" w:color="000000"/>
            </w:tcBorders>
            <w:shd w:fill="CCEEFF" w:val="clear"/>
            <w:tcMar>
              <w:bottom w:w="28" w:type="dxa"/>
            </w:tcMar>
            <w:vAlign w:val="bottom"/>
          </w:tcPr>
          <w:p>
            <w:pPr>
              <w:pStyle w:val="TableContents"/>
              <w:spacing w:before="0" w:after="0"/>
              <w:rPr/>
            </w:pPr>
            <w:r>
              <w:rPr/>
              <w:t>$</w:t>
            </w:r>
          </w:p>
        </w:tc>
        <w:tc>
          <w:tcPr>
            <w:tcW w:w="1080" w:type="dxa"/>
            <w:tcBorders>
              <w:bottom w:val="double" w:sz="8" w:space="0" w:color="000000"/>
            </w:tcBorders>
            <w:shd w:fill="CCEEFF" w:val="clear"/>
            <w:tcMar>
              <w:bottom w:w="28" w:type="dxa"/>
            </w:tcMar>
            <w:vAlign w:val="bottom"/>
          </w:tcPr>
          <w:p>
            <w:pPr>
              <w:pStyle w:val="TableContents"/>
              <w:spacing w:before="0" w:after="0"/>
              <w:jc w:val="right"/>
              <w:rPr/>
            </w:pPr>
            <w:r>
              <w:rPr/>
              <w:t>(42,899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rPr/>
            </w:pPr>
            <w:r>
              <w:rPr/>
              <w:t>$</w:t>
            </w:r>
          </w:p>
        </w:tc>
        <w:tc>
          <w:tcPr>
            <w:tcW w:w="1270" w:type="dxa"/>
            <w:tcBorders>
              <w:bottom w:val="double" w:sz="8" w:space="0" w:color="000000"/>
            </w:tcBorders>
            <w:shd w:fill="CCEEFF" w:val="clear"/>
            <w:tcMar>
              <w:bottom w:w="28" w:type="dxa"/>
            </w:tcMar>
            <w:vAlign w:val="bottom"/>
          </w:tcPr>
          <w:p>
            <w:pPr>
              <w:pStyle w:val="TableContents"/>
              <w:spacing w:before="0" w:after="0"/>
              <w:jc w:val="right"/>
              <w:rPr/>
            </w:pPr>
            <w:r>
              <w:rPr/>
              <w:t>(9,214</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0"/>
              <w:rPr/>
            </w:pPr>
            <w:r>
              <w:rPr/>
              <w:t>$</w:t>
            </w:r>
          </w:p>
        </w:tc>
        <w:tc>
          <w:tcPr>
            <w:tcW w:w="1128" w:type="dxa"/>
            <w:tcBorders>
              <w:bottom w:val="double" w:sz="8" w:space="0" w:color="000000"/>
            </w:tcBorders>
            <w:shd w:fill="CCEEFF" w:val="clear"/>
            <w:tcMar>
              <w:bottom w:w="28" w:type="dxa"/>
            </w:tcMar>
            <w:vAlign w:val="bottom"/>
          </w:tcPr>
          <w:p>
            <w:pPr>
              <w:pStyle w:val="TableContents"/>
              <w:spacing w:before="0" w:after="0"/>
              <w:jc w:val="right"/>
              <w:rPr/>
            </w:pPr>
            <w:r>
              <w:rPr/>
              <w:t>337,083</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Balances at January 1, 2019</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377,372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0"/>
              <w:rPr/>
            </w:pPr>
            <w:r>
              <w:rPr/>
              <w:t>$</w:t>
            </w:r>
          </w:p>
        </w:tc>
        <w:tc>
          <w:tcPr>
            <w:tcW w:w="1080" w:type="dxa"/>
            <w:tcBorders/>
            <w:shd w:fill="CCEEFF" w:val="clear"/>
            <w:vAlign w:val="bottom"/>
          </w:tcPr>
          <w:p>
            <w:pPr>
              <w:pStyle w:val="TableContents"/>
              <w:spacing w:before="0" w:after="0"/>
              <w:jc w:val="right"/>
              <w:rPr/>
            </w:pPr>
            <w:r>
              <w:rPr/>
              <w:t>(28,270</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1270" w:type="dxa"/>
            <w:tcBorders/>
            <w:shd w:fill="CCEEFF" w:val="clear"/>
            <w:vAlign w:val="bottom"/>
          </w:tcPr>
          <w:p>
            <w:pPr>
              <w:pStyle w:val="TableContents"/>
              <w:spacing w:before="0" w:after="0"/>
              <w:jc w:val="right"/>
              <w:rPr/>
            </w:pPr>
            <w:r>
              <w:rPr/>
              <w:t>(10,108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0"/>
              <w:rPr/>
            </w:pPr>
            <w:r>
              <w:rPr/>
              <w:t>$</w:t>
            </w:r>
          </w:p>
        </w:tc>
        <w:tc>
          <w:tcPr>
            <w:tcW w:w="1128" w:type="dxa"/>
            <w:tcBorders/>
            <w:shd w:fill="CCEEFF" w:val="clear"/>
            <w:vAlign w:val="bottom"/>
          </w:tcPr>
          <w:p>
            <w:pPr>
              <w:pStyle w:val="TableContents"/>
              <w:spacing w:before="0" w:after="0"/>
              <w:jc w:val="right"/>
              <w:rPr/>
            </w:pPr>
            <w:r>
              <w:rPr/>
              <w:t>338,994</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0"/>
              <w:ind w:left="144" w:right="0" w:hanging="144"/>
              <w:rPr/>
            </w:pPr>
            <w:r>
              <w:rPr/>
              <w:t>Net income, six months ended June 30, 2019</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20,111</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20,111</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Cash dividends declared, $.36 per share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(8,458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(8,458</w:t>
            </w:r>
          </w:p>
        </w:tc>
        <w:tc>
          <w:tcPr>
            <w:tcW w:w="110" w:type="dxa"/>
            <w:tcBorders/>
            <w:shd w:fill="CCEEFF" w:val="clear"/>
            <w:vAlign w:val="bottom"/>
          </w:tcPr>
          <w:p>
            <w:pPr>
              <w:pStyle w:val="TableContents"/>
              <w:spacing w:before="0" w:after="0"/>
              <w:rPr/>
            </w:pPr>
            <w:r>
              <w:rPr/>
              <w:t>)</w:t>
            </w:r>
          </w:p>
        </w:tc>
      </w:tr>
      <w:tr>
        <w:trPr/>
        <w:tc>
          <w:tcPr>
            <w:tcW w:w="4520" w:type="dxa"/>
            <w:tcBorders/>
            <w:shd w:fill="FFFFFF" w:val="clear"/>
            <w:vAlign w:val="bottom"/>
          </w:tcPr>
          <w:p>
            <w:pPr>
              <w:pStyle w:val="TableContents"/>
              <w:spacing w:before="0" w:after="0"/>
              <w:ind w:left="144" w:right="0" w:hanging="144"/>
              <w:rPr/>
            </w:pPr>
            <w:r>
              <w:rPr/>
              <w:t>Repurchase of 1,179,688 shares of common stock</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(25,782</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(25,782</w:t>
            </w:r>
          </w:p>
        </w:tc>
        <w:tc>
          <w:tcPr>
            <w:tcW w:w="110" w:type="dxa"/>
            <w:tcBorders/>
            <w:shd w:fill="FFFFFF" w:val="clear"/>
            <w:vAlign w:val="bottom"/>
          </w:tcPr>
          <w:p>
            <w:pPr>
              <w:pStyle w:val="TableContents"/>
              <w:spacing w:before="0" w:after="0"/>
              <w:rPr/>
            </w:pPr>
            <w:r>
              <w:rPr/>
              <w:t>)</w:t>
            </w:r>
          </w:p>
        </w:tc>
      </w:tr>
      <w:tr>
        <w:trPr/>
        <w:tc>
          <w:tcPr>
            <w:tcW w:w="4520" w:type="dxa"/>
            <w:tcBorders/>
            <w:shd w:fill="CCEEFF" w:val="clear"/>
            <w:vAlign w:val="bottom"/>
          </w:tcPr>
          <w:p>
            <w:pPr>
              <w:pStyle w:val="TableContents"/>
              <w:spacing w:before="0" w:after="0"/>
              <w:ind w:left="144" w:right="0" w:hanging="144"/>
              <w:rPr/>
            </w:pPr>
            <w:r>
              <w:rPr/>
              <w:t>Issuance of 68,399 shares of common stock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282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282</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0"/>
              <w:ind w:left="144" w:right="0" w:hanging="144"/>
              <w:rPr/>
            </w:pPr>
            <w:r>
              <w:rPr/>
              <w:t>Share based compensation (issuance of 86,626 shares of common stock)</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888</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888</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Share based compensation withholding obligation (withholding of 56,286 shares of common stock)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(866</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(866</w:t>
            </w:r>
          </w:p>
        </w:tc>
        <w:tc>
          <w:tcPr>
            <w:tcW w:w="110" w:type="dxa"/>
            <w:tcBorders/>
            <w:shd w:fill="CCEEFF" w:val="clear"/>
            <w:vAlign w:val="bottom"/>
          </w:tcPr>
          <w:p>
            <w:pPr>
              <w:pStyle w:val="TableContents"/>
              <w:spacing w:before="0" w:after="0"/>
              <w:rPr/>
            </w:pPr>
            <w:r>
              <w:rPr/>
              <w:t>)</w:t>
            </w:r>
          </w:p>
        </w:tc>
      </w:tr>
      <w:tr>
        <w:trPr/>
        <w:tc>
          <w:tcPr>
            <w:tcW w:w="4520" w:type="dxa"/>
            <w:tcBorders/>
            <w:shd w:fill="FFFFFF" w:val="clear"/>
            <w:vAlign w:val="bottom"/>
          </w:tcPr>
          <w:p>
            <w:pPr>
              <w:pStyle w:val="TableContents"/>
              <w:spacing w:before="0" w:after="0"/>
              <w:ind w:left="144" w:right="0" w:hanging="144"/>
              <w:rPr/>
            </w:pPr>
            <w:r>
              <w:rPr/>
              <w:t>Other comprehensive income</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0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8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70" w:type="dxa"/>
            <w:tcBorders>
              <w:bottom w:val="single" w:sz="12" w:space="0" w:color="000000"/>
            </w:tcBorders>
            <w:shd w:fill="FFFFFF" w:val="clear"/>
            <w:tcMar>
              <w:bottom w:w="28" w:type="dxa"/>
            </w:tcMar>
            <w:vAlign w:val="bottom"/>
          </w:tcPr>
          <w:p>
            <w:pPr>
              <w:pStyle w:val="TableContents"/>
              <w:spacing w:before="0" w:after="0"/>
              <w:jc w:val="right"/>
              <w:rPr/>
            </w:pPr>
            <w:r>
              <w:rPr/>
              <w:t>5,677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28" w:type="dxa"/>
            <w:tcBorders>
              <w:bottom w:val="single" w:sz="12" w:space="0" w:color="000000"/>
            </w:tcBorders>
            <w:shd w:fill="FFFFFF" w:val="clear"/>
            <w:tcMar>
              <w:bottom w:w="28" w:type="dxa"/>
            </w:tcMar>
            <w:vAlign w:val="bottom"/>
          </w:tcPr>
          <w:p>
            <w:pPr>
              <w:pStyle w:val="TableContents"/>
              <w:spacing w:before="0" w:after="0"/>
              <w:jc w:val="right"/>
              <w:rPr/>
            </w:pPr>
            <w:r>
              <w:rPr/>
              <w:t>5,677</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Balances at June 30, 2019</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pPr>
            <w:r>
              <w:rPr/>
              <w:t>351,894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bottom w:val="double" w:sz="8" w:space="0" w:color="000000"/>
            </w:tcBorders>
            <w:shd w:fill="CCEEFF" w:val="clear"/>
            <w:tcMar>
              <w:bottom w:w="28" w:type="dxa"/>
            </w:tcMar>
            <w:vAlign w:val="bottom"/>
          </w:tcPr>
          <w:p>
            <w:pPr>
              <w:pStyle w:val="TableContents"/>
              <w:spacing w:before="0" w:after="0"/>
              <w:rPr/>
            </w:pPr>
            <w:r>
              <w:rPr/>
              <w:t>$</w:t>
            </w:r>
          </w:p>
        </w:tc>
        <w:tc>
          <w:tcPr>
            <w:tcW w:w="1080" w:type="dxa"/>
            <w:tcBorders>
              <w:bottom w:val="double" w:sz="8" w:space="0" w:color="000000"/>
            </w:tcBorders>
            <w:shd w:fill="CCEEFF" w:val="clear"/>
            <w:tcMar>
              <w:bottom w:w="28" w:type="dxa"/>
            </w:tcMar>
            <w:vAlign w:val="bottom"/>
          </w:tcPr>
          <w:p>
            <w:pPr>
              <w:pStyle w:val="TableContents"/>
              <w:spacing w:before="0" w:after="0"/>
              <w:jc w:val="right"/>
              <w:rPr/>
            </w:pPr>
            <w:r>
              <w:rPr/>
              <w:t>(16,617</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rPr/>
            </w:pPr>
            <w:r>
              <w:rPr/>
              <w:t>$</w:t>
            </w:r>
          </w:p>
        </w:tc>
        <w:tc>
          <w:tcPr>
            <w:tcW w:w="1270" w:type="dxa"/>
            <w:tcBorders>
              <w:bottom w:val="double" w:sz="8" w:space="0" w:color="000000"/>
            </w:tcBorders>
            <w:shd w:fill="CCEEFF" w:val="clear"/>
            <w:tcMar>
              <w:bottom w:w="28" w:type="dxa"/>
            </w:tcMar>
            <w:vAlign w:val="bottom"/>
          </w:tcPr>
          <w:p>
            <w:pPr>
              <w:pStyle w:val="TableContents"/>
              <w:spacing w:before="0" w:after="0"/>
              <w:jc w:val="right"/>
              <w:rPr/>
            </w:pPr>
            <w:r>
              <w:rPr/>
              <w:t>(4,431</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0"/>
              <w:rPr/>
            </w:pPr>
            <w:r>
              <w:rPr/>
              <w:t>$</w:t>
            </w:r>
          </w:p>
        </w:tc>
        <w:tc>
          <w:tcPr>
            <w:tcW w:w="1128" w:type="dxa"/>
            <w:tcBorders>
              <w:bottom w:val="double" w:sz="8" w:space="0" w:color="000000"/>
            </w:tcBorders>
            <w:shd w:fill="CCEEFF" w:val="clear"/>
            <w:tcMar>
              <w:bottom w:w="28" w:type="dxa"/>
            </w:tcMar>
            <w:vAlign w:val="bottom"/>
          </w:tcPr>
          <w:p>
            <w:pPr>
              <w:pStyle w:val="TableContents"/>
              <w:spacing w:before="0" w:after="0"/>
              <w:jc w:val="right"/>
              <w:rPr/>
            </w:pPr>
            <w:r>
              <w:rPr/>
              <w:t>330,846</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Balances at January 1, 2018</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324,986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0"/>
              <w:rPr/>
            </w:pPr>
            <w:r>
              <w:rPr/>
              <w:t>$</w:t>
            </w:r>
          </w:p>
        </w:tc>
        <w:tc>
          <w:tcPr>
            <w:tcW w:w="1080" w:type="dxa"/>
            <w:tcBorders/>
            <w:shd w:fill="CCEEFF" w:val="clear"/>
            <w:vAlign w:val="bottom"/>
          </w:tcPr>
          <w:p>
            <w:pPr>
              <w:pStyle w:val="TableContents"/>
              <w:spacing w:before="0" w:after="0"/>
              <w:jc w:val="right"/>
              <w:rPr/>
            </w:pPr>
            <w:r>
              <w:rPr/>
              <w:t>(54,054</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1270" w:type="dxa"/>
            <w:tcBorders/>
            <w:shd w:fill="CCEEFF" w:val="clear"/>
            <w:vAlign w:val="bottom"/>
          </w:tcPr>
          <w:p>
            <w:pPr>
              <w:pStyle w:val="TableContents"/>
              <w:spacing w:before="0" w:after="0"/>
              <w:jc w:val="right"/>
              <w:rPr/>
            </w:pPr>
            <w:r>
              <w:rPr/>
              <w:t>(5,999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0"/>
              <w:rPr/>
            </w:pPr>
            <w:r>
              <w:rPr/>
              <w:t>$</w:t>
            </w:r>
          </w:p>
        </w:tc>
        <w:tc>
          <w:tcPr>
            <w:tcW w:w="1128" w:type="dxa"/>
            <w:tcBorders/>
            <w:shd w:fill="CCEEFF" w:val="clear"/>
            <w:vAlign w:val="bottom"/>
          </w:tcPr>
          <w:p>
            <w:pPr>
              <w:pStyle w:val="TableContents"/>
              <w:spacing w:before="0" w:after="0"/>
              <w:jc w:val="right"/>
              <w:rPr/>
            </w:pPr>
            <w:r>
              <w:rPr/>
              <w:t>264,933</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0"/>
              <w:ind w:left="144" w:right="0" w:hanging="144"/>
              <w:rPr/>
            </w:pPr>
            <w:r>
              <w:rPr/>
              <w:t>Net income, six months ended June 30, 2018</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17,978</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17,978</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Cash dividends declared, $.30 per share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(6,823</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(6,823</w:t>
            </w:r>
          </w:p>
        </w:tc>
        <w:tc>
          <w:tcPr>
            <w:tcW w:w="110" w:type="dxa"/>
            <w:tcBorders/>
            <w:shd w:fill="CCEEFF" w:val="clear"/>
            <w:vAlign w:val="bottom"/>
          </w:tcPr>
          <w:p>
            <w:pPr>
              <w:pStyle w:val="TableContents"/>
              <w:spacing w:before="0" w:after="0"/>
              <w:rPr/>
            </w:pPr>
            <w:r>
              <w:rPr/>
              <w:t>)</w:t>
            </w:r>
          </w:p>
        </w:tc>
      </w:tr>
      <w:tr>
        <w:trPr/>
        <w:tc>
          <w:tcPr>
            <w:tcW w:w="4520" w:type="dxa"/>
            <w:tcBorders/>
            <w:shd w:fill="FFFFFF" w:val="clear"/>
            <w:vAlign w:val="bottom"/>
          </w:tcPr>
          <w:p>
            <w:pPr>
              <w:pStyle w:val="TableContents"/>
              <w:spacing w:before="0" w:after="0"/>
              <w:ind w:left="144" w:right="0" w:hanging="144"/>
              <w:rPr/>
            </w:pPr>
            <w:r>
              <w:rPr/>
              <w:t>Acquisition of TCSB Bancorp, Inc.</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64,536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64,536</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Issuance of 105,208 shares of common stock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147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147</w:t>
            </w:r>
          </w:p>
        </w:tc>
        <w:tc>
          <w:tcPr>
            <w:tcW w:w="110" w:type="dxa"/>
            <w:tcBorders/>
            <w:shd w:fill="CCEEFF" w:val="clear"/>
            <w:vAlign w:val="bottom"/>
          </w:tcPr>
          <w:p>
            <w:pPr>
              <w:pStyle w:val="TableContents"/>
              <w:spacing w:before="0" w:after="283"/>
              <w:rPr/>
            </w:pPr>
            <w:r>
              <w:rPr/>
              <w:t> </w:t>
            </w:r>
          </w:p>
        </w:tc>
      </w:tr>
      <w:tr>
        <w:trPr/>
        <w:tc>
          <w:tcPr>
            <w:tcW w:w="4520" w:type="dxa"/>
            <w:tcBorders/>
            <w:shd w:fill="FFFFFF" w:val="clear"/>
            <w:vAlign w:val="bottom"/>
          </w:tcPr>
          <w:p>
            <w:pPr>
              <w:pStyle w:val="TableContents"/>
              <w:spacing w:before="0" w:after="0"/>
              <w:ind w:left="144" w:right="0" w:hanging="144"/>
              <w:rPr/>
            </w:pPr>
            <w:r>
              <w:rPr/>
              <w:t>Share based compensation (issuance of 81,919 shares of common stock)</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848</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108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127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848</w:t>
            </w:r>
          </w:p>
        </w:tc>
        <w:tc>
          <w:tcPr>
            <w:tcW w:w="110" w:type="dxa"/>
            <w:tcBorders/>
            <w:shd w:fill="FFFFFF" w:val="clear"/>
            <w:vAlign w:val="bottom"/>
          </w:tcPr>
          <w:p>
            <w:pPr>
              <w:pStyle w:val="TableContents"/>
              <w:spacing w:before="0" w:after="283"/>
              <w:rPr/>
            </w:pPr>
            <w:r>
              <w:rPr/>
              <w:t> </w:t>
            </w:r>
          </w:p>
        </w:tc>
      </w:tr>
      <w:tr>
        <w:trPr/>
        <w:tc>
          <w:tcPr>
            <w:tcW w:w="4520" w:type="dxa"/>
            <w:tcBorders/>
            <w:shd w:fill="CCEEFF" w:val="clear"/>
            <w:vAlign w:val="bottom"/>
          </w:tcPr>
          <w:p>
            <w:pPr>
              <w:pStyle w:val="TableContents"/>
              <w:spacing w:before="0" w:after="0"/>
              <w:ind w:left="144" w:right="0" w:hanging="144"/>
              <w:rPr/>
            </w:pPr>
            <w:r>
              <w:rPr/>
              <w:t>Share based compensation withholding obligation (withholding of 87,385 shares of common stock)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(1,321</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27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(1,321</w:t>
            </w:r>
          </w:p>
        </w:tc>
        <w:tc>
          <w:tcPr>
            <w:tcW w:w="110" w:type="dxa"/>
            <w:tcBorders/>
            <w:shd w:fill="CCEEFF" w:val="clear"/>
            <w:vAlign w:val="bottom"/>
          </w:tcPr>
          <w:p>
            <w:pPr>
              <w:pStyle w:val="TableContents"/>
              <w:spacing w:before="0" w:after="0"/>
              <w:rPr/>
            </w:pPr>
            <w:r>
              <w:rPr/>
              <w:t>)</w:t>
            </w:r>
          </w:p>
        </w:tc>
      </w:tr>
      <w:tr>
        <w:trPr/>
        <w:tc>
          <w:tcPr>
            <w:tcW w:w="4520" w:type="dxa"/>
            <w:tcBorders/>
            <w:shd w:fill="FFFFFF" w:val="clear"/>
            <w:vAlign w:val="bottom"/>
          </w:tcPr>
          <w:p>
            <w:pPr>
              <w:pStyle w:val="TableContents"/>
              <w:spacing w:before="0" w:after="0"/>
              <w:ind w:left="144" w:right="0" w:hanging="144"/>
              <w:rPr/>
            </w:pPr>
            <w:r>
              <w:rPr/>
              <w:t>Other comprehensive loss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0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8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5"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70" w:type="dxa"/>
            <w:tcBorders>
              <w:bottom w:val="single" w:sz="12" w:space="0" w:color="000000"/>
            </w:tcBorders>
            <w:shd w:fill="FFFFFF" w:val="clear"/>
            <w:tcMar>
              <w:bottom w:w="28" w:type="dxa"/>
            </w:tcMar>
            <w:vAlign w:val="bottom"/>
          </w:tcPr>
          <w:p>
            <w:pPr>
              <w:pStyle w:val="TableContents"/>
              <w:spacing w:before="0" w:after="0"/>
              <w:jc w:val="right"/>
              <w:rPr/>
            </w:pPr>
            <w:r>
              <w:rPr/>
              <w:t>(3,215</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9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28" w:type="dxa"/>
            <w:tcBorders>
              <w:bottom w:val="single" w:sz="12" w:space="0" w:color="000000"/>
            </w:tcBorders>
            <w:shd w:fill="FFFFFF" w:val="clear"/>
            <w:tcMar>
              <w:bottom w:w="28" w:type="dxa"/>
            </w:tcMar>
            <w:vAlign w:val="bottom"/>
          </w:tcPr>
          <w:p>
            <w:pPr>
              <w:pStyle w:val="TableContents"/>
              <w:spacing w:before="0" w:after="0"/>
              <w:jc w:val="right"/>
              <w:rPr/>
            </w:pPr>
            <w:r>
              <w:rPr/>
              <w:t>(3,215</w:t>
            </w:r>
          </w:p>
        </w:tc>
        <w:tc>
          <w:tcPr>
            <w:tcW w:w="110" w:type="dxa"/>
            <w:tcBorders/>
            <w:shd w:fill="FFFFFF" w:val="clear"/>
            <w:vAlign w:val="bottom"/>
          </w:tcPr>
          <w:p>
            <w:pPr>
              <w:pStyle w:val="TableContents"/>
              <w:spacing w:before="0" w:after="0"/>
              <w:rPr/>
            </w:pPr>
            <w:r>
              <w:rPr/>
              <w:t>)</w:t>
            </w:r>
          </w:p>
        </w:tc>
      </w:tr>
      <w:tr>
        <w:trPr/>
        <w:tc>
          <w:tcPr>
            <w:tcW w:w="4520" w:type="dxa"/>
            <w:tcBorders/>
            <w:shd w:fill="CCEEFF" w:val="clear"/>
            <w:vAlign w:val="bottom"/>
          </w:tcPr>
          <w:p>
            <w:pPr>
              <w:pStyle w:val="TableContents"/>
              <w:spacing w:before="0" w:after="0"/>
              <w:ind w:left="144" w:right="0" w:hanging="144"/>
              <w:rPr/>
            </w:pPr>
            <w:r>
              <w:rPr/>
              <w:t>Balances at June 30, 2018</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pPr>
            <w:r>
              <w:rPr/>
              <w:t>389,196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bottom w:val="double" w:sz="8" w:space="0" w:color="000000"/>
            </w:tcBorders>
            <w:shd w:fill="CCEEFF" w:val="clear"/>
            <w:tcMar>
              <w:bottom w:w="28" w:type="dxa"/>
            </w:tcMar>
            <w:vAlign w:val="bottom"/>
          </w:tcPr>
          <w:p>
            <w:pPr>
              <w:pStyle w:val="TableContents"/>
              <w:spacing w:before="0" w:after="0"/>
              <w:rPr/>
            </w:pPr>
            <w:r>
              <w:rPr/>
              <w:t>$</w:t>
            </w:r>
          </w:p>
        </w:tc>
        <w:tc>
          <w:tcPr>
            <w:tcW w:w="1080" w:type="dxa"/>
            <w:tcBorders>
              <w:bottom w:val="double" w:sz="8" w:space="0" w:color="000000"/>
            </w:tcBorders>
            <w:shd w:fill="CCEEFF" w:val="clear"/>
            <w:tcMar>
              <w:bottom w:w="28" w:type="dxa"/>
            </w:tcMar>
            <w:vAlign w:val="bottom"/>
          </w:tcPr>
          <w:p>
            <w:pPr>
              <w:pStyle w:val="TableContents"/>
              <w:spacing w:before="0" w:after="0"/>
              <w:jc w:val="right"/>
              <w:rPr/>
            </w:pPr>
            <w:r>
              <w:rPr/>
              <w:t>(42,899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rPr/>
            </w:pPr>
            <w:r>
              <w:rPr/>
              <w:t>$</w:t>
            </w:r>
          </w:p>
        </w:tc>
        <w:tc>
          <w:tcPr>
            <w:tcW w:w="1270" w:type="dxa"/>
            <w:tcBorders>
              <w:bottom w:val="double" w:sz="8" w:space="0" w:color="000000"/>
            </w:tcBorders>
            <w:shd w:fill="CCEEFF" w:val="clear"/>
            <w:tcMar>
              <w:bottom w:w="28" w:type="dxa"/>
            </w:tcMar>
            <w:vAlign w:val="bottom"/>
          </w:tcPr>
          <w:p>
            <w:pPr>
              <w:pStyle w:val="TableContents"/>
              <w:spacing w:before="0" w:after="0"/>
              <w:jc w:val="right"/>
              <w:rPr/>
            </w:pPr>
            <w:r>
              <w:rPr/>
              <w:t>(9,214</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0"/>
              <w:rPr/>
            </w:pPr>
            <w:r>
              <w:rPr/>
              <w:t>$</w:t>
            </w:r>
          </w:p>
        </w:tc>
        <w:tc>
          <w:tcPr>
            <w:tcW w:w="1128" w:type="dxa"/>
            <w:tcBorders>
              <w:bottom w:val="double" w:sz="8" w:space="0" w:color="000000"/>
            </w:tcBorders>
            <w:shd w:fill="CCEEFF" w:val="clear"/>
            <w:tcMar>
              <w:bottom w:w="28" w:type="dxa"/>
            </w:tcMar>
            <w:vAlign w:val="bottom"/>
          </w:tcPr>
          <w:p>
            <w:pPr>
              <w:pStyle w:val="TableContents"/>
              <w:spacing w:before="0" w:after="0"/>
              <w:jc w:val="right"/>
              <w:rPr/>
            </w:pPr>
            <w:r>
              <w:rPr/>
              <w:t>337,083</w:t>
            </w:r>
          </w:p>
        </w:tc>
        <w:tc>
          <w:tcPr>
            <w:tcW w:w="110" w:type="dxa"/>
            <w:tcBorders/>
            <w:shd w:fill="CCEEFF" w:val="clear"/>
            <w:vAlign w:val="bottom"/>
          </w:tcPr>
          <w:p>
            <w:pPr>
              <w:pStyle w:val="TableContents"/>
              <w:spacing w:before="0" w:after="283"/>
              <w:rPr/>
            </w:pPr>
            <w:r>
              <w:rPr/>
              <w:t> </w:t>
            </w:r>
          </w:p>
        </w:tc>
      </w:tr>
    </w:tbl>
    <w:p>
      <w:pPr>
        <w:pStyle w:val="TextBody"/>
        <w:spacing w:before="0" w:after="0"/>
        <w:rPr/>
      </w:pPr>
      <w:r>
        <w:rPr/>
      </w:r>
    </w:p>
    <w:p>
      <w:pPr>
        <w:pStyle w:val="TextBody"/>
        <w:spacing w:before="0" w:after="0"/>
        <w:rPr/>
      </w:pPr>
      <w:r>
        <w:rPr/>
        <w:t>See notes to interim condensed consolidated 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8" w:name="DSPFPageBreakArea6"/>
      <w:bookmarkStart w:id="89" w:name="DSPFPageBreakArea6"/>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90" w:name="DSPFPageNumber6"/>
      <w:bookmarkStart w:id="91" w:name="DSPFPageNumberArea5"/>
      <w:bookmarkEnd w:id="90"/>
      <w:bookmarkEnd w:id="91"/>
      <w:r>
        <w:rPr>
          <w:b w:val="false"/>
          <w:i w:val="false"/>
          <w:caps w:val="false"/>
          <w:smallCaps w:val="false"/>
          <w:sz w:val="13"/>
        </w:rPr>
        <w:t>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2" w:name="DSPFPageBreak6"/>
      <w:bookmarkStart w:id="93" w:name="DSPFPageBreak6"/>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94" w:name="DSPFPageHeader5"/>
        <w:bookmarkEnd w:id="9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bookmarkStart w:id="95" w:name="NOTESTOINTERIMCONDENSEDCO"/>
      <w:bookmarkEnd w:id="95"/>
      <w:r>
        <w:rPr>
          <w:u w:val="single"/>
        </w:rPr>
        <w:t>NOTES TO INTERIM CONDENSED CONSOLIDATED FINANCIAL STATEMENTS</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 xml:space="preserve">1.   </w:t>
      </w:r>
      <w:r>
        <w:rPr>
          <w:u w:val="single"/>
        </w:rPr>
        <w:t>Preparation of Financial Statements</w:t>
      </w:r>
    </w:p>
    <w:p>
      <w:pPr>
        <w:pStyle w:val="TextBody"/>
        <w:spacing w:before="0" w:after="0"/>
        <w:rPr/>
      </w:pPr>
      <w:r>
        <w:rPr/>
      </w:r>
    </w:p>
    <w:p>
      <w:pPr>
        <w:pStyle w:val="TextBody"/>
        <w:spacing w:before="0" w:after="0"/>
        <w:jc w:val="both"/>
        <w:rPr/>
      </w:pPr>
      <w:r>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2018 included in our Annual Report on Form 10-K.</w:t>
      </w:r>
    </w:p>
    <w:p>
      <w:pPr>
        <w:pStyle w:val="TextBody"/>
        <w:spacing w:before="0" w:after="0"/>
        <w:rPr/>
      </w:pPr>
      <w:r>
        <w:rPr/>
      </w:r>
    </w:p>
    <w:p>
      <w:pPr>
        <w:pStyle w:val="TextBody"/>
        <w:spacing w:before="0" w:after="0"/>
        <w:jc w:val="both"/>
        <w:rPr/>
      </w:pPr>
      <w:r>
        <w:rPr/>
        <w:t>In our opinion, the accompanying unaudited condensed consolidated financial statements contain all the adjustments necessary to present fairly our consolidated financial condition as of June 30, 2019 and December 31, 2018, and the results of operations for the three and six-month periods ended June 30, 2019 and 2018.  The results of operations for the three and six-month periods ended June 30, 2019,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and the valuation of capitalized mortgage loan servicing rights.  Refer to our 2018 Annual Report on Form 10-K for a disclosure of our accounting policies.</w:t>
      </w:r>
    </w:p>
    <w:p>
      <w:pPr>
        <w:pStyle w:val="TextBody"/>
        <w:spacing w:before="0" w:after="0"/>
        <w:rPr/>
      </w:pPr>
      <w:r>
        <w:rPr/>
      </w:r>
    </w:p>
    <w:p>
      <w:pPr>
        <w:pStyle w:val="TextBody"/>
        <w:spacing w:before="0" w:after="0"/>
        <w:jc w:val="both"/>
        <w:rPr/>
      </w:pPr>
      <w:r>
        <w:rPr/>
        <w:t xml:space="preserve">2.  </w:t>
      </w:r>
      <w:r>
        <w:rPr>
          <w:u w:val="single"/>
        </w:rPr>
        <w:t>New Accounting Standards</w:t>
      </w:r>
    </w:p>
    <w:p>
      <w:pPr>
        <w:pStyle w:val="TextBody"/>
        <w:spacing w:before="0" w:after="0"/>
        <w:rPr/>
      </w:pPr>
      <w:r>
        <w:rPr/>
      </w:r>
    </w:p>
    <w:p>
      <w:pPr>
        <w:pStyle w:val="TextBody"/>
        <w:spacing w:before="0" w:after="0"/>
        <w:jc w:val="both"/>
        <w:rPr/>
      </w:pPr>
      <w:r>
        <w:rPr/>
        <w:t>In June 2016, the Financial Accounting Standards Board (“FASB”) issued Accounting Standards Update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w:t>
      </w:r>
    </w:p>
    <w:p>
      <w:pPr>
        <w:pStyle w:val="TextBody"/>
        <w:spacing w:before="0" w:after="0"/>
        <w:rPr/>
      </w:pPr>
      <w:r>
        <w:rPr/>
      </w:r>
    </w:p>
    <w:p>
      <w:pPr>
        <w:pStyle w:val="Normal"/>
        <w:spacing w:before="0" w:after="0"/>
        <w:rPr>
          <w:sz w:val="4"/>
          <w:szCs w:val="4"/>
        </w:rPr>
      </w:pPr>
      <w:r>
        <w:rPr>
          <w:sz w:val="4"/>
          <w:szCs w:val="4"/>
        </w:rPr>
      </w:r>
      <w:bookmarkStart w:id="96" w:name="zabf8c9979e824bbb829c30e6401343ec"/>
      <w:bookmarkStart w:id="97" w:name="zabf8c9979e824bbb829c30e6401343ec"/>
      <w:bookmarkEnd w:id="97"/>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pPr>
            <w:r>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tc>
      </w:tr>
    </w:tbl>
    <w:p>
      <w:pPr>
        <w:pStyle w:val="Normal"/>
        <w:spacing w:before="0" w:after="0"/>
        <w:rPr>
          <w:sz w:val="4"/>
          <w:szCs w:val="4"/>
        </w:rPr>
      </w:pPr>
      <w:r>
        <w:rPr>
          <w:sz w:val="4"/>
          <w:szCs w:val="4"/>
        </w:rPr>
      </w:r>
      <w:bookmarkStart w:id="98" w:name="z86e352aaad2b4cc5a99e6cf7a80e8803"/>
      <w:bookmarkStart w:id="99" w:name="z86e352aaad2b4cc5a99e6cf7a80e8803"/>
      <w:bookmarkEnd w:id="99"/>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pPr>
            <w:r>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tc>
      </w:tr>
    </w:tbl>
    <w:p>
      <w:pPr>
        <w:pStyle w:val="Normal"/>
        <w:spacing w:before="0" w:after="0"/>
        <w:rPr>
          <w:sz w:val="4"/>
          <w:szCs w:val="4"/>
        </w:rPr>
      </w:pPr>
      <w:r>
        <w:rPr>
          <w:sz w:val="4"/>
          <w:szCs w:val="4"/>
        </w:rPr>
      </w:r>
      <w:bookmarkStart w:id="100" w:name="z9143cc103c8c404d8de53a852ddcbc30"/>
      <w:bookmarkStart w:id="101" w:name="z9143cc103c8c404d8de53a852ddcbc30"/>
      <w:bookmarkEnd w:id="101"/>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pPr>
            <w:r>
              <w:rPr/>
              <w:t>Requires inclusion of expected recoveries, limited to the cumulative amount of prior write-offs, when estimating the allowance for credit losses for in scope financial assets (including collateral dependent assets).</w:t>
            </w:r>
          </w:p>
        </w:tc>
      </w:tr>
    </w:tbl>
    <w:p>
      <w:pPr>
        <w:pStyle w:val="Normal"/>
        <w:spacing w:before="0" w:after="0"/>
        <w:rPr>
          <w:sz w:val="4"/>
          <w:szCs w:val="4"/>
        </w:rPr>
      </w:pPr>
      <w:r>
        <w:rPr>
          <w:sz w:val="4"/>
          <w:szCs w:val="4"/>
        </w:rPr>
      </w:r>
      <w:bookmarkStart w:id="102" w:name="ze4f75ff20cd846f2827e8daaa34f5ef7"/>
      <w:bookmarkStart w:id="103" w:name="ze4f75ff20cd846f2827e8daaa34f5ef7"/>
      <w:bookmarkEnd w:id="103"/>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pPr>
            <w:r>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tc>
      </w:tr>
    </w:tbl>
    <w:p>
      <w:pPr>
        <w:pStyle w:val="Normal"/>
        <w:spacing w:before="0" w:after="0"/>
        <w:rPr>
          <w:sz w:val="4"/>
          <w:szCs w:val="4"/>
        </w:rPr>
      </w:pPr>
      <w:r>
        <w:rPr>
          <w:sz w:val="4"/>
          <w:szCs w:val="4"/>
        </w:rPr>
      </w:r>
      <w:bookmarkStart w:id="104" w:name="z78579259e5f74fc1b110758361b74a4a"/>
      <w:bookmarkStart w:id="105" w:name="z78579259e5f74fc1b110758361b74a4a"/>
      <w:bookmarkEnd w:id="105"/>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jc w:val="both"/>
              <w:rPr/>
            </w:pPr>
            <w:r>
              <w:rPr/>
              <w:t>Generally requires a cumulative-effect adjustment to retained earnings as of the beginning of the reporting period of adoption.</w:t>
            </w:r>
          </w:p>
        </w:tc>
      </w:tr>
    </w:tbl>
    <w:p>
      <w:pPr>
        <w:pStyle w:val="Normal"/>
        <w:spacing w:before="0" w:after="0"/>
        <w:rPr>
          <w:sz w:val="4"/>
          <w:szCs w:val="4"/>
        </w:rPr>
      </w:pPr>
      <w:r>
        <w:rPr>
          <w:sz w:val="4"/>
          <w:szCs w:val="4"/>
        </w:rPr>
      </w:r>
      <w:bookmarkStart w:id="106" w:name="z3fb46f74ea2c4fb988f1a60c94eccc84"/>
      <w:bookmarkStart w:id="107" w:name="z3fb46f74ea2c4fb988f1a60c94eccc84"/>
      <w:bookmarkEnd w:id="107"/>
    </w:p>
    <w:tbl>
      <w:tblPr>
        <w:tblW w:w="3730" w:type="dxa"/>
        <w:jc w:val="left"/>
        <w:tblInd w:w="0" w:type="dxa"/>
        <w:tblCellMar>
          <w:top w:w="0" w:type="dxa"/>
          <w:left w:w="0" w:type="dxa"/>
          <w:bottom w:w="0" w:type="dxa"/>
          <w:right w:w="0" w:type="dxa"/>
        </w:tblCellMar>
      </w:tblPr>
      <w:tblGrid>
        <w:gridCol w:w="125"/>
        <w:gridCol w:w="3605"/>
      </w:tblGrid>
      <w:tr>
        <w:trPr/>
        <w:tc>
          <w:tcPr>
            <w:tcW w:w="125" w:type="dxa"/>
            <w:tcBorders/>
            <w:shd w:fill="auto" w:val="clear"/>
            <w:vAlign w:val="center"/>
          </w:tcPr>
          <w:p>
            <w:pPr>
              <w:pStyle w:val="TableContents"/>
              <w:spacing w:before="0" w:after="283"/>
              <w:rPr/>
            </w:pPr>
            <w:r>
              <w:rPr/>
              <w:t>•</w:t>
            </w:r>
          </w:p>
        </w:tc>
        <w:tc>
          <w:tcPr>
            <w:tcW w:w="3605" w:type="dxa"/>
            <w:tcBorders/>
            <w:shd w:fill="auto" w:val="clear"/>
            <w:vAlign w:val="center"/>
          </w:tcPr>
          <w:p>
            <w:pPr>
              <w:pStyle w:val="TableContents"/>
              <w:spacing w:before="0" w:after="0"/>
              <w:jc w:val="both"/>
              <w:rPr/>
            </w:pPr>
            <w:r>
              <w:rPr/>
              <w:t>Is effective for us on January 1, 2020.</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8" w:name="DSPFPageBreakArea7"/>
      <w:bookmarkStart w:id="109" w:name="DSPFPageBreakArea7"/>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10" w:name="DSPFPageNumber7"/>
      <w:bookmarkStart w:id="111" w:name="DSPFPageNumberArea6"/>
      <w:bookmarkEnd w:id="110"/>
      <w:bookmarkEnd w:id="111"/>
      <w:r>
        <w:rPr>
          <w:b w:val="false"/>
          <w:i w:val="false"/>
          <w:caps w:val="false"/>
          <w:smallCaps w:val="false"/>
          <w:sz w:val="13"/>
        </w:rPr>
        <w:t>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2" w:name="DSPFPageBreak7"/>
      <w:bookmarkStart w:id="113" w:name="DSPFPageBreak7"/>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114" w:name="DSPFPageHeader6"/>
        <w:bookmarkEnd w:id="11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We began evaluating this ASU in 2016 and established a company-wide, cross-discipline governance structure, which provides implementation oversight. We continue to test and refine our current expected credit loss models that satisfy the requirements of this ASU. Oversight and testing, as well as efforts to meet expanded disclosure requirements, will extend through the remainder of 2019.  We expect that the allowance related to our loans will increase as it will cover credit losses over the full remaining expected life of the portfolio. We currently intend to estimate losses over approximately a two year forecast period using the Federal Open Market Committee median economic projections (which are typically published in March of each year) as well as considering other economic forecast sources, and then revert to longer term historical loss experience to estimate losses over more extended periods. We currently expect the increase in the allowance for loan losses to be in the range of $9.5 million to $11.5 million, primarily driven by the longer contractual maturities of our mortgage and consumer installment loan segments.  This estimated range is based on our June 30, 2019 loan portfolio and currently available economic forecasts. The mid-point of the range utilizes a two year forecast period and a two year reversion period. This estimated range also includes a qualitative adjustment to the allowance for loan losses. In addition, we currently expect this ASU to increase the allowance for losses related to unfunded loan commitments between $0.5 million and $1.5 million. These estimates are subject to further refinement based on continuing reviews, testing, enhancements and approvals of models, methodologies and judgments. The ultimate impact will depend upon the nature and characteristics of our loan portfolio at the adoption date, the macroeconomic conditions and forecasts at that date, further regulatory or accounting guidance and other management judgments. We currently do not expect to record any allowance for loss on available for sale securities. The ultimate impact will depend upon the nature and characteristics of our securities available for sale (including issuer specific matters) at the adoption date, the macroeconomic conditions and forecasts at that date, and other management judgments.</w:t>
      </w:r>
    </w:p>
    <w:p>
      <w:pPr>
        <w:pStyle w:val="TextBody"/>
        <w:spacing w:before="0" w:after="0"/>
        <w:rPr/>
      </w:pPr>
      <w:r>
        <w:rPr/>
      </w:r>
    </w:p>
    <w:p>
      <w:pPr>
        <w:pStyle w:val="TextBody"/>
        <w:spacing w:before="0" w:after="0"/>
        <w:jc w:val="both"/>
        <w:rPr/>
      </w:pPr>
      <w:r>
        <w:rPr/>
        <w:t>In August 2018, the FASB issued ASU 2018-13, ‘‘Fair Value Measurement (Topic 820), Disclosure Framework – Changes to the Disclosure Requirements for Fair Value Measurement’’. This new ASU amends disclosure requirements in Topic 820 to eliminate, add and modify certain disclosure requirements for fair value measurements as part of its disclosure framework project. The amended guidance eliminates the requirements to disclose the amount of and reasons for transfers between Level 1 and Level 2 of the fair value hierarchy, the entity’s policy for the timing of transfers between levels of the fair value hierarchy and the entity’s valuation processes for Level 3 fair value measurements. The amended guidance adds the requirements to disclose the changes in unrealized gains and losses for the period included in other comprehensive income (loss) for recurring Level 3 fair value measurements of instruments held at the end of the reporting period and for recurring and nonrecurring Level 3 fair value measurements, the range and weighted average used to develop significant unobservable inputs and how the weighted average was calculated, with certain exceptions. This amended guidance is effective for us on January 1, 2020, and is not expected to have a material impact on our consolidated operating results or financial condition.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5" w:name="DSPFPageBreakArea8"/>
      <w:bookmarkStart w:id="116" w:name="DSPFPageBreakArea8"/>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17" w:name="DSPFPageNumber8"/>
      <w:bookmarkStart w:id="118" w:name="DSPFPageNumberArea7"/>
      <w:bookmarkEnd w:id="117"/>
      <w:bookmarkEnd w:id="118"/>
      <w:r>
        <w:rPr>
          <w:b w:val="false"/>
          <w:i w:val="false"/>
          <w:caps w:val="false"/>
          <w:smallCaps w:val="false"/>
          <w:sz w:val="13"/>
        </w:rPr>
        <w:t>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9" w:name="DSPFPageBreak8"/>
      <w:bookmarkStart w:id="120" w:name="DSPFPageBreak8"/>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121" w:name="DSPFPageHeader7"/>
        <w:bookmarkEnd w:id="121"/>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 xml:space="preserve">In February 2016, the FASB issued ASU 2016-02, “Leases (Topic 842)”.  This ASU amends existing guidance related to the accounting for leases. These amendments, among other things, require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was effective for us on January 1, 2019 and did not have a material impact on our consolidated operating results or financial condition.  Based on our operating leases that we currently have in place we do not expect a material change in the recognition, measurement and presentation of lease expense or impact on cash flow.  The primary impact was the recognition of certain operating leases on our Condensed Consolidated Statements of Financial Condition which resulted in the recording of right of use (“ROU”) assets and offsetting lease liabilities each totaling approximately $7.7 million at January 1, 2019.  See note #16. </w:t>
      </w:r>
    </w:p>
    <w:p>
      <w:pPr>
        <w:pStyle w:val="TextBody"/>
        <w:spacing w:before="0" w:after="0"/>
        <w:rPr/>
      </w:pPr>
      <w:r>
        <w:rPr/>
      </w:r>
    </w:p>
    <w:p>
      <w:pPr>
        <w:pStyle w:val="TextBody"/>
        <w:spacing w:before="0" w:after="0"/>
        <w:jc w:val="both"/>
        <w:rPr/>
      </w:pPr>
      <w:r>
        <w:rPr/>
        <w:t>In August 2017, the FASB issued ASU 2017-12, “Derivatives and Hedging (Topic 815), Targeted Improvements to Accounting for Hedging Activities”.  This new ASU amends the hedge accounting model in Topic 815 to enable entities to better portray the economics of their risk management activities in the financial statements and enhance the transparency and understandability of hedge results. The amendments expand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This amended guidance was effective for us on January 1, 2019, and did not have a material impact on our consolidated operating results or financial condition.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2" w:name="DSPFPageBreakArea9"/>
      <w:bookmarkStart w:id="123" w:name="DSPFPageBreakArea9"/>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24" w:name="DSPFPageNumber9"/>
      <w:bookmarkStart w:id="125" w:name="DSPFPageNumberArea8"/>
      <w:bookmarkEnd w:id="124"/>
      <w:bookmarkEnd w:id="125"/>
      <w:r>
        <w:rPr>
          <w:b w:val="false"/>
          <w:i w:val="false"/>
          <w:caps w:val="false"/>
          <w:smallCaps w:val="false"/>
          <w:sz w:val="13"/>
        </w:rPr>
        <w:t>10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6" w:name="DSPFPageBreak9"/>
      <w:bookmarkStart w:id="127" w:name="DSPFPageBreak9"/>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128" w:name="DSPFPageHeader8"/>
        <w:bookmarkEnd w:id="128"/>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 xml:space="preserve">3.  </w:t>
      </w:r>
      <w:r>
        <w:rPr>
          <w:u w:val="single"/>
        </w:rPr>
        <w:t>Securities</w:t>
      </w:r>
    </w:p>
    <w:p>
      <w:pPr>
        <w:pStyle w:val="TextBody"/>
        <w:spacing w:before="0" w:after="0"/>
        <w:rPr/>
      </w:pPr>
      <w:r>
        <w:rPr/>
      </w:r>
    </w:p>
    <w:p>
      <w:pPr>
        <w:pStyle w:val="TextBody"/>
        <w:spacing w:before="0" w:after="0"/>
        <w:jc w:val="both"/>
        <w:rPr/>
      </w:pPr>
      <w:r>
        <w:rPr/>
        <w:t>Securities available for sale consist of the following:</w:t>
      </w:r>
    </w:p>
    <w:p>
      <w:pPr>
        <w:pStyle w:val="TextBody"/>
        <w:spacing w:before="0" w:after="0"/>
        <w:rPr/>
      </w:pPr>
      <w:r>
        <w:rPr/>
      </w:r>
    </w:p>
    <w:p>
      <w:pPr>
        <w:pStyle w:val="Normal"/>
        <w:spacing w:before="0" w:after="0"/>
        <w:rPr>
          <w:sz w:val="4"/>
          <w:szCs w:val="4"/>
        </w:rPr>
      </w:pPr>
      <w:r>
        <w:rPr>
          <w:sz w:val="4"/>
          <w:szCs w:val="4"/>
        </w:rPr>
      </w:r>
      <w:bookmarkStart w:id="129" w:name="zdbf9e122088643d5b41a184a74a6caee"/>
      <w:bookmarkStart w:id="130" w:name="zdbf9e122088643d5b41a184a74a6caee"/>
      <w:bookmarkEnd w:id="130"/>
    </w:p>
    <w:tbl>
      <w:tblPr>
        <w:tblW w:w="8705" w:type="dxa"/>
        <w:jc w:val="left"/>
        <w:tblInd w:w="0" w:type="dxa"/>
        <w:tblCellMar>
          <w:top w:w="0" w:type="dxa"/>
          <w:left w:w="0" w:type="dxa"/>
          <w:bottom w:w="0" w:type="dxa"/>
          <w:right w:w="0" w:type="dxa"/>
        </w:tblCellMar>
      </w:tblPr>
      <w:tblGrid>
        <w:gridCol w:w="4400"/>
        <w:gridCol w:w="120"/>
        <w:gridCol w:w="152"/>
        <w:gridCol w:w="873"/>
        <w:gridCol w:w="120"/>
        <w:gridCol w:w="120"/>
        <w:gridCol w:w="140"/>
        <w:gridCol w:w="560"/>
        <w:gridCol w:w="60"/>
        <w:gridCol w:w="60"/>
        <w:gridCol w:w="140"/>
        <w:gridCol w:w="560"/>
        <w:gridCol w:w="120"/>
        <w:gridCol w:w="120"/>
        <w:gridCol w:w="152"/>
        <w:gridCol w:w="873"/>
        <w:gridCol w:w="135"/>
      </w:tblGrid>
      <w:tr>
        <w:trPr/>
        <w:tc>
          <w:tcPr>
            <w:tcW w:w="4400" w:type="dxa"/>
            <w:vMerge w:val="restart"/>
            <w:tcBorders/>
            <w:shd w:fill="auto" w:val="clear"/>
            <w:vAlign w:val="bottom"/>
          </w:tcPr>
          <w:p>
            <w:pPr>
              <w:pStyle w:val="TableContents"/>
              <w:spacing w:before="0" w:after="283"/>
              <w:rPr/>
            </w:pPr>
            <w:r>
              <w:rPr/>
            </w:r>
          </w:p>
        </w:tc>
        <w:tc>
          <w:tcPr>
            <w:tcW w:w="120" w:type="dxa"/>
            <w:vMerge w:val="restart"/>
            <w:tcBorders/>
            <w:shd w:fill="auto" w:val="clear"/>
            <w:vAlign w:val="bottom"/>
          </w:tcPr>
          <w:p>
            <w:pPr>
              <w:pStyle w:val="TableContents"/>
              <w:spacing w:before="0" w:after="283"/>
              <w:rPr/>
            </w:pPr>
            <w:r>
              <w:rPr/>
              <w:t>  </w:t>
            </w:r>
          </w:p>
        </w:tc>
        <w:tc>
          <w:tcPr>
            <w:tcW w:w="1025"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pPr>
            <w:r>
              <w:rPr/>
              <w:t>Amortized</w:t>
            </w:r>
          </w:p>
          <w:p>
            <w:pPr>
              <w:pStyle w:val="TableContents"/>
              <w:spacing w:before="0" w:after="0"/>
              <w:jc w:val="center"/>
              <w:rPr/>
            </w:pPr>
            <w:r>
              <w:rPr/>
              <w:t>Cost</w:t>
            </w:r>
          </w:p>
        </w:tc>
        <w:tc>
          <w:tcPr>
            <w:tcW w:w="120" w:type="dxa"/>
            <w:vMerge w:val="restart"/>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1520" w:type="dxa"/>
            <w:gridSpan w:val="6"/>
            <w:tcBorders>
              <w:bottom w:val="single" w:sz="12" w:space="0" w:color="000000"/>
            </w:tcBorders>
            <w:shd w:fill="auto" w:val="clear"/>
            <w:tcMar>
              <w:bottom w:w="28" w:type="dxa"/>
            </w:tcMar>
            <w:vAlign w:val="bottom"/>
          </w:tcPr>
          <w:p>
            <w:pPr>
              <w:pStyle w:val="TableContents"/>
              <w:spacing w:before="0" w:after="0"/>
              <w:jc w:val="center"/>
              <w:rPr/>
            </w:pPr>
            <w:r>
              <w:rPr/>
              <w:t>Unrealized</w:t>
            </w:r>
          </w:p>
        </w:tc>
        <w:tc>
          <w:tcPr>
            <w:tcW w:w="120" w:type="dxa"/>
            <w:vMerge w:val="restart"/>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1025"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pPr>
            <w:r>
              <w:rPr/>
              <w:t>Fair Value</w:t>
            </w:r>
          </w:p>
        </w:tc>
        <w:tc>
          <w:tcPr>
            <w:tcW w:w="135" w:type="dxa"/>
            <w:vMerge w:val="restart"/>
            <w:tcBorders/>
            <w:shd w:fill="auto" w:val="clear"/>
            <w:vAlign w:val="bottom"/>
          </w:tcPr>
          <w:p>
            <w:pPr>
              <w:pStyle w:val="TableContents"/>
              <w:spacing w:before="0" w:after="283"/>
              <w:rPr/>
            </w:pPr>
            <w:r>
              <w:rPr/>
              <w:t>  </w:t>
            </w:r>
          </w:p>
        </w:tc>
      </w:tr>
      <w:tr>
        <w:trPr/>
        <w:tc>
          <w:tcPr>
            <w:tcW w:w="440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1025" w:type="dxa"/>
            <w:gridSpan w:val="2"/>
            <w:vMerge w:val="continue"/>
            <w:tcBorders>
              <w:bottom w:val="single" w:sz="1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pPr>
            <w:r>
              <w:rPr/>
              <w:t>Gains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pPr>
            <w:r>
              <w:rPr/>
              <w:t>Losses</w:t>
            </w:r>
          </w:p>
        </w:tc>
        <w:tc>
          <w:tcPr>
            <w:tcW w:w="12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1025" w:type="dxa"/>
            <w:gridSpan w:val="2"/>
            <w:vMerge w:val="continue"/>
            <w:tcBorders>
              <w:bottom w:val="single" w:sz="12" w:space="0" w:color="000000"/>
            </w:tcBorders>
            <w:shd w:fill="auto" w:val="clear"/>
            <w:tcMar>
              <w:bottom w:w="28" w:type="dxa"/>
            </w:tcMar>
            <w:vAlign w:val="bottom"/>
          </w:tcPr>
          <w:p>
            <w:pPr>
              <w:pStyle w:val="Normal"/>
              <w:rPr/>
            </w:pPr>
            <w:r>
              <w:rPr/>
            </w:r>
          </w:p>
        </w:tc>
        <w:tc>
          <w:tcPr>
            <w:tcW w:w="135" w:type="dxa"/>
            <w:vMerge w:val="continue"/>
            <w:tcBorders/>
            <w:shd w:fill="auto" w:val="clear"/>
            <w:vAlign w:val="bottom"/>
          </w:tcPr>
          <w:p>
            <w:pPr>
              <w:pStyle w:val="Normal"/>
              <w:rPr/>
            </w:pPr>
            <w:r>
              <w:rPr/>
            </w:r>
          </w:p>
        </w:tc>
      </w:tr>
      <w:tr>
        <w:trPr/>
        <w:tc>
          <w:tcPr>
            <w:tcW w:w="4400" w:type="dxa"/>
            <w:tcBorders/>
            <w:shd w:fill="auto" w:val="clear"/>
            <w:vAlign w:val="bottom"/>
          </w:tcPr>
          <w:p>
            <w:pPr>
              <w:pStyle w:val="TableContents"/>
              <w:spacing w:before="0" w:after="283"/>
              <w:rPr/>
            </w:pPr>
            <w:r>
              <w:rPr/>
            </w:r>
          </w:p>
        </w:tc>
        <w:tc>
          <w:tcPr>
            <w:tcW w:w="120" w:type="dxa"/>
            <w:tcBorders/>
            <w:shd w:fill="auto" w:val="clear"/>
            <w:vAlign w:val="bottom"/>
          </w:tcPr>
          <w:p>
            <w:pPr>
              <w:pStyle w:val="TableContents"/>
              <w:spacing w:before="0" w:after="283"/>
              <w:rPr/>
            </w:pPr>
            <w:r>
              <w:rPr/>
              <w:t> </w:t>
            </w:r>
          </w:p>
        </w:tc>
        <w:tc>
          <w:tcPr>
            <w:tcW w:w="4050" w:type="dxa"/>
            <w:gridSpan w:val="14"/>
            <w:tcBorders/>
            <w:shd w:fill="auto" w:val="clear"/>
            <w:vAlign w:val="bottom"/>
          </w:tcPr>
          <w:p>
            <w:pPr>
              <w:pStyle w:val="TableContents"/>
              <w:spacing w:before="0" w:after="0"/>
              <w:jc w:val="center"/>
              <w:rPr/>
            </w:pPr>
            <w:r>
              <w:rPr/>
              <w:t>(In thousands)</w:t>
            </w:r>
          </w:p>
        </w:tc>
        <w:tc>
          <w:tcPr>
            <w:tcW w:w="135" w:type="dxa"/>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0"/>
              <w:ind w:left="144" w:right="0" w:hanging="144"/>
              <w:rPr>
                <w:color w:val="000000"/>
              </w:rPr>
            </w:pPr>
            <w:r>
              <w:rPr>
                <w:color w:val="000000"/>
              </w:rPr>
              <w:t>June 30, 2019</w:t>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0"/>
              <w:ind w:left="324" w:right="0" w:hanging="144"/>
              <w:rPr>
                <w:color w:val="000000"/>
              </w:rPr>
            </w:pPr>
            <w:r>
              <w:rPr>
                <w:color w:val="000000"/>
              </w:rPr>
              <w:t>U.S. agency</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73" w:type="dxa"/>
            <w:tcBorders/>
            <w:shd w:fill="CCEEFF" w:val="clear"/>
            <w:vAlign w:val="bottom"/>
          </w:tcPr>
          <w:p>
            <w:pPr>
              <w:pStyle w:val="TableContents"/>
              <w:spacing w:before="0" w:after="0"/>
              <w:jc w:val="right"/>
              <w:rPr/>
            </w:pPr>
            <w:r>
              <w:rPr/>
              <w:t>16,997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200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14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73" w:type="dxa"/>
            <w:tcBorders/>
            <w:shd w:fill="CCEEFF" w:val="clear"/>
            <w:vAlign w:val="bottom"/>
          </w:tcPr>
          <w:p>
            <w:pPr>
              <w:pStyle w:val="TableContents"/>
              <w:spacing w:before="0" w:after="0"/>
              <w:jc w:val="right"/>
              <w:rPr/>
            </w:pPr>
            <w:r>
              <w:rPr/>
              <w:t>17,183</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324" w:right="0" w:hanging="144"/>
              <w:rPr>
                <w:color w:val="000000"/>
              </w:rPr>
            </w:pPr>
            <w:r>
              <w:rPr>
                <w:color w:val="000000"/>
              </w:rPr>
              <w:t>U.S. agency residential mortgage-backed</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135,853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1,541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377</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137,017</w:t>
            </w:r>
          </w:p>
        </w:tc>
        <w:tc>
          <w:tcPr>
            <w:tcW w:w="135" w:type="dxa"/>
            <w:tcBorders/>
            <w:shd w:fill="FFFFFF"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0"/>
              <w:ind w:left="324" w:right="0" w:hanging="144"/>
              <w:rPr>
                <w:color w:val="000000"/>
              </w:rPr>
            </w:pPr>
            <w:r>
              <w:rPr>
                <w:color w:val="000000"/>
              </w:rPr>
              <w:t>U.S. agency commercial mortgage-backed</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12,183</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44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12,238</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324" w:right="0" w:hanging="144"/>
              <w:rPr>
                <w:color w:val="000000"/>
              </w:rPr>
            </w:pPr>
            <w:r>
              <w:rPr>
                <w:color w:val="000000"/>
              </w:rPr>
              <w:t>Private label mortgage-backed</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29,617</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588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76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30,129</w:t>
            </w:r>
          </w:p>
        </w:tc>
        <w:tc>
          <w:tcPr>
            <w:tcW w:w="135" w:type="dxa"/>
            <w:tcBorders/>
            <w:shd w:fill="FFFFFF"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0"/>
              <w:ind w:left="324" w:right="0" w:hanging="144"/>
              <w:rPr>
                <w:color w:val="000000"/>
              </w:rPr>
            </w:pPr>
            <w:r>
              <w:rPr>
                <w:color w:val="000000"/>
              </w:rPr>
              <w:t>Other asset backed</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91,196</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186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231</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91,151</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324" w:right="0" w:hanging="144"/>
              <w:rPr>
                <w:color w:val="000000"/>
              </w:rPr>
            </w:pPr>
            <w:r>
              <w:rPr>
                <w:color w:val="000000"/>
              </w:rPr>
              <w:t>Obligations of states and political subdivisions</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103,652</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1,378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203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104,827</w:t>
            </w:r>
          </w:p>
        </w:tc>
        <w:tc>
          <w:tcPr>
            <w:tcW w:w="135" w:type="dxa"/>
            <w:tcBorders/>
            <w:shd w:fill="FFFFFF"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0"/>
              <w:ind w:left="324" w:right="0" w:hanging="144"/>
              <w:rPr>
                <w:color w:val="000000"/>
              </w:rPr>
            </w:pPr>
            <w:r>
              <w:rPr>
                <w:color w:val="000000"/>
              </w:rPr>
              <w:t>Corporate</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32,964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929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11</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33,882</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324" w:right="0" w:hanging="144"/>
              <w:rPr>
                <w:color w:val="000000"/>
              </w:rPr>
            </w:pPr>
            <w:r>
              <w:rPr>
                <w:color w:val="000000"/>
              </w:rPr>
              <w:t>Trust preferred</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1,966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115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1,851</w:t>
            </w:r>
          </w:p>
        </w:tc>
        <w:tc>
          <w:tcPr>
            <w:tcW w:w="135" w:type="dxa"/>
            <w:tcBorders/>
            <w:shd w:fill="FFFFFF"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0"/>
              <w:ind w:left="324" w:right="0" w:hanging="144"/>
              <w:rPr>
                <w:color w:val="000000"/>
              </w:rPr>
            </w:pPr>
            <w:r>
              <w:rPr>
                <w:color w:val="000000"/>
              </w:rPr>
              <w:t>Foreign government</w:t>
            </w:r>
          </w:p>
        </w:tc>
        <w:tc>
          <w:tcPr>
            <w:tcW w:w="12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3" w:type="dxa"/>
            <w:tcBorders>
              <w:bottom w:val="single" w:sz="12" w:space="0" w:color="000000"/>
            </w:tcBorders>
            <w:shd w:fill="CCEEFF" w:val="clear"/>
            <w:tcMar>
              <w:bottom w:w="28" w:type="dxa"/>
            </w:tcMar>
            <w:vAlign w:val="bottom"/>
          </w:tcPr>
          <w:p>
            <w:pPr>
              <w:pStyle w:val="TableContents"/>
              <w:spacing w:before="0" w:after="0"/>
              <w:jc w:val="right"/>
              <w:rPr/>
            </w:pPr>
            <w:r>
              <w:rPr/>
              <w:t>2,030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pPr>
            <w:r>
              <w:rPr/>
              <w:t>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3" w:type="dxa"/>
            <w:tcBorders>
              <w:bottom w:val="single" w:sz="12" w:space="0" w:color="000000"/>
            </w:tcBorders>
            <w:shd w:fill="CCEEFF" w:val="clear"/>
            <w:tcMar>
              <w:bottom w:w="28" w:type="dxa"/>
            </w:tcMar>
            <w:vAlign w:val="bottom"/>
          </w:tcPr>
          <w:p>
            <w:pPr>
              <w:pStyle w:val="TableContents"/>
              <w:spacing w:before="0" w:after="0"/>
              <w:jc w:val="right"/>
              <w:rPr/>
            </w:pPr>
            <w:r>
              <w:rPr/>
              <w:t>2,027</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504" w:right="0" w:hanging="144"/>
              <w:rPr>
                <w:color w:val="000000"/>
              </w:rPr>
            </w:pPr>
            <w:r>
              <w:rPr>
                <w:color w:val="000000"/>
              </w:rPr>
              <w:t>Total</w:t>
            </w:r>
          </w:p>
        </w:tc>
        <w:tc>
          <w:tcPr>
            <w:tcW w:w="12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873" w:type="dxa"/>
            <w:tcBorders>
              <w:bottom w:val="double" w:sz="8" w:space="0" w:color="000000"/>
            </w:tcBorders>
            <w:shd w:fill="FFFFFF" w:val="clear"/>
            <w:tcMar>
              <w:bottom w:w="28" w:type="dxa"/>
            </w:tcMar>
            <w:vAlign w:val="bottom"/>
          </w:tcPr>
          <w:p>
            <w:pPr>
              <w:pStyle w:val="TableContents"/>
              <w:spacing w:before="0" w:after="0"/>
              <w:jc w:val="right"/>
              <w:rPr/>
            </w:pPr>
            <w:r>
              <w:rPr/>
              <w:t>426,458</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pPr>
            <w:r>
              <w:rPr/>
              <w:t>4,922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pPr>
            <w:r>
              <w:rPr/>
              <w:t>1,075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873" w:type="dxa"/>
            <w:tcBorders>
              <w:bottom w:val="double" w:sz="8" w:space="0" w:color="000000"/>
            </w:tcBorders>
            <w:shd w:fill="FFFFFF" w:val="clear"/>
            <w:tcMar>
              <w:bottom w:w="28" w:type="dxa"/>
            </w:tcMar>
            <w:vAlign w:val="bottom"/>
          </w:tcPr>
          <w:p>
            <w:pPr>
              <w:pStyle w:val="TableContents"/>
              <w:spacing w:before="0" w:after="0"/>
              <w:jc w:val="right"/>
              <w:rPr/>
            </w:pPr>
            <w:r>
              <w:rPr/>
              <w:t>430,305</w:t>
            </w:r>
          </w:p>
        </w:tc>
        <w:tc>
          <w:tcPr>
            <w:tcW w:w="135" w:type="dxa"/>
            <w:tcBorders/>
            <w:shd w:fill="FFFFFF"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144" w:right="0" w:hanging="144"/>
              <w:rPr>
                <w:color w:val="000000"/>
              </w:rPr>
            </w:pPr>
            <w:r>
              <w:rPr>
                <w:color w:val="000000"/>
              </w:rPr>
              <w:t>December 31, 2018</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0"/>
              <w:ind w:left="324" w:right="0" w:hanging="144"/>
              <w:rPr>
                <w:color w:val="000000"/>
              </w:rPr>
            </w:pPr>
            <w:r>
              <w:rPr>
                <w:color w:val="000000"/>
              </w:rPr>
              <w:t>U.S. agency</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73" w:type="dxa"/>
            <w:tcBorders/>
            <w:shd w:fill="CCEEFF" w:val="clear"/>
            <w:vAlign w:val="bottom"/>
          </w:tcPr>
          <w:p>
            <w:pPr>
              <w:pStyle w:val="TableContents"/>
              <w:spacing w:before="0" w:after="0"/>
              <w:jc w:val="right"/>
              <w:rPr/>
            </w:pPr>
            <w:r>
              <w:rPr/>
              <w:t>20,198</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193</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73" w:type="dxa"/>
            <w:tcBorders/>
            <w:shd w:fill="CCEEFF" w:val="clear"/>
            <w:vAlign w:val="bottom"/>
          </w:tcPr>
          <w:p>
            <w:pPr>
              <w:pStyle w:val="TableContents"/>
              <w:spacing w:before="0" w:after="0"/>
              <w:jc w:val="right"/>
              <w:rPr/>
            </w:pPr>
            <w:r>
              <w:rPr/>
              <w:t>20,014</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324" w:right="0" w:hanging="144"/>
              <w:rPr>
                <w:color w:val="000000"/>
              </w:rPr>
            </w:pPr>
            <w:r>
              <w:rPr>
                <w:color w:val="000000"/>
              </w:rPr>
              <w:t>U.S. agency residential mortgage-backed</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124,777</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817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1,843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123,751</w:t>
            </w:r>
          </w:p>
        </w:tc>
        <w:tc>
          <w:tcPr>
            <w:tcW w:w="135" w:type="dxa"/>
            <w:tcBorders/>
            <w:shd w:fill="FFFFFF"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0"/>
              <w:ind w:left="324" w:right="0" w:hanging="144"/>
              <w:rPr>
                <w:color w:val="000000"/>
              </w:rPr>
            </w:pPr>
            <w:r>
              <w:rPr>
                <w:color w:val="000000"/>
              </w:rPr>
              <w:t>U.S. agency commercial mortgage-backed</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5,909</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184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5,726</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324" w:right="0" w:hanging="144"/>
              <w:rPr>
                <w:color w:val="000000"/>
              </w:rPr>
            </w:pPr>
            <w:r>
              <w:rPr>
                <w:color w:val="000000"/>
              </w:rPr>
              <w:t>Private label mortgage-backed</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29,735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321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637</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29,419</w:t>
            </w:r>
          </w:p>
        </w:tc>
        <w:tc>
          <w:tcPr>
            <w:tcW w:w="135" w:type="dxa"/>
            <w:tcBorders/>
            <w:shd w:fill="FFFFFF"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0"/>
              <w:ind w:left="324" w:right="0" w:hanging="144"/>
              <w:rPr>
                <w:color w:val="000000"/>
              </w:rPr>
            </w:pPr>
            <w:r>
              <w:rPr>
                <w:color w:val="000000"/>
              </w:rPr>
              <w:t>Other asset backed</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83,481</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86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248</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83,319</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324" w:right="0" w:hanging="144"/>
              <w:rPr>
                <w:color w:val="000000"/>
              </w:rPr>
            </w:pPr>
            <w:r>
              <w:rPr>
                <w:color w:val="000000"/>
              </w:rPr>
              <w:t>Obligations of states and political subdivisions</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130,244</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257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2,946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127,555</w:t>
            </w:r>
          </w:p>
        </w:tc>
        <w:tc>
          <w:tcPr>
            <w:tcW w:w="135" w:type="dxa"/>
            <w:tcBorders/>
            <w:shd w:fill="FFFFFF"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0"/>
              <w:ind w:left="324" w:right="0" w:hanging="144"/>
              <w:rPr>
                <w:color w:val="000000"/>
              </w:rPr>
            </w:pPr>
            <w:r>
              <w:rPr>
                <w:color w:val="000000"/>
              </w:rPr>
              <w:t>Corporate</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34,866</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29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586</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34,309</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324" w:right="0" w:hanging="144"/>
              <w:rPr>
                <w:color w:val="000000"/>
              </w:rPr>
            </w:pPr>
            <w:r>
              <w:rPr>
                <w:color w:val="000000"/>
              </w:rPr>
              <w:t>Trust preferred</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1,964</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145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1,819</w:t>
            </w:r>
          </w:p>
        </w:tc>
        <w:tc>
          <w:tcPr>
            <w:tcW w:w="135" w:type="dxa"/>
            <w:tcBorders/>
            <w:shd w:fill="FFFFFF" w:val="clear"/>
            <w:vAlign w:val="bottom"/>
          </w:tcPr>
          <w:p>
            <w:pPr>
              <w:pStyle w:val="TableContents"/>
              <w:spacing w:before="0" w:after="283"/>
              <w:rPr/>
            </w:pPr>
            <w:r>
              <w:rPr/>
              <w:t> </w:t>
            </w:r>
          </w:p>
        </w:tc>
      </w:tr>
      <w:tr>
        <w:trPr/>
        <w:tc>
          <w:tcPr>
            <w:tcW w:w="4400" w:type="dxa"/>
            <w:tcBorders/>
            <w:shd w:fill="CCEEFF" w:val="clear"/>
            <w:vAlign w:val="bottom"/>
          </w:tcPr>
          <w:p>
            <w:pPr>
              <w:pStyle w:val="TableContents"/>
              <w:spacing w:before="0" w:after="0"/>
              <w:ind w:left="324" w:right="0" w:hanging="144"/>
              <w:rPr>
                <w:color w:val="000000"/>
              </w:rPr>
            </w:pPr>
            <w:r>
              <w:rPr>
                <w:color w:val="000000"/>
              </w:rPr>
              <w:t>Foreign government</w:t>
            </w:r>
          </w:p>
        </w:tc>
        <w:tc>
          <w:tcPr>
            <w:tcW w:w="12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3" w:type="dxa"/>
            <w:tcBorders>
              <w:bottom w:val="single" w:sz="12" w:space="0" w:color="000000"/>
            </w:tcBorders>
            <w:shd w:fill="CCEEFF" w:val="clear"/>
            <w:tcMar>
              <w:bottom w:w="28" w:type="dxa"/>
            </w:tcMar>
            <w:vAlign w:val="bottom"/>
          </w:tcPr>
          <w:p>
            <w:pPr>
              <w:pStyle w:val="TableContents"/>
              <w:spacing w:before="0" w:after="0"/>
              <w:jc w:val="right"/>
              <w:rPr/>
            </w:pPr>
            <w:r>
              <w:rPr/>
              <w:t>2,050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pPr>
            <w:r>
              <w:rPr/>
              <w:t>36</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3" w:type="dxa"/>
            <w:tcBorders>
              <w:bottom w:val="single" w:sz="12" w:space="0" w:color="000000"/>
            </w:tcBorders>
            <w:shd w:fill="CCEEFF" w:val="clear"/>
            <w:tcMar>
              <w:bottom w:w="28" w:type="dxa"/>
            </w:tcMar>
            <w:vAlign w:val="bottom"/>
          </w:tcPr>
          <w:p>
            <w:pPr>
              <w:pStyle w:val="TableContents"/>
              <w:spacing w:before="0" w:after="0"/>
              <w:jc w:val="right"/>
              <w:rPr/>
            </w:pPr>
            <w:r>
              <w:rPr/>
              <w:t>2,014</w:t>
            </w:r>
          </w:p>
        </w:tc>
        <w:tc>
          <w:tcPr>
            <w:tcW w:w="135" w:type="dxa"/>
            <w:tcBorders/>
            <w:shd w:fill="CCEEFF" w:val="clear"/>
            <w:vAlign w:val="bottom"/>
          </w:tcPr>
          <w:p>
            <w:pPr>
              <w:pStyle w:val="TableContents"/>
              <w:spacing w:before="0" w:after="283"/>
              <w:rPr/>
            </w:pPr>
            <w:r>
              <w:rPr/>
              <w:t> </w:t>
            </w:r>
          </w:p>
        </w:tc>
      </w:tr>
      <w:tr>
        <w:trPr/>
        <w:tc>
          <w:tcPr>
            <w:tcW w:w="4400" w:type="dxa"/>
            <w:tcBorders/>
            <w:shd w:fill="FFFFFF" w:val="clear"/>
            <w:vAlign w:val="bottom"/>
          </w:tcPr>
          <w:p>
            <w:pPr>
              <w:pStyle w:val="TableContents"/>
              <w:spacing w:before="0" w:after="0"/>
              <w:ind w:left="504" w:right="0" w:hanging="144"/>
              <w:rPr>
                <w:color w:val="000000"/>
              </w:rPr>
            </w:pPr>
            <w:r>
              <w:rPr>
                <w:color w:val="000000"/>
              </w:rPr>
              <w:t>Total</w:t>
            </w:r>
          </w:p>
        </w:tc>
        <w:tc>
          <w:tcPr>
            <w:tcW w:w="12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873" w:type="dxa"/>
            <w:tcBorders>
              <w:bottom w:val="double" w:sz="8" w:space="0" w:color="000000"/>
            </w:tcBorders>
            <w:shd w:fill="FFFFFF" w:val="clear"/>
            <w:tcMar>
              <w:bottom w:w="28" w:type="dxa"/>
            </w:tcMar>
            <w:vAlign w:val="bottom"/>
          </w:tcPr>
          <w:p>
            <w:pPr>
              <w:pStyle w:val="TableContents"/>
              <w:spacing w:before="0" w:after="0"/>
              <w:jc w:val="right"/>
              <w:rPr/>
            </w:pPr>
            <w:r>
              <w:rPr/>
              <w:t>433,224</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pPr>
            <w:r>
              <w:rPr/>
              <w:t>1,520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pPr>
            <w:r>
              <w:rPr/>
              <w:t>6,818</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873" w:type="dxa"/>
            <w:tcBorders>
              <w:bottom w:val="double" w:sz="8" w:space="0" w:color="000000"/>
            </w:tcBorders>
            <w:shd w:fill="FFFFFF" w:val="clear"/>
            <w:tcMar>
              <w:bottom w:w="28" w:type="dxa"/>
            </w:tcMar>
            <w:vAlign w:val="bottom"/>
          </w:tcPr>
          <w:p>
            <w:pPr>
              <w:pStyle w:val="TableContents"/>
              <w:spacing w:before="0" w:after="0"/>
              <w:jc w:val="right"/>
              <w:rPr/>
            </w:pPr>
            <w:r>
              <w:rPr/>
              <w:t>427,926</w:t>
            </w:r>
          </w:p>
        </w:tc>
        <w:tc>
          <w:tcPr>
            <w:tcW w:w="135"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1" w:name="DSPFPageBreakArea10"/>
      <w:bookmarkStart w:id="132" w:name="DSPFPageBreakArea10"/>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33" w:name="DSPFPageNumber10"/>
      <w:bookmarkStart w:id="134" w:name="DSPFPageNumberArea9"/>
      <w:bookmarkEnd w:id="133"/>
      <w:bookmarkEnd w:id="134"/>
      <w:r>
        <w:rPr>
          <w:b w:val="false"/>
          <w:i w:val="false"/>
          <w:caps w:val="false"/>
          <w:smallCaps w:val="false"/>
          <w:sz w:val="13"/>
        </w:rPr>
        <w:t>11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5" w:name="DSPFPageBreak10"/>
      <w:bookmarkStart w:id="136" w:name="DSPFPageBreak10"/>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137" w:name="DSPFPageHeader9"/>
        <w:bookmarkEnd w:id="137"/>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Our investments’ gross unrealized losses and fair values aggregated by investment type and length of time that individual securities have been at a continuous unrealized loss position follows:</w:t>
      </w:r>
    </w:p>
    <w:p>
      <w:pPr>
        <w:pStyle w:val="TextBody"/>
        <w:spacing w:before="0" w:after="0"/>
        <w:rPr/>
      </w:pPr>
      <w:r>
        <w:rPr/>
      </w:r>
    </w:p>
    <w:p>
      <w:pPr>
        <w:pStyle w:val="Normal"/>
        <w:spacing w:before="0" w:after="0"/>
        <w:rPr>
          <w:sz w:val="4"/>
          <w:szCs w:val="4"/>
        </w:rPr>
      </w:pPr>
      <w:r>
        <w:rPr>
          <w:sz w:val="4"/>
          <w:szCs w:val="4"/>
        </w:rPr>
      </w:r>
      <w:bookmarkStart w:id="138" w:name="z980809e6993b43aea2e01c58ad9fb80d"/>
      <w:bookmarkStart w:id="139" w:name="z980809e6993b43aea2e01c58ad9fb80d"/>
      <w:bookmarkEnd w:id="139"/>
    </w:p>
    <w:tbl>
      <w:tblPr>
        <w:tblW w:w="10205" w:type="dxa"/>
        <w:jc w:val="left"/>
        <w:tblInd w:w="0" w:type="dxa"/>
        <w:tblCellMar>
          <w:top w:w="0" w:type="dxa"/>
          <w:left w:w="0" w:type="dxa"/>
          <w:bottom w:w="0" w:type="dxa"/>
          <w:right w:w="0" w:type="dxa"/>
        </w:tblCellMar>
      </w:tblPr>
      <w:tblGrid>
        <w:gridCol w:w="2565"/>
        <w:gridCol w:w="60"/>
        <w:gridCol w:w="204"/>
        <w:gridCol w:w="1168"/>
        <w:gridCol w:w="87"/>
        <w:gridCol w:w="87"/>
        <w:gridCol w:w="210"/>
        <w:gridCol w:w="845"/>
        <w:gridCol w:w="60"/>
        <w:gridCol w:w="60"/>
        <w:gridCol w:w="186"/>
        <w:gridCol w:w="1065"/>
        <w:gridCol w:w="79"/>
        <w:gridCol w:w="79"/>
        <w:gridCol w:w="209"/>
        <w:gridCol w:w="846"/>
        <w:gridCol w:w="60"/>
        <w:gridCol w:w="60"/>
        <w:gridCol w:w="152"/>
        <w:gridCol w:w="873"/>
        <w:gridCol w:w="60"/>
        <w:gridCol w:w="60"/>
        <w:gridCol w:w="211"/>
        <w:gridCol w:w="844"/>
        <w:gridCol w:w="75"/>
      </w:tblGrid>
      <w:tr>
        <w:trPr/>
        <w:tc>
          <w:tcPr>
            <w:tcW w:w="25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1" w:type="dxa"/>
            <w:gridSpan w:val="6"/>
            <w:tcBorders>
              <w:bottom w:val="single" w:sz="12" w:space="0" w:color="000000"/>
            </w:tcBorders>
            <w:shd w:fill="auto" w:val="clear"/>
            <w:tcMar>
              <w:bottom w:w="28" w:type="dxa"/>
            </w:tcMar>
            <w:vAlign w:val="bottom"/>
          </w:tcPr>
          <w:p>
            <w:pPr>
              <w:pStyle w:val="TableContents"/>
              <w:spacing w:before="0" w:after="0"/>
              <w:jc w:val="center"/>
              <w:rPr/>
            </w:pPr>
            <w:r>
              <w:rPr/>
              <w:t>Less Than Twelve Months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64" w:type="dxa"/>
            <w:gridSpan w:val="6"/>
            <w:tcBorders>
              <w:bottom w:val="single" w:sz="12" w:space="0" w:color="000000"/>
            </w:tcBorders>
            <w:shd w:fill="auto" w:val="clear"/>
            <w:tcMar>
              <w:bottom w:w="28" w:type="dxa"/>
            </w:tcMar>
            <w:vAlign w:val="bottom"/>
          </w:tcPr>
          <w:p>
            <w:pPr>
              <w:pStyle w:val="TableContents"/>
              <w:spacing w:before="0" w:after="0"/>
              <w:jc w:val="center"/>
              <w:rPr/>
            </w:pPr>
            <w:r>
              <w:rPr/>
              <w:t>Twelve Months or More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00" w:type="dxa"/>
            <w:gridSpan w:val="6"/>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75" w:type="dxa"/>
            <w:tcBorders/>
            <w:shd w:fill="auto" w:val="clear"/>
            <w:vAlign w:val="bottom"/>
          </w:tcPr>
          <w:p>
            <w:pPr>
              <w:pStyle w:val="TableContents"/>
              <w:spacing w:before="0" w:after="283"/>
              <w:rPr/>
            </w:pPr>
            <w:r>
              <w:rPr/>
              <w:t> </w:t>
            </w:r>
          </w:p>
        </w:tc>
      </w:tr>
      <w:tr>
        <w:trPr/>
        <w:tc>
          <w:tcPr>
            <w:tcW w:w="25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2" w:type="dxa"/>
            <w:gridSpan w:val="2"/>
            <w:tcBorders>
              <w:bottom w:val="single" w:sz="12" w:space="0" w:color="000000"/>
            </w:tcBorders>
            <w:shd w:fill="auto" w:val="clear"/>
            <w:tcMar>
              <w:bottom w:w="28" w:type="dxa"/>
            </w:tcMar>
            <w:vAlign w:val="bottom"/>
          </w:tcPr>
          <w:p>
            <w:pPr>
              <w:pStyle w:val="TableContents"/>
              <w:spacing w:before="0" w:after="0"/>
              <w:jc w:val="center"/>
              <w:rPr/>
            </w:pPr>
            <w:r>
              <w:rPr/>
              <w:t>Fair Value</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Unrealized</w:t>
            </w:r>
          </w:p>
          <w:p>
            <w:pPr>
              <w:pStyle w:val="TableContents"/>
              <w:spacing w:before="0" w:after="0"/>
              <w:jc w:val="center"/>
              <w:rPr/>
            </w:pPr>
            <w:r>
              <w:rPr/>
              <w:t>Losses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1" w:type="dxa"/>
            <w:gridSpan w:val="2"/>
            <w:tcBorders>
              <w:bottom w:val="single" w:sz="12" w:space="0" w:color="000000"/>
            </w:tcBorders>
            <w:shd w:fill="auto" w:val="clear"/>
            <w:tcMar>
              <w:bottom w:w="28" w:type="dxa"/>
            </w:tcMar>
            <w:vAlign w:val="bottom"/>
          </w:tcPr>
          <w:p>
            <w:pPr>
              <w:pStyle w:val="TableContents"/>
              <w:spacing w:before="0" w:after="0"/>
              <w:jc w:val="center"/>
              <w:rPr/>
            </w:pPr>
            <w:r>
              <w:rPr/>
              <w:t>Fair Value</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Unrealized</w:t>
            </w:r>
          </w:p>
          <w:p>
            <w:pPr>
              <w:pStyle w:val="TableContents"/>
              <w:spacing w:before="0" w:after="0"/>
              <w:jc w:val="center"/>
              <w:rPr/>
            </w:pPr>
            <w:r>
              <w:rPr/>
              <w:t>Losses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bottom"/>
          </w:tcPr>
          <w:p>
            <w:pPr>
              <w:pStyle w:val="TableContents"/>
              <w:spacing w:before="0" w:after="0"/>
              <w:jc w:val="center"/>
              <w:rPr/>
            </w:pPr>
            <w:r>
              <w:rPr/>
              <w:t>Fair Value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Unrealized</w:t>
            </w:r>
          </w:p>
          <w:p>
            <w:pPr>
              <w:pStyle w:val="TableContents"/>
              <w:spacing w:before="0" w:after="0"/>
              <w:jc w:val="center"/>
              <w:rPr/>
            </w:pPr>
            <w:r>
              <w:rPr/>
              <w:t>Losses</w:t>
            </w:r>
          </w:p>
        </w:tc>
        <w:tc>
          <w:tcPr>
            <w:tcW w:w="75" w:type="dxa"/>
            <w:tcBorders/>
            <w:shd w:fill="auto" w:val="clear"/>
            <w:vAlign w:val="bottom"/>
          </w:tcPr>
          <w:p>
            <w:pPr>
              <w:pStyle w:val="TableContents"/>
              <w:spacing w:before="0" w:after="283"/>
              <w:rPr/>
            </w:pPr>
            <w:r>
              <w:rPr/>
              <w:t> </w:t>
            </w:r>
          </w:p>
        </w:tc>
      </w:tr>
      <w:tr>
        <w:trPr/>
        <w:tc>
          <w:tcPr>
            <w:tcW w:w="25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05" w:type="dxa"/>
            <w:gridSpan w:val="22"/>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25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1" w:type="dxa"/>
            <w:gridSpan w:val="2"/>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2565" w:type="dxa"/>
            <w:tcBorders/>
            <w:shd w:fill="auto" w:val="clear"/>
            <w:vAlign w:val="bottom"/>
          </w:tcPr>
          <w:p>
            <w:pPr>
              <w:pStyle w:val="TableContents"/>
              <w:spacing w:before="0" w:after="0"/>
              <w:ind w:left="144" w:right="0" w:hanging="144"/>
              <w:rPr>
                <w:color w:val="000000"/>
              </w:rPr>
            </w:pPr>
            <w:r>
              <w:rPr>
                <w:color w:val="000000"/>
              </w:rPr>
              <w:t>June 30, 2019</w:t>
            </w:r>
          </w:p>
        </w:tc>
        <w:tc>
          <w:tcPr>
            <w:tcW w:w="60"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1" w:type="dxa"/>
            <w:gridSpan w:val="2"/>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0"/>
              <w:ind w:left="324" w:right="0" w:hanging="144"/>
              <w:rPr/>
            </w:pPr>
            <w:r>
              <w:rPr/>
              <w:t>U.S. agency</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0"/>
              <w:rPr/>
            </w:pPr>
            <w:r>
              <w:rPr/>
              <w:t>$</w:t>
            </w:r>
          </w:p>
        </w:tc>
        <w:tc>
          <w:tcPr>
            <w:tcW w:w="1168" w:type="dxa"/>
            <w:tcBorders/>
            <w:shd w:fill="CCEEFF" w:val="clear"/>
            <w:vAlign w:val="bottom"/>
          </w:tcPr>
          <w:p>
            <w:pPr>
              <w:pStyle w:val="TableContents"/>
              <w:spacing w:before="0" w:after="0"/>
              <w:jc w:val="right"/>
              <w:rPr/>
            </w:pPr>
            <w:r>
              <w:rPr/>
              <w:t>-</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0"/>
              <w:rPr/>
            </w:pPr>
            <w:r>
              <w:rPr/>
              <w:t>$</w:t>
            </w:r>
          </w:p>
        </w:tc>
        <w:tc>
          <w:tcPr>
            <w:tcW w:w="84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0"/>
              <w:rPr/>
            </w:pPr>
            <w:r>
              <w:rPr/>
              <w:t>$</w:t>
            </w:r>
          </w:p>
        </w:tc>
        <w:tc>
          <w:tcPr>
            <w:tcW w:w="1065" w:type="dxa"/>
            <w:tcBorders/>
            <w:shd w:fill="CCEEFF" w:val="clear"/>
            <w:vAlign w:val="bottom"/>
          </w:tcPr>
          <w:p>
            <w:pPr>
              <w:pStyle w:val="TableContents"/>
              <w:spacing w:before="0" w:after="0"/>
              <w:jc w:val="right"/>
              <w:rPr/>
            </w:pPr>
            <w:r>
              <w:rPr/>
              <w:t>4,427</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0"/>
              <w:rPr/>
            </w:pPr>
            <w:r>
              <w:rPr/>
              <w:t>$</w:t>
            </w:r>
          </w:p>
        </w:tc>
        <w:tc>
          <w:tcPr>
            <w:tcW w:w="846" w:type="dxa"/>
            <w:tcBorders/>
            <w:shd w:fill="CCEEFF" w:val="clear"/>
            <w:vAlign w:val="bottom"/>
          </w:tcPr>
          <w:p>
            <w:pPr>
              <w:pStyle w:val="TableContents"/>
              <w:spacing w:before="0" w:after="0"/>
              <w:jc w:val="right"/>
              <w:rPr/>
            </w:pPr>
            <w:r>
              <w:rPr/>
              <w:t>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73" w:type="dxa"/>
            <w:tcBorders/>
            <w:shd w:fill="CCEEFF" w:val="clear"/>
            <w:vAlign w:val="bottom"/>
          </w:tcPr>
          <w:p>
            <w:pPr>
              <w:pStyle w:val="TableContents"/>
              <w:spacing w:before="0" w:after="0"/>
              <w:jc w:val="right"/>
              <w:rPr/>
            </w:pPr>
            <w:r>
              <w:rPr/>
              <w:t>4,427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rPr/>
            </w:pPr>
            <w:r>
              <w:rPr/>
              <w:t>$</w:t>
            </w:r>
          </w:p>
        </w:tc>
        <w:tc>
          <w:tcPr>
            <w:tcW w:w="844" w:type="dxa"/>
            <w:tcBorders/>
            <w:shd w:fill="CCEEFF" w:val="clear"/>
            <w:vAlign w:val="bottom"/>
          </w:tcPr>
          <w:p>
            <w:pPr>
              <w:pStyle w:val="TableContents"/>
              <w:spacing w:before="0" w:after="0"/>
              <w:jc w:val="right"/>
              <w:rPr/>
            </w:pPr>
            <w:r>
              <w:rPr/>
              <w:t>14</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360" w:right="0" w:hanging="180"/>
              <w:rPr/>
            </w:pPr>
            <w:r>
              <w:rPr/>
              <w:t>U.S. agency residential mortgage-backed</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8" w:type="dxa"/>
            <w:tcBorders/>
            <w:shd w:fill="FFFFFF" w:val="clear"/>
            <w:vAlign w:val="bottom"/>
          </w:tcPr>
          <w:p>
            <w:pPr>
              <w:pStyle w:val="TableContents"/>
              <w:spacing w:before="0" w:after="0"/>
              <w:jc w:val="right"/>
              <w:rPr/>
            </w:pPr>
            <w:r>
              <w:rPr/>
              <w:t>5,109</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0"/>
              <w:jc w:val="right"/>
              <w:rPr/>
            </w:pPr>
            <w:r>
              <w:rPr/>
              <w:t>11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065" w:type="dxa"/>
            <w:tcBorders/>
            <w:shd w:fill="FFFFFF" w:val="clear"/>
            <w:vAlign w:val="bottom"/>
          </w:tcPr>
          <w:p>
            <w:pPr>
              <w:pStyle w:val="TableContents"/>
              <w:spacing w:before="0" w:after="0"/>
              <w:jc w:val="right"/>
              <w:rPr/>
            </w:pPr>
            <w:r>
              <w:rPr/>
              <w:t>36,367</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846" w:type="dxa"/>
            <w:tcBorders/>
            <w:shd w:fill="FFFFFF" w:val="clear"/>
            <w:vAlign w:val="bottom"/>
          </w:tcPr>
          <w:p>
            <w:pPr>
              <w:pStyle w:val="TableContents"/>
              <w:spacing w:before="0" w:after="0"/>
              <w:jc w:val="right"/>
              <w:rPr/>
            </w:pPr>
            <w:r>
              <w:rPr/>
              <w:t>366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41,476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377</w:t>
            </w:r>
          </w:p>
        </w:tc>
        <w:tc>
          <w:tcPr>
            <w:tcW w:w="75" w:type="dxa"/>
            <w:tcBorders/>
            <w:shd w:fill="FFFFFF"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0"/>
              <w:ind w:left="360" w:right="0" w:hanging="180"/>
              <w:rPr/>
            </w:pPr>
            <w:r>
              <w:rPr/>
              <w:t>U.S. agency commercial mortgage-backed</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0"/>
              <w:jc w:val="right"/>
              <w:rPr/>
            </w:pPr>
            <w:r>
              <w:rPr/>
              <w:t>-</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0"/>
              <w:jc w:val="right"/>
              <w:rPr/>
            </w:pPr>
            <w:r>
              <w:rPr/>
              <w:t>4,322</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0"/>
              <w:jc w:val="right"/>
              <w:rPr/>
            </w:pPr>
            <w:r>
              <w:rPr/>
              <w:t>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4,322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44</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360" w:right="0" w:hanging="180"/>
              <w:rPr/>
            </w:pPr>
            <w:r>
              <w:rPr/>
              <w:t>Private label mortgage-backed</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8" w:type="dxa"/>
            <w:tcBorders/>
            <w:shd w:fill="FFFFFF" w:val="clear"/>
            <w:vAlign w:val="bottom"/>
          </w:tcPr>
          <w:p>
            <w:pPr>
              <w:pStyle w:val="TableContents"/>
              <w:spacing w:before="0" w:after="0"/>
              <w:jc w:val="right"/>
              <w:rPr/>
            </w:pPr>
            <w:r>
              <w:rPr/>
              <w:t>2,682</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0"/>
              <w:jc w:val="right"/>
              <w:rPr/>
            </w:pPr>
            <w:r>
              <w:rPr/>
              <w:t>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065" w:type="dxa"/>
            <w:tcBorders/>
            <w:shd w:fill="FFFFFF" w:val="clear"/>
            <w:vAlign w:val="bottom"/>
          </w:tcPr>
          <w:p>
            <w:pPr>
              <w:pStyle w:val="TableContents"/>
              <w:spacing w:before="0" w:after="0"/>
              <w:jc w:val="right"/>
              <w:rPr/>
            </w:pPr>
            <w:r>
              <w:rPr/>
              <w:t>3,273</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846" w:type="dxa"/>
            <w:tcBorders/>
            <w:shd w:fill="FFFFFF" w:val="clear"/>
            <w:vAlign w:val="bottom"/>
          </w:tcPr>
          <w:p>
            <w:pPr>
              <w:pStyle w:val="TableContents"/>
              <w:spacing w:before="0" w:after="0"/>
              <w:jc w:val="right"/>
              <w:rPr/>
            </w:pPr>
            <w:r>
              <w:rPr/>
              <w:t>73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5,955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76</w:t>
            </w:r>
          </w:p>
        </w:tc>
        <w:tc>
          <w:tcPr>
            <w:tcW w:w="75" w:type="dxa"/>
            <w:tcBorders/>
            <w:shd w:fill="FFFFFF"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0"/>
              <w:ind w:left="324" w:right="0" w:hanging="144"/>
              <w:rPr>
                <w:color w:val="000000"/>
              </w:rPr>
            </w:pPr>
            <w:r>
              <w:rPr>
                <w:color w:val="000000"/>
              </w:rPr>
              <w:t>Other asset backed</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0"/>
              <w:jc w:val="right"/>
              <w:rPr/>
            </w:pPr>
            <w:r>
              <w:rPr/>
              <w:t>38,729</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0"/>
              <w:jc w:val="right"/>
              <w:rPr/>
            </w:pPr>
            <w:r>
              <w:rPr/>
              <w:t>140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0"/>
              <w:jc w:val="right"/>
              <w:rPr/>
            </w:pPr>
            <w:r>
              <w:rPr/>
              <w:t>9,794</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0"/>
              <w:jc w:val="right"/>
              <w:rPr/>
            </w:pPr>
            <w:r>
              <w:rPr/>
              <w:t>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48,523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231</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360" w:right="0" w:hanging="180"/>
              <w:rPr/>
            </w:pPr>
            <w:r>
              <w:rPr/>
              <w:t>Obligations of states and political subdivisions</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8" w:type="dxa"/>
            <w:tcBorders/>
            <w:shd w:fill="FFFFFF" w:val="clear"/>
            <w:vAlign w:val="bottom"/>
          </w:tcPr>
          <w:p>
            <w:pPr>
              <w:pStyle w:val="TableContents"/>
              <w:spacing w:before="0" w:after="0"/>
              <w:jc w:val="right"/>
              <w:rPr/>
            </w:pPr>
            <w:r>
              <w:rPr/>
              <w:t>9,211</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0"/>
              <w:jc w:val="right"/>
              <w:rPr/>
            </w:pPr>
            <w:r>
              <w:rPr/>
              <w:t>15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065" w:type="dxa"/>
            <w:tcBorders/>
            <w:shd w:fill="FFFFFF" w:val="clear"/>
            <w:vAlign w:val="bottom"/>
          </w:tcPr>
          <w:p>
            <w:pPr>
              <w:pStyle w:val="TableContents"/>
              <w:spacing w:before="0" w:after="0"/>
              <w:jc w:val="right"/>
              <w:rPr/>
            </w:pPr>
            <w:r>
              <w:rPr/>
              <w:t>27,595</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846" w:type="dxa"/>
            <w:tcBorders/>
            <w:shd w:fill="FFFFFF" w:val="clear"/>
            <w:vAlign w:val="bottom"/>
          </w:tcPr>
          <w:p>
            <w:pPr>
              <w:pStyle w:val="TableContents"/>
              <w:spacing w:before="0" w:after="0"/>
              <w:jc w:val="right"/>
              <w:rPr/>
            </w:pPr>
            <w:r>
              <w:rPr/>
              <w:t>188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36,806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203</w:t>
            </w:r>
          </w:p>
        </w:tc>
        <w:tc>
          <w:tcPr>
            <w:tcW w:w="75" w:type="dxa"/>
            <w:tcBorders/>
            <w:shd w:fill="FFFFFF"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0"/>
              <w:ind w:left="324" w:right="0" w:hanging="144"/>
              <w:rPr/>
            </w:pPr>
            <w:r>
              <w:rPr/>
              <w:t>Corporate</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0"/>
              <w:jc w:val="right"/>
              <w:rPr/>
            </w:pPr>
            <w:r>
              <w:rPr/>
              <w:t>288</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0"/>
              <w:jc w:val="right"/>
              <w:rPr/>
            </w:pPr>
            <w:r>
              <w:rPr/>
              <w:t>3,188</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0"/>
              <w:jc w:val="right"/>
              <w:rPr/>
            </w:pPr>
            <w:r>
              <w:rPr/>
              <w:t>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3,476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11</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324" w:right="0" w:hanging="144"/>
              <w:rPr/>
            </w:pPr>
            <w:r>
              <w:rPr/>
              <w:t>Trust preferred</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8" w:type="dxa"/>
            <w:tcBorders/>
            <w:shd w:fill="FFFFFF" w:val="clear"/>
            <w:vAlign w:val="bottom"/>
          </w:tcPr>
          <w:p>
            <w:pPr>
              <w:pStyle w:val="TableContents"/>
              <w:spacing w:before="0" w:after="0"/>
              <w:jc w:val="right"/>
              <w:rPr/>
            </w:pPr>
            <w:r>
              <w:rPr/>
              <w:t>941</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0"/>
              <w:jc w:val="right"/>
              <w:rPr/>
            </w:pPr>
            <w:r>
              <w:rPr/>
              <w:t>60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065" w:type="dxa"/>
            <w:tcBorders/>
            <w:shd w:fill="FFFFFF" w:val="clear"/>
            <w:vAlign w:val="bottom"/>
          </w:tcPr>
          <w:p>
            <w:pPr>
              <w:pStyle w:val="TableContents"/>
              <w:spacing w:before="0" w:after="0"/>
              <w:jc w:val="right"/>
              <w:rPr/>
            </w:pPr>
            <w:r>
              <w:rPr/>
              <w:t>910</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846" w:type="dxa"/>
            <w:tcBorders/>
            <w:shd w:fill="FFFFFF" w:val="clear"/>
            <w:vAlign w:val="bottom"/>
          </w:tcPr>
          <w:p>
            <w:pPr>
              <w:pStyle w:val="TableContents"/>
              <w:spacing w:before="0" w:after="0"/>
              <w:jc w:val="right"/>
              <w:rPr/>
            </w:pPr>
            <w:r>
              <w:rPr/>
              <w:t>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1,851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115</w:t>
            </w:r>
          </w:p>
        </w:tc>
        <w:tc>
          <w:tcPr>
            <w:tcW w:w="75" w:type="dxa"/>
            <w:tcBorders/>
            <w:shd w:fill="FFFFFF"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0"/>
              <w:ind w:left="324" w:right="0" w:hanging="144"/>
              <w:rPr/>
            </w:pPr>
            <w:r>
              <w:rPr/>
              <w:t>Foreign government</w:t>
            </w:r>
          </w:p>
        </w:tc>
        <w:tc>
          <w:tcPr>
            <w:tcW w:w="60" w:type="dxa"/>
            <w:tcBorders/>
            <w:shd w:fill="CCEEFF" w:val="clear"/>
            <w:vAlign w:val="bottom"/>
          </w:tcPr>
          <w:p>
            <w:pPr>
              <w:pStyle w:val="TableContents"/>
              <w:spacing w:before="0" w:after="283"/>
              <w:rPr/>
            </w:pPr>
            <w:r>
              <w:rPr/>
              <w:t> </w:t>
            </w:r>
          </w:p>
        </w:tc>
        <w:tc>
          <w:tcPr>
            <w:tcW w:w="20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6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0"/>
              <w:jc w:val="right"/>
              <w:rPr/>
            </w:pPr>
            <w:r>
              <w:rPr/>
              <w:t>1,526</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6" w:type="dxa"/>
            <w:tcBorders>
              <w:bottom w:val="single" w:sz="12" w:space="0" w:color="000000"/>
            </w:tcBorders>
            <w:shd w:fill="CCEEFF" w:val="clear"/>
            <w:tcMar>
              <w:bottom w:w="28" w:type="dxa"/>
            </w:tcMar>
            <w:vAlign w:val="bottom"/>
          </w:tcPr>
          <w:p>
            <w:pPr>
              <w:pStyle w:val="TableContents"/>
              <w:spacing w:before="0" w:after="0"/>
              <w:jc w:val="right"/>
              <w:rPr/>
            </w:pPr>
            <w:r>
              <w:rPr/>
              <w:t>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3" w:type="dxa"/>
            <w:tcBorders>
              <w:bottom w:val="single" w:sz="12" w:space="0" w:color="000000"/>
            </w:tcBorders>
            <w:shd w:fill="CCEEFF" w:val="clear"/>
            <w:tcMar>
              <w:bottom w:w="28" w:type="dxa"/>
            </w:tcMar>
            <w:vAlign w:val="bottom"/>
          </w:tcPr>
          <w:p>
            <w:pPr>
              <w:pStyle w:val="TableContents"/>
              <w:spacing w:before="0" w:after="0"/>
              <w:jc w:val="right"/>
              <w:rPr/>
            </w:pPr>
            <w:r>
              <w:rPr/>
              <w:t>1,526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4</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504" w:right="0" w:hanging="144"/>
              <w:rPr/>
            </w:pPr>
            <w:r>
              <w:rPr/>
              <w:t>Total</w:t>
            </w:r>
          </w:p>
        </w:tc>
        <w:tc>
          <w:tcPr>
            <w:tcW w:w="60" w:type="dxa"/>
            <w:tcBorders/>
            <w:shd w:fill="FFFFFF" w:val="clear"/>
            <w:vAlign w:val="bottom"/>
          </w:tcPr>
          <w:p>
            <w:pPr>
              <w:pStyle w:val="TableContents"/>
              <w:spacing w:before="0" w:after="283"/>
              <w:rPr/>
            </w:pPr>
            <w:r>
              <w:rPr/>
              <w:t> </w:t>
            </w:r>
          </w:p>
        </w:tc>
        <w:tc>
          <w:tcPr>
            <w:tcW w:w="204" w:type="dxa"/>
            <w:tcBorders>
              <w:bottom w:val="double" w:sz="8" w:space="0" w:color="000000"/>
            </w:tcBorders>
            <w:shd w:fill="FFFFFF" w:val="clear"/>
            <w:tcMar>
              <w:bottom w:w="28" w:type="dxa"/>
            </w:tcMar>
            <w:vAlign w:val="bottom"/>
          </w:tcPr>
          <w:p>
            <w:pPr>
              <w:pStyle w:val="TableContents"/>
              <w:spacing w:before="0" w:after="0"/>
              <w:rPr/>
            </w:pPr>
            <w:r>
              <w:rPr/>
              <w:t>$</w:t>
            </w:r>
          </w:p>
        </w:tc>
        <w:tc>
          <w:tcPr>
            <w:tcW w:w="1168" w:type="dxa"/>
            <w:tcBorders>
              <w:bottom w:val="double" w:sz="8" w:space="0" w:color="000000"/>
            </w:tcBorders>
            <w:shd w:fill="FFFFFF" w:val="clear"/>
            <w:tcMar>
              <w:bottom w:w="28" w:type="dxa"/>
            </w:tcMar>
            <w:vAlign w:val="bottom"/>
          </w:tcPr>
          <w:p>
            <w:pPr>
              <w:pStyle w:val="TableContents"/>
              <w:spacing w:before="0" w:after="0"/>
              <w:jc w:val="right"/>
              <w:rPr/>
            </w:pPr>
            <w:r>
              <w:rPr/>
              <w:t>56,960</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bottom w:val="double" w:sz="8" w:space="0" w:color="000000"/>
            </w:tcBorders>
            <w:shd w:fill="FFFFFF" w:val="clear"/>
            <w:tcMar>
              <w:bottom w:w="28" w:type="dxa"/>
            </w:tcMar>
            <w:vAlign w:val="bottom"/>
          </w:tcPr>
          <w:p>
            <w:pPr>
              <w:pStyle w:val="TableContents"/>
              <w:spacing w:before="0" w:after="0"/>
              <w:rPr/>
            </w:pPr>
            <w:r>
              <w:rPr/>
              <w:t>$</w:t>
            </w:r>
          </w:p>
        </w:tc>
        <w:tc>
          <w:tcPr>
            <w:tcW w:w="845" w:type="dxa"/>
            <w:tcBorders>
              <w:bottom w:val="double" w:sz="8" w:space="0" w:color="000000"/>
            </w:tcBorders>
            <w:shd w:fill="FFFFFF" w:val="clear"/>
            <w:tcMar>
              <w:bottom w:w="28" w:type="dxa"/>
            </w:tcMar>
            <w:vAlign w:val="bottom"/>
          </w:tcPr>
          <w:p>
            <w:pPr>
              <w:pStyle w:val="TableContents"/>
              <w:spacing w:before="0" w:after="0"/>
              <w:jc w:val="right"/>
              <w:rPr/>
            </w:pPr>
            <w:r>
              <w:rPr/>
              <w:t>230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bottom w:val="double" w:sz="8" w:space="0" w:color="000000"/>
            </w:tcBorders>
            <w:shd w:fill="FFFFFF" w:val="clear"/>
            <w:tcMar>
              <w:bottom w:w="28" w:type="dxa"/>
            </w:tcMar>
            <w:vAlign w:val="bottom"/>
          </w:tcPr>
          <w:p>
            <w:pPr>
              <w:pStyle w:val="TableContents"/>
              <w:spacing w:before="0" w:after="0"/>
              <w:rPr/>
            </w:pPr>
            <w:r>
              <w:rPr/>
              <w:t>$</w:t>
            </w:r>
          </w:p>
        </w:tc>
        <w:tc>
          <w:tcPr>
            <w:tcW w:w="1065" w:type="dxa"/>
            <w:tcBorders>
              <w:bottom w:val="double" w:sz="8" w:space="0" w:color="000000"/>
            </w:tcBorders>
            <w:shd w:fill="FFFFFF" w:val="clear"/>
            <w:tcMar>
              <w:bottom w:w="28" w:type="dxa"/>
            </w:tcMar>
            <w:vAlign w:val="bottom"/>
          </w:tcPr>
          <w:p>
            <w:pPr>
              <w:pStyle w:val="TableContents"/>
              <w:spacing w:before="0" w:after="0"/>
              <w:jc w:val="right"/>
              <w:rPr/>
            </w:pPr>
            <w:r>
              <w:rPr/>
              <w:t>91,402</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bottom w:val="double" w:sz="8" w:space="0" w:color="000000"/>
            </w:tcBorders>
            <w:shd w:fill="FFFFFF" w:val="clear"/>
            <w:tcMar>
              <w:bottom w:w="28" w:type="dxa"/>
            </w:tcMar>
            <w:vAlign w:val="bottom"/>
          </w:tcPr>
          <w:p>
            <w:pPr>
              <w:pStyle w:val="TableContents"/>
              <w:spacing w:before="0" w:after="0"/>
              <w:rPr/>
            </w:pPr>
            <w:r>
              <w:rPr/>
              <w:t>$</w:t>
            </w:r>
          </w:p>
        </w:tc>
        <w:tc>
          <w:tcPr>
            <w:tcW w:w="846" w:type="dxa"/>
            <w:tcBorders>
              <w:bottom w:val="double" w:sz="8" w:space="0" w:color="000000"/>
            </w:tcBorders>
            <w:shd w:fill="FFFFFF" w:val="clear"/>
            <w:tcMar>
              <w:bottom w:w="28" w:type="dxa"/>
            </w:tcMar>
            <w:vAlign w:val="bottom"/>
          </w:tcPr>
          <w:p>
            <w:pPr>
              <w:pStyle w:val="TableContents"/>
              <w:spacing w:before="0" w:after="0"/>
              <w:jc w:val="right"/>
              <w:rPr/>
            </w:pPr>
            <w:r>
              <w:rPr/>
              <w:t>845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873" w:type="dxa"/>
            <w:tcBorders>
              <w:bottom w:val="double" w:sz="8" w:space="0" w:color="000000"/>
            </w:tcBorders>
            <w:shd w:fill="FFFFFF" w:val="clear"/>
            <w:tcMar>
              <w:bottom w:w="28" w:type="dxa"/>
            </w:tcMar>
            <w:vAlign w:val="bottom"/>
          </w:tcPr>
          <w:p>
            <w:pPr>
              <w:pStyle w:val="TableContents"/>
              <w:spacing w:before="0" w:after="0"/>
              <w:jc w:val="right"/>
              <w:rPr/>
            </w:pPr>
            <w:r>
              <w:rPr/>
              <w:t>148,362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double" w:sz="8" w:space="0" w:color="000000"/>
            </w:tcBorders>
            <w:shd w:fill="FFFFFF" w:val="clear"/>
            <w:tcMar>
              <w:bottom w:w="28" w:type="dxa"/>
            </w:tcMar>
            <w:vAlign w:val="bottom"/>
          </w:tcPr>
          <w:p>
            <w:pPr>
              <w:pStyle w:val="TableContents"/>
              <w:spacing w:before="0" w:after="0"/>
              <w:rPr/>
            </w:pPr>
            <w:r>
              <w:rPr/>
              <w:t>$</w:t>
            </w:r>
          </w:p>
        </w:tc>
        <w:tc>
          <w:tcPr>
            <w:tcW w:w="844" w:type="dxa"/>
            <w:tcBorders>
              <w:bottom w:val="double" w:sz="8" w:space="0" w:color="000000"/>
            </w:tcBorders>
            <w:shd w:fill="FFFFFF" w:val="clear"/>
            <w:tcMar>
              <w:bottom w:w="28" w:type="dxa"/>
            </w:tcMar>
            <w:vAlign w:val="bottom"/>
          </w:tcPr>
          <w:p>
            <w:pPr>
              <w:pStyle w:val="TableContents"/>
              <w:spacing w:before="0" w:after="0"/>
              <w:jc w:val="right"/>
              <w:rPr/>
            </w:pPr>
            <w:r>
              <w:rPr/>
              <w:t>1,075</w:t>
            </w:r>
          </w:p>
        </w:tc>
        <w:tc>
          <w:tcPr>
            <w:tcW w:w="75" w:type="dxa"/>
            <w:tcBorders/>
            <w:shd w:fill="FFFFFF"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 </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144" w:right="0" w:hanging="144"/>
              <w:rPr>
                <w:color w:val="000000"/>
              </w:rPr>
            </w:pPr>
            <w:r>
              <w:rPr>
                <w:color w:val="000000"/>
              </w:rPr>
              <w:t>December 31, 2018</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8" w:type="dxa"/>
            <w:tcBorders/>
            <w:shd w:fill="FFFFFF" w:val="clear"/>
            <w:vAlign w:val="bottom"/>
          </w:tcPr>
          <w:p>
            <w:pPr>
              <w:pStyle w:val="TableContents"/>
              <w:spacing w:before="0" w:after="283"/>
              <w:jc w:val="right"/>
              <w:rPr/>
            </w:pPr>
            <w:r>
              <w:rPr/>
              <w:t> </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065" w:type="dxa"/>
            <w:tcBorders/>
            <w:shd w:fill="FFFFFF" w:val="clear"/>
            <w:vAlign w:val="bottom"/>
          </w:tcPr>
          <w:p>
            <w:pPr>
              <w:pStyle w:val="TableContents"/>
              <w:spacing w:before="0" w:after="283"/>
              <w:jc w:val="right"/>
              <w:rPr/>
            </w:pPr>
            <w:r>
              <w:rPr/>
              <w:t> </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84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0"/>
              <w:ind w:left="324" w:right="0" w:hanging="144"/>
              <w:rPr/>
            </w:pPr>
            <w:r>
              <w:rPr/>
              <w:t>U.S. agency</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0"/>
              <w:rPr/>
            </w:pPr>
            <w:r>
              <w:rPr/>
              <w:t>$</w:t>
            </w:r>
          </w:p>
        </w:tc>
        <w:tc>
          <w:tcPr>
            <w:tcW w:w="1168" w:type="dxa"/>
            <w:tcBorders/>
            <w:shd w:fill="CCEEFF" w:val="clear"/>
            <w:vAlign w:val="bottom"/>
          </w:tcPr>
          <w:p>
            <w:pPr>
              <w:pStyle w:val="TableContents"/>
              <w:spacing w:before="0" w:after="0"/>
              <w:jc w:val="right"/>
              <w:rPr/>
            </w:pPr>
            <w:r>
              <w:rPr/>
              <w:t>7,150</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0"/>
              <w:rPr/>
            </w:pPr>
            <w:r>
              <w:rPr/>
              <w:t>$</w:t>
            </w:r>
          </w:p>
        </w:tc>
        <w:tc>
          <w:tcPr>
            <w:tcW w:w="845" w:type="dxa"/>
            <w:tcBorders/>
            <w:shd w:fill="CCEEFF" w:val="clear"/>
            <w:vAlign w:val="bottom"/>
          </w:tcPr>
          <w:p>
            <w:pPr>
              <w:pStyle w:val="TableContents"/>
              <w:spacing w:before="0" w:after="0"/>
              <w:jc w:val="right"/>
              <w:rPr/>
            </w:pPr>
            <w:r>
              <w:rPr/>
              <w:t>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0"/>
              <w:rPr/>
            </w:pPr>
            <w:r>
              <w:rPr/>
              <w:t>$</w:t>
            </w:r>
          </w:p>
        </w:tc>
        <w:tc>
          <w:tcPr>
            <w:tcW w:w="1065" w:type="dxa"/>
            <w:tcBorders/>
            <w:shd w:fill="CCEEFF" w:val="clear"/>
            <w:vAlign w:val="bottom"/>
          </w:tcPr>
          <w:p>
            <w:pPr>
              <w:pStyle w:val="TableContents"/>
              <w:spacing w:before="0" w:after="0"/>
              <w:jc w:val="right"/>
              <w:rPr/>
            </w:pPr>
            <w:r>
              <w:rPr/>
              <w:t>11,945</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0"/>
              <w:rPr/>
            </w:pPr>
            <w:r>
              <w:rPr/>
              <w:t>$</w:t>
            </w:r>
          </w:p>
        </w:tc>
        <w:tc>
          <w:tcPr>
            <w:tcW w:w="846" w:type="dxa"/>
            <w:tcBorders/>
            <w:shd w:fill="CCEEFF" w:val="clear"/>
            <w:vAlign w:val="bottom"/>
          </w:tcPr>
          <w:p>
            <w:pPr>
              <w:pStyle w:val="TableContents"/>
              <w:spacing w:before="0" w:after="0"/>
              <w:jc w:val="right"/>
              <w:rPr/>
            </w:pPr>
            <w:r>
              <w:rPr/>
              <w:t>147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73" w:type="dxa"/>
            <w:tcBorders/>
            <w:shd w:fill="CCEEFF" w:val="clear"/>
            <w:vAlign w:val="bottom"/>
          </w:tcPr>
          <w:p>
            <w:pPr>
              <w:pStyle w:val="TableContents"/>
              <w:spacing w:before="0" w:after="0"/>
              <w:jc w:val="right"/>
              <w:rPr/>
            </w:pPr>
            <w:r>
              <w:rPr/>
              <w:t>19,095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rPr/>
            </w:pPr>
            <w:r>
              <w:rPr/>
              <w:t>$</w:t>
            </w:r>
          </w:p>
        </w:tc>
        <w:tc>
          <w:tcPr>
            <w:tcW w:w="844" w:type="dxa"/>
            <w:tcBorders/>
            <w:shd w:fill="CCEEFF" w:val="clear"/>
            <w:vAlign w:val="bottom"/>
          </w:tcPr>
          <w:p>
            <w:pPr>
              <w:pStyle w:val="TableContents"/>
              <w:spacing w:before="0" w:after="0"/>
              <w:jc w:val="right"/>
              <w:rPr/>
            </w:pPr>
            <w:r>
              <w:rPr/>
              <w:t>193</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360" w:right="0" w:hanging="180"/>
              <w:rPr/>
            </w:pPr>
            <w:r>
              <w:rPr/>
              <w:t>U.S. agency residential mortgage-backed</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8" w:type="dxa"/>
            <w:tcBorders/>
            <w:shd w:fill="FFFFFF" w:val="clear"/>
            <w:vAlign w:val="bottom"/>
          </w:tcPr>
          <w:p>
            <w:pPr>
              <w:pStyle w:val="TableContents"/>
              <w:spacing w:before="0" w:after="0"/>
              <w:jc w:val="right"/>
              <w:rPr/>
            </w:pPr>
            <w:r>
              <w:rPr/>
              <w:t>18,374</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0"/>
              <w:jc w:val="right"/>
              <w:rPr/>
            </w:pPr>
            <w:r>
              <w:rPr/>
              <w:t>180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065" w:type="dxa"/>
            <w:tcBorders/>
            <w:shd w:fill="FFFFFF" w:val="clear"/>
            <w:vAlign w:val="bottom"/>
          </w:tcPr>
          <w:p>
            <w:pPr>
              <w:pStyle w:val="TableContents"/>
              <w:spacing w:before="0" w:after="0"/>
              <w:jc w:val="right"/>
              <w:rPr/>
            </w:pPr>
            <w:r>
              <w:rPr/>
              <w:t>48,184</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846" w:type="dxa"/>
            <w:tcBorders/>
            <w:shd w:fill="FFFFFF" w:val="clear"/>
            <w:vAlign w:val="bottom"/>
          </w:tcPr>
          <w:p>
            <w:pPr>
              <w:pStyle w:val="TableContents"/>
              <w:spacing w:before="0" w:after="0"/>
              <w:jc w:val="right"/>
              <w:rPr/>
            </w:pPr>
            <w:r>
              <w:rPr/>
              <w:t>1,663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66,558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1,843</w:t>
            </w:r>
          </w:p>
        </w:tc>
        <w:tc>
          <w:tcPr>
            <w:tcW w:w="75" w:type="dxa"/>
            <w:tcBorders/>
            <w:shd w:fill="FFFFFF"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0"/>
              <w:ind w:left="360" w:right="0" w:hanging="180"/>
              <w:rPr/>
            </w:pPr>
            <w:r>
              <w:rPr/>
              <w:t>U.S. agency commercial mortgage-backed</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0"/>
              <w:jc w:val="right"/>
              <w:rPr/>
            </w:pPr>
            <w:r>
              <w:rPr/>
              <w:t>566</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0"/>
              <w:jc w:val="right"/>
              <w:rPr/>
            </w:pPr>
            <w:r>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0"/>
              <w:jc w:val="right"/>
              <w:rPr/>
            </w:pPr>
            <w:r>
              <w:rPr/>
              <w:t>5,094</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0"/>
              <w:jc w:val="right"/>
              <w:rPr/>
            </w:pPr>
            <w:r>
              <w:rPr/>
              <w:t>181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5,660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184</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360" w:right="0" w:hanging="180"/>
              <w:rPr/>
            </w:pPr>
            <w:r>
              <w:rPr/>
              <w:t>Private label mortgage-backed</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8" w:type="dxa"/>
            <w:tcBorders/>
            <w:shd w:fill="FFFFFF" w:val="clear"/>
            <w:vAlign w:val="bottom"/>
          </w:tcPr>
          <w:p>
            <w:pPr>
              <w:pStyle w:val="TableContents"/>
              <w:spacing w:before="0" w:after="0"/>
              <w:jc w:val="right"/>
              <w:rPr/>
            </w:pPr>
            <w:r>
              <w:rPr/>
              <w:t>8,273</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0"/>
              <w:jc w:val="right"/>
              <w:rPr/>
            </w:pPr>
            <w:r>
              <w:rPr/>
              <w:t>57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065" w:type="dxa"/>
            <w:tcBorders/>
            <w:shd w:fill="FFFFFF" w:val="clear"/>
            <w:vAlign w:val="bottom"/>
          </w:tcPr>
          <w:p>
            <w:pPr>
              <w:pStyle w:val="TableContents"/>
              <w:spacing w:before="0" w:after="0"/>
              <w:jc w:val="right"/>
              <w:rPr/>
            </w:pPr>
            <w:r>
              <w:rPr/>
              <w:t>16,145</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846" w:type="dxa"/>
            <w:tcBorders/>
            <w:shd w:fill="FFFFFF" w:val="clear"/>
            <w:vAlign w:val="bottom"/>
          </w:tcPr>
          <w:p>
            <w:pPr>
              <w:pStyle w:val="TableContents"/>
              <w:spacing w:before="0" w:after="0"/>
              <w:jc w:val="right"/>
              <w:rPr/>
            </w:pPr>
            <w:r>
              <w:rPr/>
              <w:t>580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24,418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637</w:t>
            </w:r>
          </w:p>
        </w:tc>
        <w:tc>
          <w:tcPr>
            <w:tcW w:w="75" w:type="dxa"/>
            <w:tcBorders/>
            <w:shd w:fill="FFFFFF"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0"/>
              <w:ind w:left="324" w:right="0" w:hanging="144"/>
              <w:rPr>
                <w:color w:val="000000"/>
              </w:rPr>
            </w:pPr>
            <w:r>
              <w:rPr>
                <w:color w:val="000000"/>
              </w:rPr>
              <w:t>Other asset backed</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0"/>
              <w:jc w:val="right"/>
              <w:rPr/>
            </w:pPr>
            <w:r>
              <w:rPr/>
              <w:t>53,043</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0"/>
              <w:jc w:val="right"/>
              <w:rPr/>
            </w:pPr>
            <w:r>
              <w:rPr/>
              <w:t>160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0"/>
              <w:jc w:val="right"/>
              <w:rPr/>
            </w:pPr>
            <w:r>
              <w:rPr/>
              <w:t>10,235</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0"/>
              <w:jc w:val="right"/>
              <w:rPr/>
            </w:pPr>
            <w:r>
              <w:rPr/>
              <w:t>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63,278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248</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360" w:right="0" w:hanging="180"/>
              <w:rPr/>
            </w:pPr>
            <w:r>
              <w:rPr/>
              <w:t>Obligations of states and political subdivisions</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8" w:type="dxa"/>
            <w:tcBorders/>
            <w:shd w:fill="FFFFFF" w:val="clear"/>
            <w:vAlign w:val="bottom"/>
          </w:tcPr>
          <w:p>
            <w:pPr>
              <w:pStyle w:val="TableContents"/>
              <w:spacing w:before="0" w:after="0"/>
              <w:jc w:val="right"/>
              <w:rPr/>
            </w:pPr>
            <w:r>
              <w:rPr/>
              <w:t>25,423</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0"/>
              <w:jc w:val="right"/>
              <w:rPr/>
            </w:pPr>
            <w:r>
              <w:rPr/>
              <w:t>262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065" w:type="dxa"/>
            <w:tcBorders/>
            <w:shd w:fill="FFFFFF" w:val="clear"/>
            <w:vAlign w:val="bottom"/>
          </w:tcPr>
          <w:p>
            <w:pPr>
              <w:pStyle w:val="TableContents"/>
              <w:spacing w:before="0" w:after="0"/>
              <w:jc w:val="right"/>
              <w:rPr/>
            </w:pPr>
            <w:r>
              <w:rPr/>
              <w:t>80,701</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846" w:type="dxa"/>
            <w:tcBorders/>
            <w:shd w:fill="FFFFFF" w:val="clear"/>
            <w:vAlign w:val="bottom"/>
          </w:tcPr>
          <w:p>
            <w:pPr>
              <w:pStyle w:val="TableContents"/>
              <w:spacing w:before="0" w:after="0"/>
              <w:jc w:val="right"/>
              <w:rPr/>
            </w:pPr>
            <w:r>
              <w:rPr/>
              <w:t>2,684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106,124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2,946</w:t>
            </w:r>
          </w:p>
        </w:tc>
        <w:tc>
          <w:tcPr>
            <w:tcW w:w="75" w:type="dxa"/>
            <w:tcBorders/>
            <w:shd w:fill="FFFFFF"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0"/>
              <w:ind w:left="324" w:right="0" w:hanging="144"/>
              <w:rPr/>
            </w:pPr>
            <w:r>
              <w:rPr/>
              <w:t>Corporate</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0"/>
              <w:jc w:val="right"/>
              <w:rPr/>
            </w:pPr>
            <w:r>
              <w:rPr/>
              <w:t>17,758</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0"/>
              <w:jc w:val="right"/>
              <w:rPr/>
            </w:pPr>
            <w:r>
              <w:rPr/>
              <w:t>343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0"/>
              <w:jc w:val="right"/>
              <w:rPr/>
            </w:pPr>
            <w:r>
              <w:rPr/>
              <w:t>9,222</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0"/>
              <w:jc w:val="right"/>
              <w:rPr/>
            </w:pPr>
            <w:r>
              <w:rPr/>
              <w:t>243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26,980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586</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324" w:right="0" w:hanging="144"/>
              <w:rPr/>
            </w:pPr>
            <w:r>
              <w:rPr/>
              <w:t>Trust preferred</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8" w:type="dxa"/>
            <w:tcBorders/>
            <w:shd w:fill="FFFFFF" w:val="clear"/>
            <w:vAlign w:val="bottom"/>
          </w:tcPr>
          <w:p>
            <w:pPr>
              <w:pStyle w:val="TableContents"/>
              <w:spacing w:before="0" w:after="0"/>
              <w:jc w:val="right"/>
              <w:rPr/>
            </w:pPr>
            <w:r>
              <w:rPr/>
              <w:t>939</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5" w:type="dxa"/>
            <w:tcBorders/>
            <w:shd w:fill="FFFFFF" w:val="clear"/>
            <w:vAlign w:val="bottom"/>
          </w:tcPr>
          <w:p>
            <w:pPr>
              <w:pStyle w:val="TableContents"/>
              <w:spacing w:before="0" w:after="0"/>
              <w:jc w:val="right"/>
              <w:rPr/>
            </w:pPr>
            <w:r>
              <w:rPr/>
              <w:t>61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shd w:fill="FFFFFF" w:val="clear"/>
            <w:vAlign w:val="bottom"/>
          </w:tcPr>
          <w:p>
            <w:pPr>
              <w:pStyle w:val="TableContents"/>
              <w:spacing w:before="0" w:after="283"/>
              <w:rPr/>
            </w:pPr>
            <w:r>
              <w:rPr/>
              <w:t> </w:t>
            </w:r>
          </w:p>
        </w:tc>
        <w:tc>
          <w:tcPr>
            <w:tcW w:w="1065" w:type="dxa"/>
            <w:tcBorders/>
            <w:shd w:fill="FFFFFF" w:val="clear"/>
            <w:vAlign w:val="bottom"/>
          </w:tcPr>
          <w:p>
            <w:pPr>
              <w:pStyle w:val="TableContents"/>
              <w:spacing w:before="0" w:after="0"/>
              <w:jc w:val="right"/>
              <w:rPr/>
            </w:pPr>
            <w:r>
              <w:rPr/>
              <w:t>880</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shd w:fill="FFFFFF" w:val="clear"/>
            <w:vAlign w:val="bottom"/>
          </w:tcPr>
          <w:p>
            <w:pPr>
              <w:pStyle w:val="TableContents"/>
              <w:spacing w:before="0" w:after="283"/>
              <w:rPr/>
            </w:pPr>
            <w:r>
              <w:rPr/>
              <w:t> </w:t>
            </w:r>
          </w:p>
        </w:tc>
        <w:tc>
          <w:tcPr>
            <w:tcW w:w="846" w:type="dxa"/>
            <w:tcBorders/>
            <w:shd w:fill="FFFFFF" w:val="clear"/>
            <w:vAlign w:val="bottom"/>
          </w:tcPr>
          <w:p>
            <w:pPr>
              <w:pStyle w:val="TableContents"/>
              <w:spacing w:before="0" w:after="0"/>
              <w:jc w:val="right"/>
              <w:rPr/>
            </w:pPr>
            <w:r>
              <w:rPr/>
              <w:t>84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1,819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145</w:t>
            </w:r>
          </w:p>
        </w:tc>
        <w:tc>
          <w:tcPr>
            <w:tcW w:w="75" w:type="dxa"/>
            <w:tcBorders/>
            <w:shd w:fill="FFFFFF" w:val="clear"/>
            <w:vAlign w:val="bottom"/>
          </w:tcPr>
          <w:p>
            <w:pPr>
              <w:pStyle w:val="TableContents"/>
              <w:spacing w:before="0" w:after="283"/>
              <w:rPr/>
            </w:pPr>
            <w:r>
              <w:rPr/>
              <w:t> </w:t>
            </w:r>
          </w:p>
        </w:tc>
      </w:tr>
      <w:tr>
        <w:trPr/>
        <w:tc>
          <w:tcPr>
            <w:tcW w:w="2565" w:type="dxa"/>
            <w:tcBorders/>
            <w:shd w:fill="CCEEFF" w:val="clear"/>
            <w:vAlign w:val="bottom"/>
          </w:tcPr>
          <w:p>
            <w:pPr>
              <w:pStyle w:val="TableContents"/>
              <w:spacing w:before="0" w:after="0"/>
              <w:ind w:left="324" w:right="0" w:hanging="144"/>
              <w:rPr>
                <w:color w:val="000000"/>
              </w:rPr>
            </w:pPr>
            <w:r>
              <w:rPr>
                <w:color w:val="000000"/>
              </w:rPr>
              <w:t>Foreign government</w:t>
            </w:r>
          </w:p>
        </w:tc>
        <w:tc>
          <w:tcPr>
            <w:tcW w:w="60" w:type="dxa"/>
            <w:tcBorders/>
            <w:shd w:fill="CCEEFF" w:val="clear"/>
            <w:vAlign w:val="bottom"/>
          </w:tcPr>
          <w:p>
            <w:pPr>
              <w:pStyle w:val="TableContents"/>
              <w:spacing w:before="0" w:after="283"/>
              <w:rPr/>
            </w:pPr>
            <w:r>
              <w:rPr/>
              <w:t> </w:t>
            </w:r>
          </w:p>
        </w:tc>
        <w:tc>
          <w:tcPr>
            <w:tcW w:w="20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6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8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0"/>
              <w:jc w:val="right"/>
              <w:rPr/>
            </w:pPr>
            <w:r>
              <w:rPr/>
              <w:t>2,014</w:t>
            </w:r>
          </w:p>
        </w:tc>
        <w:tc>
          <w:tcPr>
            <w:tcW w:w="79"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6" w:type="dxa"/>
            <w:tcBorders>
              <w:bottom w:val="single" w:sz="12" w:space="0" w:color="000000"/>
            </w:tcBorders>
            <w:shd w:fill="CCEEFF" w:val="clear"/>
            <w:tcMar>
              <w:bottom w:w="28" w:type="dxa"/>
            </w:tcMar>
            <w:vAlign w:val="bottom"/>
          </w:tcPr>
          <w:p>
            <w:pPr>
              <w:pStyle w:val="TableContents"/>
              <w:spacing w:before="0" w:after="0"/>
              <w:jc w:val="right"/>
              <w:rPr/>
            </w:pPr>
            <w:r>
              <w:rPr/>
              <w:t>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3" w:type="dxa"/>
            <w:tcBorders>
              <w:bottom w:val="single" w:sz="12" w:space="0" w:color="000000"/>
            </w:tcBorders>
            <w:shd w:fill="CCEEFF" w:val="clear"/>
            <w:tcMar>
              <w:bottom w:w="28" w:type="dxa"/>
            </w:tcMar>
            <w:vAlign w:val="bottom"/>
          </w:tcPr>
          <w:p>
            <w:pPr>
              <w:pStyle w:val="TableContents"/>
              <w:spacing w:before="0" w:after="0"/>
              <w:jc w:val="right"/>
              <w:rPr/>
            </w:pPr>
            <w:r>
              <w:rPr/>
              <w:t>2,014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36</w:t>
            </w:r>
          </w:p>
        </w:tc>
        <w:tc>
          <w:tcPr>
            <w:tcW w:w="75" w:type="dxa"/>
            <w:tcBorders/>
            <w:shd w:fill="CCEEFF" w:val="clear"/>
            <w:vAlign w:val="bottom"/>
          </w:tcPr>
          <w:p>
            <w:pPr>
              <w:pStyle w:val="TableContents"/>
              <w:spacing w:before="0" w:after="283"/>
              <w:rPr/>
            </w:pPr>
            <w:r>
              <w:rPr/>
              <w:t> </w:t>
            </w:r>
          </w:p>
        </w:tc>
      </w:tr>
      <w:tr>
        <w:trPr/>
        <w:tc>
          <w:tcPr>
            <w:tcW w:w="2565" w:type="dxa"/>
            <w:tcBorders/>
            <w:shd w:fill="FFFFFF" w:val="clear"/>
            <w:vAlign w:val="bottom"/>
          </w:tcPr>
          <w:p>
            <w:pPr>
              <w:pStyle w:val="TableContents"/>
              <w:spacing w:before="0" w:after="0"/>
              <w:ind w:left="504" w:right="0" w:hanging="144"/>
              <w:rPr/>
            </w:pPr>
            <w:r>
              <w:rPr/>
              <w:t>Total</w:t>
            </w:r>
          </w:p>
        </w:tc>
        <w:tc>
          <w:tcPr>
            <w:tcW w:w="60" w:type="dxa"/>
            <w:tcBorders/>
            <w:shd w:fill="FFFFFF" w:val="clear"/>
            <w:vAlign w:val="bottom"/>
          </w:tcPr>
          <w:p>
            <w:pPr>
              <w:pStyle w:val="TableContents"/>
              <w:spacing w:before="0" w:after="283"/>
              <w:rPr/>
            </w:pPr>
            <w:r>
              <w:rPr/>
              <w:t> </w:t>
            </w:r>
          </w:p>
        </w:tc>
        <w:tc>
          <w:tcPr>
            <w:tcW w:w="204" w:type="dxa"/>
            <w:tcBorders>
              <w:bottom w:val="double" w:sz="8" w:space="0" w:color="000000"/>
            </w:tcBorders>
            <w:shd w:fill="FFFFFF" w:val="clear"/>
            <w:tcMar>
              <w:bottom w:w="28" w:type="dxa"/>
            </w:tcMar>
            <w:vAlign w:val="bottom"/>
          </w:tcPr>
          <w:p>
            <w:pPr>
              <w:pStyle w:val="TableContents"/>
              <w:spacing w:before="0" w:after="0"/>
              <w:rPr/>
            </w:pPr>
            <w:r>
              <w:rPr/>
              <w:t>$</w:t>
            </w:r>
          </w:p>
        </w:tc>
        <w:tc>
          <w:tcPr>
            <w:tcW w:w="1168" w:type="dxa"/>
            <w:tcBorders>
              <w:bottom w:val="double" w:sz="8" w:space="0" w:color="000000"/>
            </w:tcBorders>
            <w:shd w:fill="FFFFFF" w:val="clear"/>
            <w:tcMar>
              <w:bottom w:w="28" w:type="dxa"/>
            </w:tcMar>
            <w:vAlign w:val="bottom"/>
          </w:tcPr>
          <w:p>
            <w:pPr>
              <w:pStyle w:val="TableContents"/>
              <w:spacing w:before="0" w:after="0"/>
              <w:jc w:val="right"/>
              <w:rPr/>
            </w:pPr>
            <w:r>
              <w:rPr/>
              <w:t>131,526</w:t>
            </w:r>
          </w:p>
        </w:tc>
        <w:tc>
          <w:tcPr>
            <w:tcW w:w="87"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rPr/>
            </w:pPr>
            <w:r>
              <w:rPr/>
              <w:t> </w:t>
            </w:r>
          </w:p>
        </w:tc>
        <w:tc>
          <w:tcPr>
            <w:tcW w:w="210" w:type="dxa"/>
            <w:tcBorders>
              <w:bottom w:val="double" w:sz="8" w:space="0" w:color="000000"/>
            </w:tcBorders>
            <w:shd w:fill="FFFFFF" w:val="clear"/>
            <w:tcMar>
              <w:bottom w:w="28" w:type="dxa"/>
            </w:tcMar>
            <w:vAlign w:val="bottom"/>
          </w:tcPr>
          <w:p>
            <w:pPr>
              <w:pStyle w:val="TableContents"/>
              <w:spacing w:before="0" w:after="0"/>
              <w:rPr/>
            </w:pPr>
            <w:r>
              <w:rPr/>
              <w:t>$</w:t>
            </w:r>
          </w:p>
        </w:tc>
        <w:tc>
          <w:tcPr>
            <w:tcW w:w="845" w:type="dxa"/>
            <w:tcBorders>
              <w:bottom w:val="double" w:sz="8" w:space="0" w:color="000000"/>
            </w:tcBorders>
            <w:shd w:fill="FFFFFF" w:val="clear"/>
            <w:tcMar>
              <w:bottom w:w="28" w:type="dxa"/>
            </w:tcMar>
            <w:vAlign w:val="bottom"/>
          </w:tcPr>
          <w:p>
            <w:pPr>
              <w:pStyle w:val="TableContents"/>
              <w:spacing w:before="0" w:after="0"/>
              <w:jc w:val="right"/>
              <w:rPr/>
            </w:pPr>
            <w:r>
              <w:rPr/>
              <w:t>1,112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6" w:type="dxa"/>
            <w:tcBorders>
              <w:bottom w:val="double" w:sz="8" w:space="0" w:color="000000"/>
            </w:tcBorders>
            <w:shd w:fill="FFFFFF" w:val="clear"/>
            <w:tcMar>
              <w:bottom w:w="28" w:type="dxa"/>
            </w:tcMar>
            <w:vAlign w:val="bottom"/>
          </w:tcPr>
          <w:p>
            <w:pPr>
              <w:pStyle w:val="TableContents"/>
              <w:spacing w:before="0" w:after="0"/>
              <w:rPr/>
            </w:pPr>
            <w:r>
              <w:rPr/>
              <w:t>$</w:t>
            </w:r>
          </w:p>
        </w:tc>
        <w:tc>
          <w:tcPr>
            <w:tcW w:w="1065" w:type="dxa"/>
            <w:tcBorders>
              <w:bottom w:val="double" w:sz="8" w:space="0" w:color="000000"/>
            </w:tcBorders>
            <w:shd w:fill="FFFFFF" w:val="clear"/>
            <w:tcMar>
              <w:bottom w:w="28" w:type="dxa"/>
            </w:tcMar>
            <w:vAlign w:val="bottom"/>
          </w:tcPr>
          <w:p>
            <w:pPr>
              <w:pStyle w:val="TableContents"/>
              <w:spacing w:before="0" w:after="0"/>
              <w:jc w:val="right"/>
              <w:rPr/>
            </w:pPr>
            <w:r>
              <w:rPr/>
              <w:t>184,420</w:t>
            </w:r>
          </w:p>
        </w:tc>
        <w:tc>
          <w:tcPr>
            <w:tcW w:w="79" w:type="dxa"/>
            <w:tcBorders/>
            <w:shd w:fill="FFFFFF" w:val="clear"/>
            <w:vAlign w:val="bottom"/>
          </w:tcPr>
          <w:p>
            <w:pPr>
              <w:pStyle w:val="TableContents"/>
              <w:spacing w:before="0" w:after="283"/>
              <w:rPr/>
            </w:pPr>
            <w:r>
              <w:rPr/>
              <w:t> </w:t>
            </w:r>
          </w:p>
        </w:tc>
        <w:tc>
          <w:tcPr>
            <w:tcW w:w="79" w:type="dxa"/>
            <w:tcBorders/>
            <w:shd w:fill="FFFFFF" w:val="clear"/>
            <w:vAlign w:val="bottom"/>
          </w:tcPr>
          <w:p>
            <w:pPr>
              <w:pStyle w:val="TableContents"/>
              <w:spacing w:before="0" w:after="283"/>
              <w:rPr/>
            </w:pPr>
            <w:r>
              <w:rPr/>
              <w:t> </w:t>
            </w:r>
          </w:p>
        </w:tc>
        <w:tc>
          <w:tcPr>
            <w:tcW w:w="209" w:type="dxa"/>
            <w:tcBorders>
              <w:bottom w:val="double" w:sz="8" w:space="0" w:color="000000"/>
            </w:tcBorders>
            <w:shd w:fill="FFFFFF" w:val="clear"/>
            <w:tcMar>
              <w:bottom w:w="28" w:type="dxa"/>
            </w:tcMar>
            <w:vAlign w:val="bottom"/>
          </w:tcPr>
          <w:p>
            <w:pPr>
              <w:pStyle w:val="TableContents"/>
              <w:spacing w:before="0" w:after="0"/>
              <w:rPr/>
            </w:pPr>
            <w:r>
              <w:rPr/>
              <w:t>$</w:t>
            </w:r>
          </w:p>
        </w:tc>
        <w:tc>
          <w:tcPr>
            <w:tcW w:w="846" w:type="dxa"/>
            <w:tcBorders>
              <w:bottom w:val="double" w:sz="8" w:space="0" w:color="000000"/>
            </w:tcBorders>
            <w:shd w:fill="FFFFFF" w:val="clear"/>
            <w:tcMar>
              <w:bottom w:w="28" w:type="dxa"/>
            </w:tcMar>
            <w:vAlign w:val="bottom"/>
          </w:tcPr>
          <w:p>
            <w:pPr>
              <w:pStyle w:val="TableContents"/>
              <w:spacing w:before="0" w:after="0"/>
              <w:jc w:val="right"/>
              <w:rPr/>
            </w:pPr>
            <w:r>
              <w:rPr/>
              <w:t>5,706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873" w:type="dxa"/>
            <w:tcBorders>
              <w:bottom w:val="double" w:sz="8" w:space="0" w:color="000000"/>
            </w:tcBorders>
            <w:shd w:fill="FFFFFF" w:val="clear"/>
            <w:tcMar>
              <w:bottom w:w="28" w:type="dxa"/>
            </w:tcMar>
            <w:vAlign w:val="bottom"/>
          </w:tcPr>
          <w:p>
            <w:pPr>
              <w:pStyle w:val="TableContents"/>
              <w:spacing w:before="0" w:after="0"/>
              <w:jc w:val="right"/>
              <w:rPr/>
            </w:pPr>
            <w:r>
              <w:rPr/>
              <w:t>315,946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double" w:sz="8" w:space="0" w:color="000000"/>
            </w:tcBorders>
            <w:shd w:fill="FFFFFF" w:val="clear"/>
            <w:tcMar>
              <w:bottom w:w="28" w:type="dxa"/>
            </w:tcMar>
            <w:vAlign w:val="bottom"/>
          </w:tcPr>
          <w:p>
            <w:pPr>
              <w:pStyle w:val="TableContents"/>
              <w:spacing w:before="0" w:after="0"/>
              <w:rPr/>
            </w:pPr>
            <w:r>
              <w:rPr/>
              <w:t>$</w:t>
            </w:r>
          </w:p>
        </w:tc>
        <w:tc>
          <w:tcPr>
            <w:tcW w:w="844" w:type="dxa"/>
            <w:tcBorders>
              <w:bottom w:val="double" w:sz="8" w:space="0" w:color="000000"/>
            </w:tcBorders>
            <w:shd w:fill="FFFFFF" w:val="clear"/>
            <w:tcMar>
              <w:bottom w:w="28" w:type="dxa"/>
            </w:tcMar>
            <w:vAlign w:val="bottom"/>
          </w:tcPr>
          <w:p>
            <w:pPr>
              <w:pStyle w:val="TableContents"/>
              <w:spacing w:before="0" w:after="0"/>
              <w:jc w:val="right"/>
              <w:rPr/>
            </w:pPr>
            <w:r>
              <w:rPr/>
              <w:t>6,818</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0" w:name="DSPFPageBreakArea11"/>
      <w:bookmarkStart w:id="141" w:name="DSPFPageBreakArea11"/>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42" w:name="DSPFPageNumber11"/>
      <w:bookmarkStart w:id="143" w:name="DSPFPageNumberArea10"/>
      <w:bookmarkEnd w:id="142"/>
      <w:bookmarkEnd w:id="143"/>
      <w:r>
        <w:rPr>
          <w:b w:val="false"/>
          <w:i w:val="false"/>
          <w:caps w:val="false"/>
          <w:smallCaps w:val="false"/>
          <w:sz w:val="13"/>
        </w:rPr>
        <w:t>12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4" w:name="DSPFPageBreak11"/>
      <w:bookmarkStart w:id="145" w:name="DSPFPageBreak11"/>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146" w:name="DSPFPageHeader10"/>
        <w:bookmarkEnd w:id="146"/>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color w:val="231F20"/>
        </w:rPr>
        <w:t>U.S. agency, U.S. agency residential mortgage-backed securities and U.S. agency commercial mortgage backed securities — at June 30, 2019, we had 22 U.S. agency, 104 U.S. agency residential mortgage-backed and nine</w:t>
      </w:r>
      <w:r>
        <w:rPr/>
        <w:t> </w:t>
      </w:r>
      <w:r>
        <w:rPr>
          <w:color w:val="231F20"/>
        </w:rPr>
        <w:t>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pStyle w:val="TextBody"/>
        <w:spacing w:before="0" w:after="0"/>
        <w:rPr/>
      </w:pPr>
      <w:r>
        <w:rPr/>
      </w:r>
    </w:p>
    <w:p>
      <w:pPr>
        <w:pStyle w:val="TextBody"/>
        <w:spacing w:before="0" w:after="0"/>
        <w:jc w:val="both"/>
        <w:rPr/>
      </w:pPr>
      <w:r>
        <w:rPr>
          <w:color w:val="231F20"/>
        </w:rPr>
        <w:t>Private label mortgage backed securities — at June 30, 2019, we</w:t>
      </w:r>
      <w:r>
        <w:rPr/>
        <w:t xml:space="preserve"> had 11 of this type of security whose fair value is less than amortized cost. </w:t>
      </w:r>
      <w:r>
        <w:rPr>
          <w:color w:val="231F20"/>
        </w:rPr>
        <w:t>Unrealized losses are primarily due to credit spread widening and increases in interest rates since their acquisition.</w:t>
      </w:r>
    </w:p>
    <w:p>
      <w:pPr>
        <w:pStyle w:val="TextBody"/>
        <w:spacing w:before="0" w:after="0"/>
        <w:rPr/>
      </w:pPr>
      <w:r>
        <w:rPr/>
      </w:r>
    </w:p>
    <w:p>
      <w:pPr>
        <w:pStyle w:val="TextBody"/>
        <w:spacing w:before="0" w:after="0"/>
        <w:jc w:val="both"/>
        <w:rPr/>
      </w:pPr>
      <w:r>
        <w:rPr/>
        <w:t>Two private label mortgage-backed securities (including two of the three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 See further discussion below.</w:t>
      </w:r>
    </w:p>
    <w:p>
      <w:pPr>
        <w:pStyle w:val="TextBody"/>
        <w:spacing w:before="0" w:after="0"/>
        <w:rPr/>
      </w:pPr>
      <w:r>
        <w:rPr/>
      </w:r>
    </w:p>
    <w:p>
      <w:pPr>
        <w:pStyle w:val="TextBody"/>
        <w:spacing w:before="0" w:after="0"/>
        <w:jc w:val="both"/>
        <w:rPr/>
      </w:pPr>
      <w:r>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pStyle w:val="TextBody"/>
        <w:spacing w:before="0" w:after="0"/>
        <w:rPr/>
      </w:pPr>
      <w:r>
        <w:rPr/>
      </w:r>
    </w:p>
    <w:p>
      <w:pPr>
        <w:pStyle w:val="TextBody"/>
        <w:spacing w:before="0" w:after="0"/>
        <w:jc w:val="both"/>
        <w:rPr>
          <w:color w:val="231F20"/>
        </w:rPr>
      </w:pPr>
      <w:r>
        <w:rPr>
          <w:color w:val="231F20"/>
        </w:rPr>
        <w:t>Other asset backed — at June 30, 2019, we had 65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pStyle w:val="TextBody"/>
        <w:spacing w:before="0" w:after="0"/>
        <w:rPr/>
      </w:pPr>
      <w:r>
        <w:rPr/>
      </w:r>
    </w:p>
    <w:p>
      <w:pPr>
        <w:pStyle w:val="TextBody"/>
        <w:spacing w:before="0" w:after="0"/>
        <w:jc w:val="both"/>
        <w:rPr/>
      </w:pPr>
      <w:r>
        <w:rPr>
          <w:color w:val="231F20"/>
        </w:rPr>
        <w:t xml:space="preserve">Obligations of states and political subdivisions — at June 30, 2019, we had 86 municipal securities whose fair value is less than amortized cost. </w:t>
      </w:r>
      <w:r>
        <w:rPr/>
        <w:t xml:space="preserve">The unrealized losses are primarily due to wider benchmark pricing spreads and increases in interest rates since acquisition. </w:t>
      </w:r>
      <w:r>
        <w:rPr>
          <w:color w:val="231F20"/>
        </w:rPr>
        <w:t>As management does not intend to liquidate these securities and it is more likely than not that we will not be required to sell these securities prior to recovery of these unrealized losses, no declines are deemed to be other than temporary.</w:t>
      </w:r>
    </w:p>
    <w:p>
      <w:pPr>
        <w:pStyle w:val="TextBody"/>
        <w:spacing w:before="0" w:after="0"/>
        <w:rPr/>
      </w:pPr>
      <w:r>
        <w:rPr/>
      </w:r>
    </w:p>
    <w:p>
      <w:pPr>
        <w:pStyle w:val="TextBody"/>
        <w:spacing w:before="0" w:after="0"/>
        <w:jc w:val="both"/>
        <w:rPr>
          <w:color w:val="231F20"/>
        </w:rPr>
      </w:pPr>
      <w:r>
        <w:rPr>
          <w:color w:val="231F20"/>
        </w:rPr>
        <w:t>Corporate — at June 30, 2019, we had five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pStyle w:val="TextBody"/>
        <w:spacing w:before="0" w:after="0"/>
        <w:jc w:val="both"/>
        <w:rPr>
          <w:color w:val="231F20"/>
        </w:rPr>
      </w:pPr>
      <w:r>
        <w:rPr>
          <w:color w:val="231F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7" w:name="DSPFPageBreakArea12"/>
      <w:bookmarkStart w:id="148" w:name="DSPFPageBreakArea12"/>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49" w:name="DSPFPageNumber12"/>
      <w:bookmarkStart w:id="150" w:name="DSPFPageNumberArea11"/>
      <w:bookmarkEnd w:id="149"/>
      <w:bookmarkEnd w:id="150"/>
      <w:r>
        <w:rPr>
          <w:b w:val="false"/>
          <w:i w:val="false"/>
          <w:caps w:val="false"/>
          <w:smallCaps w:val="false"/>
          <w:sz w:val="13"/>
        </w:rPr>
        <w:t>13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1" w:name="DSPFPageBreak12"/>
      <w:bookmarkStart w:id="152" w:name="DSPFPageBreak12"/>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153" w:name="DSPFPageHeader11"/>
        <w:bookmarkEnd w:id="153"/>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color w:val="231F20"/>
        </w:rPr>
        <w:t xml:space="preserve">Trust preferred securities — at June 30, 2019, </w:t>
      </w:r>
      <w:r>
        <w:rPr/>
        <w:t>we had two trust preferred securities whose fair value is less than amortized cost. 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$0.94 million as of June 30, 2019, continues to have satisfactory credit metrics and make interest payments. As management does not intend to liquidate this security and it is more likely than not that we will not be required to sell this security prior to recovery of the unrealized loss, this decline is not deemed to be other than temporary.</w:t>
      </w:r>
    </w:p>
    <w:p>
      <w:pPr>
        <w:pStyle w:val="TextBody"/>
        <w:spacing w:before="0" w:after="0"/>
        <w:jc w:val="both"/>
        <w:rPr/>
      </w:pPr>
      <w:r>
        <w:rPr/>
      </w:r>
    </w:p>
    <w:p>
      <w:pPr>
        <w:pStyle w:val="TextBody"/>
        <w:spacing w:before="0" w:after="0"/>
        <w:ind w:left="0" w:right="113" w:hanging="0"/>
        <w:jc w:val="both"/>
        <w:rPr/>
      </w:pPr>
      <w:r>
        <w:rPr>
          <w:color w:val="231F20"/>
        </w:rPr>
        <w:t xml:space="preserve">Foreign government — at June 30, 2019, we had </w:t>
      </w:r>
      <w:r>
        <w:rPr/>
        <w:t>one</w:t>
      </w:r>
      <w:r>
        <w:rPr>
          <w:color w:val="231F20"/>
        </w:rPr>
        <w:t xml:space="preserve"> foreign government security whose fair value is less than amortized cost. The unrealized loss is primarily due to increases in interest rates since acquisition. As management does not intend to liquidate this security and it is more likely than not that we will not be required to sell this security prior to recovery of this unrealized loss, this decline is not deemed to be other than temporary.</w:t>
      </w:r>
    </w:p>
    <w:p>
      <w:pPr>
        <w:pStyle w:val="TextBody"/>
        <w:spacing w:before="0" w:after="0"/>
        <w:rPr/>
      </w:pPr>
      <w:r>
        <w:rPr/>
      </w:r>
    </w:p>
    <w:p>
      <w:pPr>
        <w:pStyle w:val="TextBody"/>
        <w:spacing w:before="0" w:after="0"/>
        <w:jc w:val="both"/>
        <w:rPr/>
      </w:pPr>
      <w:r>
        <w:rPr/>
        <w:t>We recorded no credit related OTTI charges in our Condensed Consolidated Statements of Operations related to securities available for sale during the three and six month periods ended June 30, 2019 and 2018, respectively.</w:t>
      </w:r>
    </w:p>
    <w:p>
      <w:pPr>
        <w:pStyle w:val="TextBody"/>
        <w:spacing w:before="0" w:after="0"/>
        <w:rPr/>
      </w:pPr>
      <w:r>
        <w:rPr/>
      </w:r>
    </w:p>
    <w:p>
      <w:pPr>
        <w:pStyle w:val="TextBody"/>
        <w:spacing w:before="0" w:after="0"/>
        <w:jc w:val="both"/>
        <w:rPr/>
      </w:pPr>
      <w:r>
        <w:rPr/>
        <w:t>At June 30, 2019, three private label mortgage-backed securities had credit related OTTI and are summarized as follows:</w:t>
      </w:r>
    </w:p>
    <w:p>
      <w:pPr>
        <w:pStyle w:val="TextBody"/>
        <w:spacing w:before="0" w:after="0"/>
        <w:rPr/>
      </w:pPr>
      <w:r>
        <w:rPr/>
      </w:r>
    </w:p>
    <w:p>
      <w:pPr>
        <w:pStyle w:val="Normal"/>
        <w:spacing w:before="0" w:after="0"/>
        <w:rPr>
          <w:sz w:val="4"/>
          <w:szCs w:val="4"/>
        </w:rPr>
      </w:pPr>
      <w:r>
        <w:rPr>
          <w:sz w:val="4"/>
          <w:szCs w:val="4"/>
        </w:rPr>
      </w:r>
      <w:bookmarkStart w:id="154" w:name="z04ed48fef9b14dcc9473c9e44870b801"/>
      <w:bookmarkStart w:id="155" w:name="z04ed48fef9b14dcc9473c9e44870b801"/>
      <w:bookmarkEnd w:id="155"/>
    </w:p>
    <w:tbl>
      <w:tblPr>
        <w:tblW w:w="6585" w:type="dxa"/>
        <w:jc w:val="center"/>
        <w:tblInd w:w="0" w:type="dxa"/>
        <w:tblCellMar>
          <w:top w:w="0" w:type="dxa"/>
          <w:left w:w="0" w:type="dxa"/>
          <w:bottom w:w="0" w:type="dxa"/>
          <w:right w:w="0" w:type="dxa"/>
        </w:tblCellMar>
      </w:tblPr>
      <w:tblGrid>
        <w:gridCol w:w="3005"/>
        <w:gridCol w:w="60"/>
        <w:gridCol w:w="215"/>
        <w:gridCol w:w="585"/>
        <w:gridCol w:w="60"/>
        <w:gridCol w:w="60"/>
        <w:gridCol w:w="215"/>
        <w:gridCol w:w="585"/>
        <w:gridCol w:w="60"/>
        <w:gridCol w:w="60"/>
        <w:gridCol w:w="215"/>
        <w:gridCol w:w="585"/>
        <w:gridCol w:w="60"/>
        <w:gridCol w:w="60"/>
        <w:gridCol w:w="140"/>
        <w:gridCol w:w="560"/>
        <w:gridCol w:w="60"/>
      </w:tblGrid>
      <w:tr>
        <w:trPr/>
        <w:tc>
          <w:tcPr>
            <w:tcW w:w="30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Senior</w:t>
            </w:r>
          </w:p>
          <w:p>
            <w:pPr>
              <w:pStyle w:val="TableContents"/>
              <w:spacing w:before="0" w:after="0"/>
              <w:jc w:val="center"/>
              <w:rPr>
                <w:color w:val="000000"/>
              </w:rPr>
            </w:pPr>
            <w:r>
              <w:rPr>
                <w:color w:val="000000"/>
              </w:rPr>
              <w:t>Security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Super</w:t>
            </w:r>
          </w:p>
          <w:p>
            <w:pPr>
              <w:pStyle w:val="TableContents"/>
              <w:spacing w:before="0" w:after="0"/>
              <w:jc w:val="center"/>
              <w:rPr>
                <w:color w:val="000000"/>
              </w:rPr>
            </w:pPr>
            <w:r>
              <w:rPr>
                <w:color w:val="000000"/>
              </w:rPr>
              <w:t>Senior</w:t>
            </w:r>
          </w:p>
          <w:p>
            <w:pPr>
              <w:pStyle w:val="TableContents"/>
              <w:spacing w:before="0" w:after="0"/>
              <w:jc w:val="center"/>
              <w:rPr>
                <w:color w:val="000000"/>
              </w:rPr>
            </w:pPr>
            <w:r>
              <w:rPr>
                <w:color w:val="000000"/>
              </w:rPr>
              <w:t>Security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Senior</w:t>
            </w:r>
          </w:p>
          <w:p>
            <w:pPr>
              <w:pStyle w:val="TableContents"/>
              <w:spacing w:before="0" w:after="0"/>
              <w:jc w:val="center"/>
              <w:rPr>
                <w:color w:val="000000"/>
              </w:rPr>
            </w:pPr>
            <w:r>
              <w:rPr>
                <w:color w:val="000000"/>
              </w:rPr>
              <w:t>Support</w:t>
            </w:r>
          </w:p>
          <w:p>
            <w:pPr>
              <w:pStyle w:val="TableContents"/>
              <w:spacing w:before="0" w:after="0"/>
              <w:jc w:val="center"/>
              <w:rPr>
                <w:color w:val="000000"/>
              </w:rPr>
            </w:pPr>
            <w:r>
              <w:rPr>
                <w:color w:val="000000"/>
              </w:rPr>
              <w:t>Security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60" w:type="dxa"/>
            <w:tcBorders/>
            <w:shd w:fill="auto" w:val="clear"/>
            <w:vAlign w:val="bottom"/>
          </w:tcPr>
          <w:p>
            <w:pPr>
              <w:pStyle w:val="TableContents"/>
              <w:spacing w:before="0" w:after="283"/>
              <w:rPr/>
            </w:pPr>
            <w:r>
              <w:rPr/>
              <w:t> </w:t>
            </w:r>
          </w:p>
        </w:tc>
      </w:tr>
      <w:tr>
        <w:trPr/>
        <w:tc>
          <w:tcPr>
            <w:tcW w:w="30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60" w:type="dxa"/>
            <w:gridSpan w:val="14"/>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r>
      <w:tr>
        <w:trPr/>
        <w:tc>
          <w:tcPr>
            <w:tcW w:w="30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005" w:type="dxa"/>
            <w:tcBorders/>
            <w:shd w:fill="CCEEFF" w:val="clear"/>
            <w:vAlign w:val="bottom"/>
          </w:tcPr>
          <w:p>
            <w:pPr>
              <w:pStyle w:val="TableContents"/>
              <w:spacing w:before="0" w:after="0"/>
              <w:ind w:left="144" w:right="0" w:hanging="144"/>
              <w:rPr/>
            </w:pPr>
            <w:r>
              <w:rPr/>
              <w:t>Fair value</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0"/>
              <w:rPr/>
            </w:pPr>
            <w:r>
              <w:rPr/>
              <w:t>$</w:t>
            </w:r>
          </w:p>
        </w:tc>
        <w:tc>
          <w:tcPr>
            <w:tcW w:w="585" w:type="dxa"/>
            <w:tcBorders/>
            <w:shd w:fill="CCEEFF" w:val="clear"/>
            <w:vAlign w:val="bottom"/>
          </w:tcPr>
          <w:p>
            <w:pPr>
              <w:pStyle w:val="TableContents"/>
              <w:spacing w:before="0" w:after="0"/>
              <w:jc w:val="right"/>
              <w:rPr/>
            </w:pPr>
            <w:r>
              <w:rPr/>
              <w:t>713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0"/>
              <w:rPr/>
            </w:pPr>
            <w:r>
              <w:rPr/>
              <w:t>$</w:t>
            </w:r>
          </w:p>
        </w:tc>
        <w:tc>
          <w:tcPr>
            <w:tcW w:w="585" w:type="dxa"/>
            <w:tcBorders/>
            <w:shd w:fill="CCEEFF" w:val="clear"/>
            <w:vAlign w:val="bottom"/>
          </w:tcPr>
          <w:p>
            <w:pPr>
              <w:pStyle w:val="TableContents"/>
              <w:spacing w:before="0" w:after="0"/>
              <w:jc w:val="right"/>
              <w:rPr/>
            </w:pPr>
            <w:r>
              <w:rPr/>
              <w:t>700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0"/>
              <w:rPr/>
            </w:pPr>
            <w:r>
              <w:rPr/>
              <w:t>$</w:t>
            </w:r>
          </w:p>
        </w:tc>
        <w:tc>
          <w:tcPr>
            <w:tcW w:w="585" w:type="dxa"/>
            <w:tcBorders/>
            <w:shd w:fill="CCEEFF" w:val="clear"/>
            <w:vAlign w:val="bottom"/>
          </w:tcPr>
          <w:p>
            <w:pPr>
              <w:pStyle w:val="TableContents"/>
              <w:spacing w:before="0" w:after="0"/>
              <w:jc w:val="right"/>
              <w:rPr/>
            </w:pPr>
            <w:r>
              <w:rPr/>
              <w:t>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1,430</w:t>
            </w:r>
          </w:p>
        </w:tc>
        <w:tc>
          <w:tcPr>
            <w:tcW w:w="60" w:type="dxa"/>
            <w:tcBorders/>
            <w:shd w:fill="CCEEFF" w:val="clear"/>
            <w:vAlign w:val="bottom"/>
          </w:tcPr>
          <w:p>
            <w:pPr>
              <w:pStyle w:val="TableContents"/>
              <w:spacing w:before="0" w:after="283"/>
              <w:rPr/>
            </w:pPr>
            <w:r>
              <w:rPr/>
              <w:t> </w:t>
            </w:r>
          </w:p>
        </w:tc>
      </w:tr>
      <w:tr>
        <w:trPr/>
        <w:tc>
          <w:tcPr>
            <w:tcW w:w="3005" w:type="dxa"/>
            <w:tcBorders/>
            <w:shd w:fill="FFFFFF" w:val="clear"/>
            <w:vAlign w:val="bottom"/>
          </w:tcPr>
          <w:p>
            <w:pPr>
              <w:pStyle w:val="TableContents"/>
              <w:spacing w:before="0" w:after="0"/>
              <w:ind w:left="144" w:right="0" w:hanging="144"/>
              <w:rPr/>
            </w:pPr>
            <w:r>
              <w:rPr/>
              <w:t>Amortized cost</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585" w:type="dxa"/>
            <w:tcBorders/>
            <w:shd w:fill="FFFFFF" w:val="clear"/>
            <w:vAlign w:val="bottom"/>
          </w:tcPr>
          <w:p>
            <w:pPr>
              <w:pStyle w:val="TableContents"/>
              <w:spacing w:before="0" w:after="0"/>
              <w:jc w:val="right"/>
              <w:rPr/>
            </w:pPr>
            <w:r>
              <w:rPr/>
              <w:t>595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585" w:type="dxa"/>
            <w:tcBorders/>
            <w:shd w:fill="FFFFFF" w:val="clear"/>
            <w:vAlign w:val="bottom"/>
          </w:tcPr>
          <w:p>
            <w:pPr>
              <w:pStyle w:val="TableContents"/>
              <w:spacing w:before="0" w:after="0"/>
              <w:jc w:val="right"/>
              <w:rPr/>
            </w:pPr>
            <w:r>
              <w:rPr/>
              <w:t>521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58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1,116</w:t>
            </w:r>
          </w:p>
        </w:tc>
        <w:tc>
          <w:tcPr>
            <w:tcW w:w="60" w:type="dxa"/>
            <w:tcBorders/>
            <w:shd w:fill="FFFFFF" w:val="clear"/>
            <w:vAlign w:val="bottom"/>
          </w:tcPr>
          <w:p>
            <w:pPr>
              <w:pStyle w:val="TableContents"/>
              <w:spacing w:before="0" w:after="283"/>
              <w:rPr/>
            </w:pPr>
            <w:r>
              <w:rPr/>
              <w:t> </w:t>
            </w:r>
          </w:p>
        </w:tc>
      </w:tr>
      <w:tr>
        <w:trPr/>
        <w:tc>
          <w:tcPr>
            <w:tcW w:w="3005" w:type="dxa"/>
            <w:tcBorders/>
            <w:shd w:fill="CCEEFF" w:val="clear"/>
            <w:vAlign w:val="bottom"/>
          </w:tcPr>
          <w:p>
            <w:pPr>
              <w:pStyle w:val="TableContents"/>
              <w:spacing w:before="0" w:after="0"/>
              <w:ind w:left="144" w:right="0" w:hanging="144"/>
              <w:rPr/>
            </w:pPr>
            <w:r>
              <w:rPr/>
              <w:t>Non-credit unrealized loss</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r>
      <w:tr>
        <w:trPr/>
        <w:tc>
          <w:tcPr>
            <w:tcW w:w="3005" w:type="dxa"/>
            <w:tcBorders/>
            <w:shd w:fill="FFFFFF" w:val="clear"/>
            <w:vAlign w:val="bottom"/>
          </w:tcPr>
          <w:p>
            <w:pPr>
              <w:pStyle w:val="TableContents"/>
              <w:spacing w:before="0" w:after="0"/>
              <w:ind w:left="144" w:right="0" w:hanging="144"/>
              <w:rPr/>
            </w:pPr>
            <w:r>
              <w:rPr/>
              <w:t>Unrealized gain</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585" w:type="dxa"/>
            <w:tcBorders/>
            <w:shd w:fill="FFFFFF" w:val="clear"/>
            <w:vAlign w:val="bottom"/>
          </w:tcPr>
          <w:p>
            <w:pPr>
              <w:pStyle w:val="TableContents"/>
              <w:spacing w:before="0" w:after="0"/>
              <w:jc w:val="right"/>
              <w:rPr/>
            </w:pPr>
            <w:r>
              <w:rPr/>
              <w:t>118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585" w:type="dxa"/>
            <w:tcBorders/>
            <w:shd w:fill="FFFFFF" w:val="clear"/>
            <w:vAlign w:val="bottom"/>
          </w:tcPr>
          <w:p>
            <w:pPr>
              <w:pStyle w:val="TableContents"/>
              <w:spacing w:before="0" w:after="0"/>
              <w:jc w:val="right"/>
              <w:rPr/>
            </w:pPr>
            <w:r>
              <w:rPr/>
              <w:t>179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585" w:type="dxa"/>
            <w:tcBorders/>
            <w:shd w:fill="FFFFFF" w:val="clear"/>
            <w:vAlign w:val="bottom"/>
          </w:tcPr>
          <w:p>
            <w:pPr>
              <w:pStyle w:val="TableContents"/>
              <w:spacing w:before="0" w:after="0"/>
              <w:jc w:val="right"/>
              <w:rPr/>
            </w:pPr>
            <w:r>
              <w:rPr/>
              <w:t>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314</w:t>
            </w:r>
          </w:p>
        </w:tc>
        <w:tc>
          <w:tcPr>
            <w:tcW w:w="60" w:type="dxa"/>
            <w:tcBorders/>
            <w:shd w:fill="FFFFFF" w:val="clear"/>
            <w:vAlign w:val="bottom"/>
          </w:tcPr>
          <w:p>
            <w:pPr>
              <w:pStyle w:val="TableContents"/>
              <w:spacing w:before="0" w:after="283"/>
              <w:rPr/>
            </w:pPr>
            <w:r>
              <w:rPr/>
              <w:t> </w:t>
            </w:r>
          </w:p>
        </w:tc>
      </w:tr>
      <w:tr>
        <w:trPr/>
        <w:tc>
          <w:tcPr>
            <w:tcW w:w="3005" w:type="dxa"/>
            <w:tcBorders/>
            <w:shd w:fill="CCEEFF" w:val="clear"/>
            <w:vAlign w:val="bottom"/>
          </w:tcPr>
          <w:p>
            <w:pPr>
              <w:pStyle w:val="TableContents"/>
              <w:spacing w:before="0" w:after="0"/>
              <w:ind w:left="144" w:right="0" w:hanging="144"/>
              <w:rPr/>
            </w:pPr>
            <w:r>
              <w:rPr/>
              <w:t>Cumulative credit related OTTI</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0"/>
              <w:jc w:val="right"/>
              <w:rPr/>
            </w:pPr>
            <w:r>
              <w:rPr/>
              <w:t>757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0"/>
              <w:jc w:val="right"/>
              <w:rPr/>
            </w:pPr>
            <w:r>
              <w:rPr/>
              <w:t>457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585" w:type="dxa"/>
            <w:tcBorders/>
            <w:shd w:fill="CCEEFF" w:val="clear"/>
            <w:vAlign w:val="bottom"/>
          </w:tcPr>
          <w:p>
            <w:pPr>
              <w:pStyle w:val="TableContents"/>
              <w:spacing w:before="0" w:after="0"/>
              <w:jc w:val="right"/>
              <w:rPr/>
            </w:pPr>
            <w:r>
              <w:rPr/>
              <w:t>380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1,594</w:t>
            </w:r>
          </w:p>
        </w:tc>
        <w:tc>
          <w:tcPr>
            <w:tcW w:w="60" w:type="dxa"/>
            <w:tcBorders/>
            <w:shd w:fill="CCEE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Each of these securities is receiving principal and interest payments similar to principal reductions in the underlying collateral. All three of these securities have unrealized gains at June 30, 2019. The original amortized cost (current amortized cost excluding cumulative credit related OTTI) for each of these securities has been permanently adjusted downward for previously recorded credit related OTTI. The unrealized loss (based on original amortized cost) for these securities is now less than previously recorded credit related OTTI amounts.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6" w:name="DSPFPageBreakArea13"/>
      <w:bookmarkStart w:id="157" w:name="DSPFPageBreakArea13"/>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58" w:name="DSPFPageNumber13"/>
      <w:bookmarkStart w:id="159" w:name="DSPFPageNumberArea12"/>
      <w:bookmarkEnd w:id="158"/>
      <w:bookmarkEnd w:id="159"/>
      <w:r>
        <w:rPr>
          <w:b w:val="false"/>
          <w:i w:val="false"/>
          <w:caps w:val="false"/>
          <w:smallCaps w:val="false"/>
          <w:sz w:val="13"/>
        </w:rPr>
        <w:t>14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0" w:name="DSPFPageBreak13"/>
      <w:bookmarkStart w:id="161" w:name="DSPFPageBreak13"/>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162" w:name="DSPFPageHeader12"/>
        <w:bookmarkEnd w:id="162"/>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A roll forward of credit losses recognized in earnings on securities available for sale follows:</w:t>
      </w:r>
    </w:p>
    <w:p>
      <w:pPr>
        <w:pStyle w:val="TextBody"/>
        <w:spacing w:before="0" w:after="0"/>
        <w:rPr/>
      </w:pPr>
      <w:r>
        <w:rPr/>
      </w:r>
    </w:p>
    <w:p>
      <w:pPr>
        <w:pStyle w:val="Normal"/>
        <w:spacing w:before="0" w:after="0"/>
        <w:rPr>
          <w:sz w:val="4"/>
          <w:szCs w:val="4"/>
        </w:rPr>
      </w:pPr>
      <w:r>
        <w:rPr>
          <w:sz w:val="4"/>
          <w:szCs w:val="4"/>
        </w:rPr>
      </w:r>
      <w:bookmarkStart w:id="163" w:name="z5ef13c939f514affb978cf1b3c6d5b83"/>
      <w:bookmarkStart w:id="164" w:name="z5ef13c939f514affb978cf1b3c6d5b83"/>
      <w:bookmarkEnd w:id="164"/>
    </w:p>
    <w:tbl>
      <w:tblPr>
        <w:tblW w:w="10205" w:type="dxa"/>
        <w:jc w:val="left"/>
        <w:tblInd w:w="0" w:type="dxa"/>
        <w:tblCellMar>
          <w:top w:w="0" w:type="dxa"/>
          <w:left w:w="0" w:type="dxa"/>
          <w:bottom w:w="0" w:type="dxa"/>
          <w:right w:w="0" w:type="dxa"/>
        </w:tblCellMar>
      </w:tblPr>
      <w:tblGrid>
        <w:gridCol w:w="6280"/>
        <w:gridCol w:w="60"/>
        <w:gridCol w:w="180"/>
        <w:gridCol w:w="720"/>
        <w:gridCol w:w="77"/>
        <w:gridCol w:w="77"/>
        <w:gridCol w:w="180"/>
        <w:gridCol w:w="721"/>
        <w:gridCol w:w="60"/>
        <w:gridCol w:w="60"/>
        <w:gridCol w:w="157"/>
        <w:gridCol w:w="631"/>
        <w:gridCol w:w="67"/>
        <w:gridCol w:w="67"/>
        <w:gridCol w:w="157"/>
        <w:gridCol w:w="636"/>
        <w:gridCol w:w="75"/>
      </w:tblGrid>
      <w:tr>
        <w:trPr/>
        <w:tc>
          <w:tcPr>
            <w:tcW w:w="6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5" w:type="dxa"/>
            <w:gridSpan w:val="6"/>
            <w:tcBorders/>
            <w:shd w:fill="auto" w:val="cle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15" w:type="dxa"/>
            <w:gridSpan w:val="6"/>
            <w:tcBorders/>
            <w:shd w:fill="auto" w:val="cle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75" w:type="dxa"/>
            <w:tcBorders/>
            <w:shd w:fill="auto" w:val="clear"/>
            <w:vAlign w:val="bottom"/>
          </w:tcPr>
          <w:p>
            <w:pPr>
              <w:pStyle w:val="TableContents"/>
              <w:spacing w:before="0" w:after="283"/>
              <w:rPr/>
            </w:pPr>
            <w:r>
              <w:rPr/>
              <w:t> </w:t>
            </w:r>
          </w:p>
        </w:tc>
      </w:tr>
      <w:tr>
        <w:trPr/>
        <w:tc>
          <w:tcPr>
            <w:tcW w:w="6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0"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901"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8"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67"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793"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75" w:type="dxa"/>
            <w:tcBorders/>
            <w:shd w:fill="auto" w:val="clear"/>
            <w:vAlign w:val="bottom"/>
          </w:tcPr>
          <w:p>
            <w:pPr>
              <w:pStyle w:val="TableContents"/>
              <w:spacing w:before="0" w:after="283"/>
              <w:rPr/>
            </w:pPr>
            <w:r>
              <w:rPr/>
              <w:t> </w:t>
            </w:r>
          </w:p>
        </w:tc>
      </w:tr>
      <w:tr>
        <w:trPr/>
        <w:tc>
          <w:tcPr>
            <w:tcW w:w="6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5" w:type="dxa"/>
            <w:gridSpan w:val="6"/>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15" w:type="dxa"/>
            <w:gridSpan w:val="6"/>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6280" w:type="dxa"/>
            <w:tcBorders/>
            <w:shd w:fill="CCEEFF" w:val="clear"/>
            <w:vAlign w:val="bottom"/>
          </w:tcPr>
          <w:p>
            <w:pPr>
              <w:pStyle w:val="TableContents"/>
              <w:spacing w:before="0" w:after="0"/>
              <w:ind w:left="144" w:right="0" w:hanging="144"/>
              <w:rPr/>
            </w:pPr>
            <w:r>
              <w:rPr/>
              <w:t>Balance at beginning of period</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0"/>
              <w:rPr/>
            </w:pPr>
            <w:r>
              <w:rPr/>
              <w:t>$</w:t>
            </w:r>
          </w:p>
        </w:tc>
        <w:tc>
          <w:tcPr>
            <w:tcW w:w="720" w:type="dxa"/>
            <w:tcBorders/>
            <w:shd w:fill="CCEEFF" w:val="clear"/>
            <w:vAlign w:val="bottom"/>
          </w:tcPr>
          <w:p>
            <w:pPr>
              <w:pStyle w:val="TableContents"/>
              <w:spacing w:before="0" w:after="0"/>
              <w:jc w:val="right"/>
              <w:rPr/>
            </w:pPr>
            <w:r>
              <w:rPr/>
              <w:t>1,594</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0"/>
              <w:rPr/>
            </w:pPr>
            <w:r>
              <w:rPr/>
              <w:t>$</w:t>
            </w:r>
          </w:p>
        </w:tc>
        <w:tc>
          <w:tcPr>
            <w:tcW w:w="721" w:type="dxa"/>
            <w:tcBorders/>
            <w:shd w:fill="CCEEFF" w:val="clear"/>
            <w:vAlign w:val="bottom"/>
          </w:tcPr>
          <w:p>
            <w:pPr>
              <w:pStyle w:val="TableContents"/>
              <w:spacing w:before="0" w:after="0"/>
              <w:jc w:val="right"/>
              <w:rPr/>
            </w:pPr>
            <w:r>
              <w:rPr/>
              <w:t>1,594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rPr/>
            </w:pPr>
            <w:r>
              <w:rPr/>
              <w:t>$</w:t>
            </w:r>
          </w:p>
        </w:tc>
        <w:tc>
          <w:tcPr>
            <w:tcW w:w="631" w:type="dxa"/>
            <w:tcBorders/>
            <w:shd w:fill="CCEEFF" w:val="clear"/>
            <w:vAlign w:val="bottom"/>
          </w:tcPr>
          <w:p>
            <w:pPr>
              <w:pStyle w:val="TableContents"/>
              <w:spacing w:before="0" w:after="0"/>
              <w:jc w:val="right"/>
              <w:rPr/>
            </w:pPr>
            <w:r>
              <w:rPr/>
              <w:t>1,594</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rPr/>
            </w:pPr>
            <w:r>
              <w:rPr/>
              <w:t>$</w:t>
            </w:r>
          </w:p>
        </w:tc>
        <w:tc>
          <w:tcPr>
            <w:tcW w:w="636" w:type="dxa"/>
            <w:tcBorders/>
            <w:shd w:fill="CCEEFF" w:val="clear"/>
            <w:vAlign w:val="bottom"/>
          </w:tcPr>
          <w:p>
            <w:pPr>
              <w:pStyle w:val="TableContents"/>
              <w:spacing w:before="0" w:after="0"/>
              <w:jc w:val="right"/>
              <w:rPr/>
            </w:pPr>
            <w:r>
              <w:rPr/>
              <w:t>1,594</w:t>
            </w:r>
          </w:p>
        </w:tc>
        <w:tc>
          <w:tcPr>
            <w:tcW w:w="75" w:type="dxa"/>
            <w:tcBorders/>
            <w:shd w:fill="CCEEFF" w:val="clear"/>
            <w:vAlign w:val="bottom"/>
          </w:tcPr>
          <w:p>
            <w:pPr>
              <w:pStyle w:val="TableContents"/>
              <w:spacing w:before="0" w:after="283"/>
              <w:rPr/>
            </w:pPr>
            <w:r>
              <w:rPr/>
              <w:t> </w:t>
            </w:r>
          </w:p>
        </w:tc>
      </w:tr>
      <w:tr>
        <w:trPr/>
        <w:tc>
          <w:tcPr>
            <w:tcW w:w="6280" w:type="dxa"/>
            <w:tcBorders/>
            <w:shd w:fill="FFFFFF" w:val="clear"/>
            <w:vAlign w:val="bottom"/>
          </w:tcPr>
          <w:p>
            <w:pPr>
              <w:pStyle w:val="TableContents"/>
              <w:spacing w:before="0" w:after="0"/>
              <w:ind w:left="360" w:right="0" w:hanging="180"/>
              <w:rPr/>
            </w:pPr>
            <w:r>
              <w:rPr/>
              <w:t>Additions to credit losses on securities for which no previous OTTI was recognized</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720" w:type="dxa"/>
            <w:tcBorders/>
            <w:shd w:fill="FFFFFF" w:val="clear"/>
            <w:vAlign w:val="bottom"/>
          </w:tcPr>
          <w:p>
            <w:pPr>
              <w:pStyle w:val="TableContents"/>
              <w:spacing w:before="0" w:after="0"/>
              <w:jc w:val="right"/>
              <w:rPr/>
            </w:pPr>
            <w:r>
              <w:rPr/>
              <w:t>-</w:t>
            </w:r>
          </w:p>
        </w:tc>
        <w:tc>
          <w:tcPr>
            <w:tcW w:w="77"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631" w:type="dxa"/>
            <w:tcBorders/>
            <w:shd w:fill="FFFFFF" w:val="clear"/>
            <w:vAlign w:val="bottom"/>
          </w:tcPr>
          <w:p>
            <w:pPr>
              <w:pStyle w:val="TableContents"/>
              <w:spacing w:before="0" w:after="0"/>
              <w:jc w:val="right"/>
              <w:rPr/>
            </w:pPr>
            <w:r>
              <w:rPr/>
              <w:t>-</w:t>
            </w:r>
          </w:p>
        </w:tc>
        <w:tc>
          <w:tcPr>
            <w:tcW w:w="67"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636"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6280" w:type="dxa"/>
            <w:tcBorders/>
            <w:shd w:fill="CCEEFF" w:val="clear"/>
            <w:vAlign w:val="bottom"/>
          </w:tcPr>
          <w:p>
            <w:pPr>
              <w:pStyle w:val="TableContents"/>
              <w:spacing w:before="0" w:after="0"/>
              <w:ind w:left="360" w:right="0" w:hanging="180"/>
              <w:rPr/>
            </w:pPr>
            <w:r>
              <w:rPr/>
              <w:t>Increases to credit losses on securities for which OTTI was previously recognized</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2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21"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1"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7"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3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6280" w:type="dxa"/>
            <w:tcBorders/>
            <w:shd w:fill="FFFFFF" w:val="clear"/>
            <w:vAlign w:val="bottom"/>
          </w:tcPr>
          <w:p>
            <w:pPr>
              <w:pStyle w:val="TableContents"/>
              <w:spacing w:before="0" w:after="0"/>
              <w:ind w:left="144" w:right="0" w:hanging="144"/>
              <w:rPr/>
            </w:pPr>
            <w:r>
              <w:rPr/>
              <w:t>Balance at end of period</w:t>
            </w:r>
          </w:p>
        </w:tc>
        <w:tc>
          <w:tcPr>
            <w:tcW w:w="60" w:type="dxa"/>
            <w:tcBorders/>
            <w:shd w:fill="FFFFFF" w:val="clear"/>
            <w:vAlign w:val="bottom"/>
          </w:tcPr>
          <w:p>
            <w:pPr>
              <w:pStyle w:val="TableContents"/>
              <w:spacing w:before="0" w:after="283"/>
              <w:rPr/>
            </w:pPr>
            <w:r>
              <w:rPr/>
              <w:t> </w:t>
            </w:r>
          </w:p>
        </w:tc>
        <w:tc>
          <w:tcPr>
            <w:tcW w:w="180" w:type="dxa"/>
            <w:tcBorders>
              <w:bottom w:val="double" w:sz="8" w:space="0" w:color="000000"/>
            </w:tcBorders>
            <w:shd w:fill="FFFFFF" w:val="clear"/>
            <w:tcMar>
              <w:bottom w:w="28" w:type="dxa"/>
            </w:tcMar>
            <w:vAlign w:val="bottom"/>
          </w:tcPr>
          <w:p>
            <w:pPr>
              <w:pStyle w:val="TableContents"/>
              <w:spacing w:before="0" w:after="0"/>
              <w:rPr/>
            </w:pPr>
            <w:r>
              <w:rPr/>
              <w:t>$</w:t>
            </w:r>
          </w:p>
        </w:tc>
        <w:tc>
          <w:tcPr>
            <w:tcW w:w="720" w:type="dxa"/>
            <w:tcBorders>
              <w:bottom w:val="double" w:sz="8" w:space="0" w:color="000000"/>
            </w:tcBorders>
            <w:shd w:fill="FFFFFF" w:val="clear"/>
            <w:tcMar>
              <w:bottom w:w="28" w:type="dxa"/>
            </w:tcMar>
            <w:vAlign w:val="bottom"/>
          </w:tcPr>
          <w:p>
            <w:pPr>
              <w:pStyle w:val="TableContents"/>
              <w:spacing w:before="0" w:after="0"/>
              <w:jc w:val="right"/>
              <w:rPr/>
            </w:pPr>
            <w:r>
              <w:rPr/>
              <w:t>1,594</w:t>
            </w:r>
          </w:p>
        </w:tc>
        <w:tc>
          <w:tcPr>
            <w:tcW w:w="77"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180" w:type="dxa"/>
            <w:tcBorders>
              <w:bottom w:val="double" w:sz="8" w:space="0" w:color="000000"/>
            </w:tcBorders>
            <w:shd w:fill="FFFFFF" w:val="clear"/>
            <w:tcMar>
              <w:bottom w:w="28" w:type="dxa"/>
            </w:tcMar>
            <w:vAlign w:val="bottom"/>
          </w:tcPr>
          <w:p>
            <w:pPr>
              <w:pStyle w:val="TableContents"/>
              <w:spacing w:before="0" w:after="0"/>
              <w:rPr/>
            </w:pPr>
            <w:r>
              <w:rPr/>
              <w:t>$</w:t>
            </w:r>
          </w:p>
        </w:tc>
        <w:tc>
          <w:tcPr>
            <w:tcW w:w="721" w:type="dxa"/>
            <w:tcBorders>
              <w:bottom w:val="double" w:sz="8" w:space="0" w:color="000000"/>
            </w:tcBorders>
            <w:shd w:fill="FFFFFF" w:val="clear"/>
            <w:tcMar>
              <w:bottom w:w="28" w:type="dxa"/>
            </w:tcMar>
            <w:vAlign w:val="bottom"/>
          </w:tcPr>
          <w:p>
            <w:pPr>
              <w:pStyle w:val="TableContents"/>
              <w:spacing w:before="0" w:after="0"/>
              <w:jc w:val="right"/>
              <w:rPr/>
            </w:pPr>
            <w:r>
              <w:rPr/>
              <w:t>1,594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rPr/>
            </w:pPr>
            <w:r>
              <w:rPr/>
              <w:t>$</w:t>
            </w:r>
          </w:p>
        </w:tc>
        <w:tc>
          <w:tcPr>
            <w:tcW w:w="631" w:type="dxa"/>
            <w:tcBorders>
              <w:bottom w:val="double" w:sz="8" w:space="0" w:color="000000"/>
            </w:tcBorders>
            <w:shd w:fill="FFFFFF" w:val="clear"/>
            <w:tcMar>
              <w:bottom w:w="28" w:type="dxa"/>
            </w:tcMar>
            <w:vAlign w:val="bottom"/>
          </w:tcPr>
          <w:p>
            <w:pPr>
              <w:pStyle w:val="TableContents"/>
              <w:spacing w:before="0" w:after="0"/>
              <w:jc w:val="right"/>
              <w:rPr/>
            </w:pPr>
            <w:r>
              <w:rPr/>
              <w:t>1,594</w:t>
            </w:r>
          </w:p>
        </w:tc>
        <w:tc>
          <w:tcPr>
            <w:tcW w:w="67"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rPr/>
            </w:pPr>
            <w:r>
              <w:rPr/>
              <w:t>$</w:t>
            </w:r>
          </w:p>
        </w:tc>
        <w:tc>
          <w:tcPr>
            <w:tcW w:w="636" w:type="dxa"/>
            <w:tcBorders>
              <w:bottom w:val="double" w:sz="8" w:space="0" w:color="000000"/>
            </w:tcBorders>
            <w:shd w:fill="FFFFFF" w:val="clear"/>
            <w:tcMar>
              <w:bottom w:w="28" w:type="dxa"/>
            </w:tcMar>
            <w:vAlign w:val="bottom"/>
          </w:tcPr>
          <w:p>
            <w:pPr>
              <w:pStyle w:val="TableContents"/>
              <w:spacing w:before="0" w:after="0"/>
              <w:jc w:val="right"/>
              <w:rPr/>
            </w:pPr>
            <w:r>
              <w:rPr/>
              <w:t>1,594</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The amortized cost and fair value of securities available for sale at June 30, 2019, by contractual maturity, follow:</w:t>
      </w:r>
    </w:p>
    <w:p>
      <w:pPr>
        <w:pStyle w:val="TextBody"/>
        <w:spacing w:before="0" w:after="0"/>
        <w:rPr/>
      </w:pPr>
      <w:r>
        <w:rPr/>
      </w:r>
    </w:p>
    <w:p>
      <w:pPr>
        <w:pStyle w:val="Normal"/>
        <w:spacing w:before="0" w:after="0"/>
        <w:rPr>
          <w:sz w:val="4"/>
          <w:szCs w:val="4"/>
        </w:rPr>
      </w:pPr>
      <w:r>
        <w:rPr>
          <w:sz w:val="4"/>
          <w:szCs w:val="4"/>
        </w:rPr>
      </w:r>
      <w:bookmarkStart w:id="165" w:name="z4bef6baf863647cba3e9ff4c18b955b7"/>
      <w:bookmarkStart w:id="166" w:name="z4bef6baf863647cba3e9ff4c18b955b7"/>
      <w:bookmarkEnd w:id="166"/>
    </w:p>
    <w:tbl>
      <w:tblPr>
        <w:tblW w:w="6500" w:type="dxa"/>
        <w:jc w:val="left"/>
        <w:tblInd w:w="0" w:type="dxa"/>
        <w:tblCellMar>
          <w:top w:w="0" w:type="dxa"/>
          <w:left w:w="0" w:type="dxa"/>
          <w:bottom w:w="0" w:type="dxa"/>
          <w:right w:w="0" w:type="dxa"/>
        </w:tblCellMar>
      </w:tblPr>
      <w:tblGrid>
        <w:gridCol w:w="4280"/>
        <w:gridCol w:w="60"/>
        <w:gridCol w:w="152"/>
        <w:gridCol w:w="873"/>
        <w:gridCol w:w="60"/>
        <w:gridCol w:w="60"/>
        <w:gridCol w:w="140"/>
        <w:gridCol w:w="800"/>
        <w:gridCol w:w="75"/>
      </w:tblGrid>
      <w:tr>
        <w:trPr/>
        <w:tc>
          <w:tcPr>
            <w:tcW w:w="4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bottom"/>
          </w:tcPr>
          <w:p>
            <w:pPr>
              <w:pStyle w:val="TableContents"/>
              <w:spacing w:before="0" w:after="0"/>
              <w:jc w:val="center"/>
              <w:rPr/>
            </w:pPr>
            <w:r>
              <w:rPr/>
              <w:t>Amortized</w:t>
            </w:r>
          </w:p>
          <w:p>
            <w:pPr>
              <w:pStyle w:val="TableContents"/>
              <w:spacing w:before="0" w:after="0"/>
              <w:jc w:val="center"/>
              <w:rPr/>
            </w:pPr>
            <w:r>
              <w:rPr/>
              <w:t>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Fair</w:t>
            </w:r>
          </w:p>
          <w:p>
            <w:pPr>
              <w:pStyle w:val="TableContents"/>
              <w:spacing w:before="0" w:after="0"/>
              <w:jc w:val="center"/>
              <w:rPr/>
            </w:pPr>
            <w:r>
              <w:rPr/>
              <w:t>Value</w:t>
            </w:r>
          </w:p>
        </w:tc>
        <w:tc>
          <w:tcPr>
            <w:tcW w:w="75" w:type="dxa"/>
            <w:tcBorders/>
            <w:shd w:fill="auto" w:val="clear"/>
            <w:vAlign w:val="bottom"/>
          </w:tcPr>
          <w:p>
            <w:pPr>
              <w:pStyle w:val="TableContents"/>
              <w:spacing w:before="0" w:after="283"/>
              <w:rPr/>
            </w:pPr>
            <w:r>
              <w:rPr/>
              <w:t> </w:t>
            </w:r>
          </w:p>
        </w:tc>
      </w:tr>
      <w:tr>
        <w:trPr/>
        <w:tc>
          <w:tcPr>
            <w:tcW w:w="4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85" w:type="dxa"/>
            <w:gridSpan w:val="6"/>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4280" w:type="dxa"/>
            <w:tcBorders/>
            <w:shd w:fill="CCEEFF" w:val="clear"/>
            <w:vAlign w:val="bottom"/>
          </w:tcPr>
          <w:p>
            <w:pPr>
              <w:pStyle w:val="TableContents"/>
              <w:spacing w:before="0" w:after="0"/>
              <w:ind w:left="144" w:right="0" w:hanging="144"/>
              <w:rPr/>
            </w:pPr>
            <w:r>
              <w:rPr/>
              <w:t>Maturing within one year</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73" w:type="dxa"/>
            <w:tcBorders/>
            <w:shd w:fill="CCEEFF" w:val="clear"/>
            <w:vAlign w:val="bottom"/>
          </w:tcPr>
          <w:p>
            <w:pPr>
              <w:pStyle w:val="TableContents"/>
              <w:spacing w:before="0" w:after="0"/>
              <w:jc w:val="right"/>
              <w:rPr/>
            </w:pPr>
            <w:r>
              <w:rPr/>
              <w:t>13,478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13,481</w:t>
            </w:r>
          </w:p>
        </w:tc>
        <w:tc>
          <w:tcPr>
            <w:tcW w:w="75" w:type="dxa"/>
            <w:tcBorders/>
            <w:shd w:fill="CCEEFF" w:val="clear"/>
            <w:vAlign w:val="bottom"/>
          </w:tcPr>
          <w:p>
            <w:pPr>
              <w:pStyle w:val="TableContents"/>
              <w:spacing w:before="0" w:after="283"/>
              <w:rPr/>
            </w:pPr>
            <w:r>
              <w:rPr/>
              <w:t> </w:t>
            </w:r>
          </w:p>
        </w:tc>
      </w:tr>
      <w:tr>
        <w:trPr/>
        <w:tc>
          <w:tcPr>
            <w:tcW w:w="4280" w:type="dxa"/>
            <w:tcBorders/>
            <w:shd w:fill="FFFFFF" w:val="clear"/>
            <w:vAlign w:val="bottom"/>
          </w:tcPr>
          <w:p>
            <w:pPr>
              <w:pStyle w:val="TableContents"/>
              <w:spacing w:before="0" w:after="0"/>
              <w:ind w:left="144" w:right="0" w:hanging="144"/>
              <w:rPr/>
            </w:pPr>
            <w:r>
              <w:rPr/>
              <w:t>Maturing after one year but within five years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55,186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55,754</w:t>
            </w:r>
          </w:p>
        </w:tc>
        <w:tc>
          <w:tcPr>
            <w:tcW w:w="75" w:type="dxa"/>
            <w:tcBorders/>
            <w:shd w:fill="FFFFFF" w:val="clear"/>
            <w:vAlign w:val="bottom"/>
          </w:tcPr>
          <w:p>
            <w:pPr>
              <w:pStyle w:val="TableContents"/>
              <w:spacing w:before="0" w:after="283"/>
              <w:rPr/>
            </w:pPr>
            <w:r>
              <w:rPr/>
              <w:t> </w:t>
            </w:r>
          </w:p>
        </w:tc>
      </w:tr>
      <w:tr>
        <w:trPr/>
        <w:tc>
          <w:tcPr>
            <w:tcW w:w="4280" w:type="dxa"/>
            <w:tcBorders/>
            <w:shd w:fill="CCEEFF" w:val="clear"/>
            <w:vAlign w:val="bottom"/>
          </w:tcPr>
          <w:p>
            <w:pPr>
              <w:pStyle w:val="TableContents"/>
              <w:spacing w:before="0" w:after="0"/>
              <w:ind w:left="144" w:right="0" w:hanging="144"/>
              <w:rPr/>
            </w:pPr>
            <w:r>
              <w:rPr/>
              <w:t>Maturing after five years but within ten years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50,659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51,759</w:t>
            </w:r>
          </w:p>
        </w:tc>
        <w:tc>
          <w:tcPr>
            <w:tcW w:w="75" w:type="dxa"/>
            <w:tcBorders/>
            <w:shd w:fill="CCEEFF" w:val="clear"/>
            <w:vAlign w:val="bottom"/>
          </w:tcPr>
          <w:p>
            <w:pPr>
              <w:pStyle w:val="TableContents"/>
              <w:spacing w:before="0" w:after="283"/>
              <w:rPr/>
            </w:pPr>
            <w:r>
              <w:rPr/>
              <w:t> </w:t>
            </w:r>
          </w:p>
        </w:tc>
      </w:tr>
      <w:tr>
        <w:trPr/>
        <w:tc>
          <w:tcPr>
            <w:tcW w:w="4280" w:type="dxa"/>
            <w:tcBorders/>
            <w:shd w:fill="FFFFFF" w:val="clear"/>
            <w:vAlign w:val="bottom"/>
          </w:tcPr>
          <w:p>
            <w:pPr>
              <w:pStyle w:val="TableContents"/>
              <w:spacing w:before="0" w:after="0"/>
              <w:ind w:left="144" w:right="0" w:hanging="144"/>
              <w:rPr/>
            </w:pPr>
            <w:r>
              <w:rPr/>
              <w:t>Maturing after ten years</w:t>
            </w:r>
          </w:p>
        </w:tc>
        <w:tc>
          <w:tcPr>
            <w:tcW w:w="6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3" w:type="dxa"/>
            <w:tcBorders>
              <w:bottom w:val="single" w:sz="12" w:space="0" w:color="000000"/>
            </w:tcBorders>
            <w:shd w:fill="FFFFFF" w:val="clear"/>
            <w:tcMar>
              <w:bottom w:w="28" w:type="dxa"/>
            </w:tcMar>
            <w:vAlign w:val="bottom"/>
          </w:tcPr>
          <w:p>
            <w:pPr>
              <w:pStyle w:val="TableContents"/>
              <w:spacing w:before="0" w:after="0"/>
              <w:jc w:val="right"/>
              <w:rPr/>
            </w:pPr>
            <w:r>
              <w:rPr/>
              <w:t>38,286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00" w:type="dxa"/>
            <w:tcBorders>
              <w:bottom w:val="single" w:sz="12" w:space="0" w:color="000000"/>
            </w:tcBorders>
            <w:shd w:fill="FFFFFF" w:val="clear"/>
            <w:tcMar>
              <w:bottom w:w="28" w:type="dxa"/>
            </w:tcMar>
            <w:vAlign w:val="bottom"/>
          </w:tcPr>
          <w:p>
            <w:pPr>
              <w:pStyle w:val="TableContents"/>
              <w:spacing w:before="0" w:after="0"/>
              <w:jc w:val="right"/>
              <w:rPr/>
            </w:pPr>
            <w:r>
              <w:rPr/>
              <w:t>38,776</w:t>
            </w:r>
          </w:p>
        </w:tc>
        <w:tc>
          <w:tcPr>
            <w:tcW w:w="75" w:type="dxa"/>
            <w:tcBorders/>
            <w:shd w:fill="FFFFFF" w:val="clear"/>
            <w:vAlign w:val="bottom"/>
          </w:tcPr>
          <w:p>
            <w:pPr>
              <w:pStyle w:val="TableContents"/>
              <w:spacing w:before="0" w:after="283"/>
              <w:rPr/>
            </w:pPr>
            <w:r>
              <w:rPr/>
              <w:t> </w:t>
            </w:r>
          </w:p>
        </w:tc>
      </w:tr>
      <w:tr>
        <w:trPr/>
        <w:tc>
          <w:tcPr>
            <w:tcW w:w="42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157,609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159,770</w:t>
            </w:r>
          </w:p>
        </w:tc>
        <w:tc>
          <w:tcPr>
            <w:tcW w:w="75" w:type="dxa"/>
            <w:tcBorders/>
            <w:shd w:fill="CCEEFF" w:val="clear"/>
            <w:vAlign w:val="bottom"/>
          </w:tcPr>
          <w:p>
            <w:pPr>
              <w:pStyle w:val="TableContents"/>
              <w:spacing w:before="0" w:after="283"/>
              <w:rPr/>
            </w:pPr>
            <w:r>
              <w:rPr/>
              <w:t> </w:t>
            </w:r>
          </w:p>
        </w:tc>
      </w:tr>
      <w:tr>
        <w:trPr/>
        <w:tc>
          <w:tcPr>
            <w:tcW w:w="4280" w:type="dxa"/>
            <w:tcBorders/>
            <w:shd w:fill="FFFFFF" w:val="clear"/>
            <w:vAlign w:val="bottom"/>
          </w:tcPr>
          <w:p>
            <w:pPr>
              <w:pStyle w:val="TableContents"/>
              <w:spacing w:before="0" w:after="0"/>
              <w:ind w:left="144" w:right="0" w:hanging="144"/>
              <w:rPr/>
            </w:pPr>
            <w:r>
              <w:rPr/>
              <w:t>U.S. agency residential mortgage-backed</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135,853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137,017</w:t>
            </w:r>
          </w:p>
        </w:tc>
        <w:tc>
          <w:tcPr>
            <w:tcW w:w="75" w:type="dxa"/>
            <w:tcBorders/>
            <w:shd w:fill="FFFFFF" w:val="clear"/>
            <w:vAlign w:val="bottom"/>
          </w:tcPr>
          <w:p>
            <w:pPr>
              <w:pStyle w:val="TableContents"/>
              <w:spacing w:before="0" w:after="283"/>
              <w:rPr/>
            </w:pPr>
            <w:r>
              <w:rPr/>
              <w:t> </w:t>
            </w:r>
          </w:p>
        </w:tc>
      </w:tr>
      <w:tr>
        <w:trPr/>
        <w:tc>
          <w:tcPr>
            <w:tcW w:w="4280" w:type="dxa"/>
            <w:tcBorders/>
            <w:shd w:fill="CCEEFF" w:val="clear"/>
            <w:vAlign w:val="bottom"/>
          </w:tcPr>
          <w:p>
            <w:pPr>
              <w:pStyle w:val="TableContents"/>
              <w:spacing w:before="0" w:after="0"/>
              <w:ind w:left="144" w:right="0" w:hanging="144"/>
              <w:rPr/>
            </w:pPr>
            <w:r>
              <w:rPr/>
              <w:t>U.S. agency commercial mortgage-backed</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12,183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12,238</w:t>
            </w:r>
          </w:p>
        </w:tc>
        <w:tc>
          <w:tcPr>
            <w:tcW w:w="75" w:type="dxa"/>
            <w:tcBorders/>
            <w:shd w:fill="CCEEFF" w:val="clear"/>
            <w:vAlign w:val="bottom"/>
          </w:tcPr>
          <w:p>
            <w:pPr>
              <w:pStyle w:val="TableContents"/>
              <w:spacing w:before="0" w:after="283"/>
              <w:rPr/>
            </w:pPr>
            <w:r>
              <w:rPr/>
              <w:t> </w:t>
            </w:r>
          </w:p>
        </w:tc>
      </w:tr>
      <w:tr>
        <w:trPr/>
        <w:tc>
          <w:tcPr>
            <w:tcW w:w="4280" w:type="dxa"/>
            <w:tcBorders/>
            <w:shd w:fill="FFFFFF" w:val="clear"/>
            <w:vAlign w:val="bottom"/>
          </w:tcPr>
          <w:p>
            <w:pPr>
              <w:pStyle w:val="TableContents"/>
              <w:spacing w:before="0" w:after="0"/>
              <w:ind w:left="144" w:right="0" w:hanging="144"/>
              <w:rPr/>
            </w:pPr>
            <w:r>
              <w:rPr/>
              <w:t>Private label mortgage-backed</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29,617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30,129</w:t>
            </w:r>
          </w:p>
        </w:tc>
        <w:tc>
          <w:tcPr>
            <w:tcW w:w="75" w:type="dxa"/>
            <w:tcBorders/>
            <w:shd w:fill="FFFFFF" w:val="clear"/>
            <w:vAlign w:val="bottom"/>
          </w:tcPr>
          <w:p>
            <w:pPr>
              <w:pStyle w:val="TableContents"/>
              <w:spacing w:before="0" w:after="283"/>
              <w:rPr/>
            </w:pPr>
            <w:r>
              <w:rPr/>
              <w:t> </w:t>
            </w:r>
          </w:p>
        </w:tc>
      </w:tr>
      <w:tr>
        <w:trPr/>
        <w:tc>
          <w:tcPr>
            <w:tcW w:w="4280" w:type="dxa"/>
            <w:tcBorders/>
            <w:shd w:fill="CCEEFF" w:val="clear"/>
            <w:vAlign w:val="bottom"/>
          </w:tcPr>
          <w:p>
            <w:pPr>
              <w:pStyle w:val="TableContents"/>
              <w:spacing w:before="0" w:after="0"/>
              <w:ind w:left="144" w:right="0" w:hanging="144"/>
              <w:rPr/>
            </w:pPr>
            <w:r>
              <w:rPr/>
              <w:t>Other asset backed</w:t>
            </w:r>
          </w:p>
        </w:tc>
        <w:tc>
          <w:tcPr>
            <w:tcW w:w="60" w:type="dxa"/>
            <w:tcBorders/>
            <w:shd w:fill="CCEEFF" w:val="clear"/>
            <w:vAlign w:val="bottom"/>
          </w:tcPr>
          <w:p>
            <w:pPr>
              <w:pStyle w:val="TableContents"/>
              <w:spacing w:before="0" w:after="283"/>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3" w:type="dxa"/>
            <w:tcBorders>
              <w:bottom w:val="single" w:sz="12" w:space="0" w:color="000000"/>
            </w:tcBorders>
            <w:shd w:fill="CCEEFF" w:val="clear"/>
            <w:tcMar>
              <w:bottom w:w="28" w:type="dxa"/>
            </w:tcMar>
            <w:vAlign w:val="bottom"/>
          </w:tcPr>
          <w:p>
            <w:pPr>
              <w:pStyle w:val="TableContents"/>
              <w:spacing w:before="0" w:after="0"/>
              <w:jc w:val="right"/>
              <w:rPr/>
            </w:pPr>
            <w:r>
              <w:rPr/>
              <w:t>91,196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91,151</w:t>
            </w:r>
          </w:p>
        </w:tc>
        <w:tc>
          <w:tcPr>
            <w:tcW w:w="75" w:type="dxa"/>
            <w:tcBorders/>
            <w:shd w:fill="CCEEFF" w:val="clear"/>
            <w:vAlign w:val="bottom"/>
          </w:tcPr>
          <w:p>
            <w:pPr>
              <w:pStyle w:val="TableContents"/>
              <w:spacing w:before="0" w:after="283"/>
              <w:rPr/>
            </w:pPr>
            <w:r>
              <w:rPr/>
              <w:t> </w:t>
            </w:r>
          </w:p>
        </w:tc>
      </w:tr>
      <w:tr>
        <w:trPr/>
        <w:tc>
          <w:tcPr>
            <w:tcW w:w="4280" w:type="dxa"/>
            <w:tcBorders/>
            <w:shd w:fill="FFFFFF" w:val="clear"/>
            <w:vAlign w:val="bottom"/>
          </w:tcPr>
          <w:p>
            <w:pPr>
              <w:pStyle w:val="TableContents"/>
              <w:spacing w:before="0" w:after="0"/>
              <w:ind w:left="324" w:right="0" w:hanging="144"/>
              <w:rPr/>
            </w:pPr>
            <w:r>
              <w:rPr/>
              <w:t>Total</w:t>
            </w:r>
          </w:p>
        </w:tc>
        <w:tc>
          <w:tcPr>
            <w:tcW w:w="60" w:type="dxa"/>
            <w:tcBorders/>
            <w:shd w:fill="FFFFFF" w:val="clear"/>
            <w:vAlign w:val="bottom"/>
          </w:tcPr>
          <w:p>
            <w:pPr>
              <w:pStyle w:val="TableContents"/>
              <w:spacing w:before="0" w:after="283"/>
              <w:rPr/>
            </w:pPr>
            <w:r>
              <w:rPr/>
              <w:t> </w:t>
            </w:r>
          </w:p>
        </w:tc>
        <w:tc>
          <w:tcPr>
            <w:tcW w:w="152" w:type="dxa"/>
            <w:tcBorders>
              <w:bottom w:val="double" w:sz="8" w:space="0" w:color="000000"/>
            </w:tcBorders>
            <w:shd w:fill="FFFFFF" w:val="clear"/>
            <w:tcMar>
              <w:bottom w:w="28" w:type="dxa"/>
            </w:tcMar>
            <w:vAlign w:val="bottom"/>
          </w:tcPr>
          <w:p>
            <w:pPr>
              <w:pStyle w:val="TableContents"/>
              <w:spacing w:before="0" w:after="0"/>
              <w:rPr/>
            </w:pPr>
            <w:r>
              <w:rPr/>
              <w:t>$</w:t>
            </w:r>
          </w:p>
        </w:tc>
        <w:tc>
          <w:tcPr>
            <w:tcW w:w="873" w:type="dxa"/>
            <w:tcBorders>
              <w:bottom w:val="double" w:sz="8" w:space="0" w:color="000000"/>
            </w:tcBorders>
            <w:shd w:fill="FFFFFF" w:val="clear"/>
            <w:tcMar>
              <w:bottom w:w="28" w:type="dxa"/>
            </w:tcMar>
            <w:vAlign w:val="bottom"/>
          </w:tcPr>
          <w:p>
            <w:pPr>
              <w:pStyle w:val="TableContents"/>
              <w:spacing w:before="0" w:after="0"/>
              <w:jc w:val="right"/>
              <w:rPr/>
            </w:pPr>
            <w:r>
              <w:rPr/>
              <w:t>426,458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800" w:type="dxa"/>
            <w:tcBorders>
              <w:bottom w:val="double" w:sz="8" w:space="0" w:color="000000"/>
            </w:tcBorders>
            <w:shd w:fill="FFFFFF" w:val="clear"/>
            <w:tcMar>
              <w:bottom w:w="28" w:type="dxa"/>
            </w:tcMar>
            <w:vAlign w:val="bottom"/>
          </w:tcPr>
          <w:p>
            <w:pPr>
              <w:pStyle w:val="TableContents"/>
              <w:spacing w:before="0" w:after="0"/>
              <w:jc w:val="right"/>
              <w:rPr/>
            </w:pPr>
            <w:r>
              <w:rPr/>
              <w:t>430,305</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The actual maturity may differ from the contractual maturity because issuers may have the right to call or prepay obligations with or without call or prepayment penalties.</w:t>
      </w:r>
    </w:p>
    <w:p>
      <w:pPr>
        <w:pStyle w:val="TextBody"/>
        <w:spacing w:before="0" w:after="0"/>
        <w:rPr/>
      </w:pPr>
      <w:r>
        <w:rPr/>
      </w:r>
    </w:p>
    <w:p>
      <w:pPr>
        <w:pStyle w:val="TextBody"/>
        <w:spacing w:before="0" w:after="0"/>
        <w:jc w:val="both"/>
        <w:rPr/>
      </w:pPr>
      <w:r>
        <w:rPr/>
        <w:t>Gains and losses realized on the sale of securities available for sale are determined using the specific identification method and are recognized on a trade-date basis.  A summary of proceeds from the sale of securities available for sale and gains and losses for the six month periods ending June 30, follows:</w:t>
      </w:r>
    </w:p>
    <w:p>
      <w:pPr>
        <w:pStyle w:val="TextBody"/>
        <w:spacing w:before="0" w:after="0"/>
        <w:rPr/>
      </w:pPr>
      <w:r>
        <w:rPr/>
      </w:r>
    </w:p>
    <w:p>
      <w:pPr>
        <w:pStyle w:val="Normal"/>
        <w:spacing w:before="0" w:after="0"/>
        <w:rPr>
          <w:sz w:val="4"/>
          <w:szCs w:val="4"/>
        </w:rPr>
      </w:pPr>
      <w:r>
        <w:rPr>
          <w:sz w:val="4"/>
          <w:szCs w:val="4"/>
        </w:rPr>
      </w:r>
      <w:bookmarkStart w:id="167" w:name="z9de3944c9865415bb677e10086251935"/>
      <w:bookmarkStart w:id="168" w:name="z9de3944c9865415bb677e10086251935"/>
      <w:bookmarkEnd w:id="168"/>
    </w:p>
    <w:tbl>
      <w:tblPr>
        <w:tblW w:w="3245" w:type="dxa"/>
        <w:jc w:val="left"/>
        <w:tblInd w:w="0" w:type="dxa"/>
        <w:tblCellMar>
          <w:top w:w="0" w:type="dxa"/>
          <w:left w:w="0" w:type="dxa"/>
          <w:bottom w:w="0" w:type="dxa"/>
          <w:right w:w="0" w:type="dxa"/>
        </w:tblCellMar>
      </w:tblPr>
      <w:tblGrid>
        <w:gridCol w:w="515"/>
        <w:gridCol w:w="120"/>
        <w:gridCol w:w="149"/>
        <w:gridCol w:w="726"/>
        <w:gridCol w:w="120"/>
        <w:gridCol w:w="120"/>
        <w:gridCol w:w="154"/>
        <w:gridCol w:w="421"/>
        <w:gridCol w:w="60"/>
        <w:gridCol w:w="60"/>
        <w:gridCol w:w="179"/>
        <w:gridCol w:w="486"/>
        <w:gridCol w:w="135"/>
      </w:tblGrid>
      <w:tr>
        <w:trPr/>
        <w:tc>
          <w:tcPr>
            <w:tcW w:w="515" w:type="dxa"/>
            <w:vMerge w:val="restart"/>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875"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pPr>
            <w:r>
              <w:rPr/>
              <w:t>Proceeds</w:t>
            </w:r>
          </w:p>
        </w:tc>
        <w:tc>
          <w:tcPr>
            <w:tcW w:w="120" w:type="dxa"/>
            <w:vMerge w:val="restart"/>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1360" w:type="dxa"/>
            <w:gridSpan w:val="6"/>
            <w:tcBorders>
              <w:bottom w:val="single" w:sz="12" w:space="0" w:color="000000"/>
            </w:tcBorders>
            <w:shd w:fill="auto" w:val="clear"/>
            <w:tcMar>
              <w:bottom w:w="28" w:type="dxa"/>
            </w:tcMar>
            <w:vAlign w:val="bottom"/>
          </w:tcPr>
          <w:p>
            <w:pPr>
              <w:pStyle w:val="TableContents"/>
              <w:spacing w:before="0" w:after="0"/>
              <w:jc w:val="center"/>
              <w:rPr/>
            </w:pPr>
            <w:r>
              <w:rPr/>
              <w:t>Realized</w:t>
            </w:r>
          </w:p>
        </w:tc>
        <w:tc>
          <w:tcPr>
            <w:tcW w:w="135" w:type="dxa"/>
            <w:vMerge w:val="restart"/>
            <w:tcBorders/>
            <w:shd w:fill="auto" w:val="clear"/>
            <w:vAlign w:val="bottom"/>
          </w:tcPr>
          <w:p>
            <w:pPr>
              <w:pStyle w:val="TableContents"/>
              <w:spacing w:before="0" w:after="283"/>
              <w:rPr/>
            </w:pPr>
            <w:r>
              <w:rPr/>
              <w:t>  </w:t>
            </w:r>
          </w:p>
        </w:tc>
      </w:tr>
      <w:tr>
        <w:trPr/>
        <w:tc>
          <w:tcPr>
            <w:tcW w:w="515"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875" w:type="dxa"/>
            <w:gridSpan w:val="2"/>
            <w:vMerge w:val="continue"/>
            <w:tcBorders>
              <w:bottom w:val="single" w:sz="1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575" w:type="dxa"/>
            <w:gridSpan w:val="2"/>
            <w:tcBorders>
              <w:bottom w:val="single" w:sz="12" w:space="0" w:color="000000"/>
            </w:tcBorders>
            <w:shd w:fill="auto" w:val="clear"/>
            <w:tcMar>
              <w:bottom w:w="28" w:type="dxa"/>
            </w:tcMar>
            <w:vAlign w:val="bottom"/>
          </w:tcPr>
          <w:p>
            <w:pPr>
              <w:pStyle w:val="TableContents"/>
              <w:spacing w:before="0" w:after="0"/>
              <w:jc w:val="center"/>
              <w:rPr/>
            </w:pPr>
            <w:r>
              <w:rPr/>
              <w:t>Gains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5" w:type="dxa"/>
            <w:gridSpan w:val="2"/>
            <w:tcBorders>
              <w:bottom w:val="single" w:sz="12" w:space="0" w:color="000000"/>
            </w:tcBorders>
            <w:shd w:fill="auto" w:val="clear"/>
            <w:tcMar>
              <w:bottom w:w="28" w:type="dxa"/>
            </w:tcMar>
            <w:vAlign w:val="bottom"/>
          </w:tcPr>
          <w:p>
            <w:pPr>
              <w:pStyle w:val="TableContents"/>
              <w:spacing w:before="0" w:after="0"/>
              <w:jc w:val="center"/>
              <w:rPr/>
            </w:pPr>
            <w:r>
              <w:rPr/>
              <w:t>Losses</w:t>
            </w:r>
          </w:p>
        </w:tc>
        <w:tc>
          <w:tcPr>
            <w:tcW w:w="135" w:type="dxa"/>
            <w:vMerge w:val="continue"/>
            <w:tcBorders/>
            <w:shd w:fill="auto" w:val="clear"/>
            <w:vAlign w:val="bottom"/>
          </w:tcPr>
          <w:p>
            <w:pPr>
              <w:pStyle w:val="Normal"/>
              <w:rPr/>
            </w:pPr>
            <w:r>
              <w:rPr/>
            </w:r>
          </w:p>
        </w:tc>
      </w:tr>
      <w:tr>
        <w:trPr/>
        <w:tc>
          <w:tcPr>
            <w:tcW w:w="51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475" w:type="dxa"/>
            <w:gridSpan w:val="10"/>
            <w:tcBorders/>
            <w:shd w:fill="auto" w:val="clear"/>
            <w:vAlign w:val="bottom"/>
          </w:tcPr>
          <w:p>
            <w:pPr>
              <w:pStyle w:val="TableContents"/>
              <w:spacing w:before="0" w:after="0"/>
              <w:jc w:val="center"/>
              <w:rPr/>
            </w:pPr>
            <w:r>
              <w:rPr/>
              <w:t>(In thousands)</w:t>
            </w:r>
          </w:p>
        </w:tc>
        <w:tc>
          <w:tcPr>
            <w:tcW w:w="135" w:type="dxa"/>
            <w:tcBorders/>
            <w:shd w:fill="auto" w:val="clear"/>
            <w:vAlign w:val="bottom"/>
          </w:tcPr>
          <w:p>
            <w:pPr>
              <w:pStyle w:val="TableContents"/>
              <w:spacing w:before="0" w:after="283"/>
              <w:rPr/>
            </w:pPr>
            <w:r>
              <w:rPr/>
              <w:t> </w:t>
            </w:r>
          </w:p>
        </w:tc>
      </w:tr>
      <w:tr>
        <w:trPr/>
        <w:tc>
          <w:tcPr>
            <w:tcW w:w="515" w:type="dxa"/>
            <w:tcBorders/>
            <w:shd w:fill="CCEEFF" w:val="clear"/>
            <w:vAlign w:val="bottom"/>
          </w:tcPr>
          <w:p>
            <w:pPr>
              <w:pStyle w:val="TableContents"/>
              <w:spacing w:before="0" w:after="0"/>
              <w:ind w:left="144" w:right="0" w:hanging="144"/>
              <w:rPr/>
            </w:pPr>
            <w:r>
              <w:rPr/>
              <w:t>2019</w:t>
            </w:r>
          </w:p>
        </w:tc>
        <w:tc>
          <w:tcPr>
            <w:tcW w:w="12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0"/>
              <w:rPr/>
            </w:pPr>
            <w:r>
              <w:rPr/>
              <w:t>$</w:t>
            </w:r>
          </w:p>
        </w:tc>
        <w:tc>
          <w:tcPr>
            <w:tcW w:w="726" w:type="dxa"/>
            <w:tcBorders/>
            <w:shd w:fill="CCEEFF" w:val="clear"/>
            <w:vAlign w:val="bottom"/>
          </w:tcPr>
          <w:p>
            <w:pPr>
              <w:pStyle w:val="TableContents"/>
              <w:spacing w:before="0" w:after="0"/>
              <w:jc w:val="right"/>
              <w:rPr/>
            </w:pPr>
            <w:r>
              <w:rPr/>
              <w:t>42,236</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rPr/>
            </w:pPr>
            <w:r>
              <w:rPr/>
              <w:t>$</w:t>
            </w:r>
          </w:p>
        </w:tc>
        <w:tc>
          <w:tcPr>
            <w:tcW w:w="421" w:type="dxa"/>
            <w:tcBorders/>
            <w:shd w:fill="CCEEFF" w:val="clear"/>
            <w:vAlign w:val="bottom"/>
          </w:tcPr>
          <w:p>
            <w:pPr>
              <w:pStyle w:val="TableContents"/>
              <w:spacing w:before="0" w:after="0"/>
              <w:jc w:val="right"/>
              <w:rPr/>
            </w:pPr>
            <w:r>
              <w:rPr/>
              <w:t>169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0"/>
              <w:rPr/>
            </w:pPr>
            <w:r>
              <w:rPr/>
              <w:t>$</w:t>
            </w:r>
          </w:p>
        </w:tc>
        <w:tc>
          <w:tcPr>
            <w:tcW w:w="486" w:type="dxa"/>
            <w:tcBorders/>
            <w:shd w:fill="CCEEFF" w:val="clear"/>
            <w:vAlign w:val="bottom"/>
          </w:tcPr>
          <w:p>
            <w:pPr>
              <w:pStyle w:val="TableContents"/>
              <w:spacing w:before="0" w:after="0"/>
              <w:jc w:val="right"/>
              <w:rPr/>
            </w:pPr>
            <w:r>
              <w:rPr/>
              <w:t>32</w:t>
            </w:r>
          </w:p>
        </w:tc>
        <w:tc>
          <w:tcPr>
            <w:tcW w:w="135" w:type="dxa"/>
            <w:tcBorders/>
            <w:shd w:fill="CCEEFF" w:val="clear"/>
            <w:vAlign w:val="bottom"/>
          </w:tcPr>
          <w:p>
            <w:pPr>
              <w:pStyle w:val="TableContents"/>
              <w:spacing w:before="0" w:after="283"/>
              <w:rPr/>
            </w:pPr>
            <w:r>
              <w:rPr/>
              <w:t> </w:t>
            </w:r>
          </w:p>
        </w:tc>
      </w:tr>
      <w:tr>
        <w:trPr/>
        <w:tc>
          <w:tcPr>
            <w:tcW w:w="515" w:type="dxa"/>
            <w:tcBorders/>
            <w:shd w:fill="FFFFFF" w:val="clear"/>
            <w:vAlign w:val="bottom"/>
          </w:tcPr>
          <w:p>
            <w:pPr>
              <w:pStyle w:val="TableContents"/>
              <w:spacing w:before="0" w:after="0"/>
              <w:ind w:left="144" w:right="0" w:hanging="144"/>
              <w:rPr/>
            </w:pPr>
            <w:r>
              <w:rPr/>
              <w:t>2018</w:t>
            </w:r>
          </w:p>
        </w:tc>
        <w:tc>
          <w:tcPr>
            <w:tcW w:w="120"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0"/>
              <w:rPr/>
            </w:pPr>
            <w:r>
              <w:rPr/>
              <w:t>$</w:t>
            </w:r>
          </w:p>
        </w:tc>
        <w:tc>
          <w:tcPr>
            <w:tcW w:w="726" w:type="dxa"/>
            <w:tcBorders/>
            <w:shd w:fill="FFFFFF" w:val="clear"/>
            <w:vAlign w:val="bottom"/>
          </w:tcPr>
          <w:p>
            <w:pPr>
              <w:pStyle w:val="TableContents"/>
              <w:spacing w:before="0" w:after="0"/>
              <w:jc w:val="right"/>
              <w:rPr/>
            </w:pPr>
            <w:r>
              <w:rPr/>
              <w:t>31,445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0"/>
              <w:rPr/>
            </w:pPr>
            <w:r>
              <w:rPr/>
              <w:t>$</w:t>
            </w:r>
          </w:p>
        </w:tc>
        <w:tc>
          <w:tcPr>
            <w:tcW w:w="421" w:type="dxa"/>
            <w:tcBorders/>
            <w:shd w:fill="FFFFFF" w:val="clear"/>
            <w:vAlign w:val="bottom"/>
          </w:tcPr>
          <w:p>
            <w:pPr>
              <w:pStyle w:val="TableContents"/>
              <w:spacing w:before="0" w:after="0"/>
              <w:jc w:val="right"/>
              <w:rPr/>
            </w:pPr>
            <w:r>
              <w:rPr/>
              <w:t>81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0"/>
              <w:rPr/>
            </w:pPr>
            <w:r>
              <w:rPr/>
              <w:t>$</w:t>
            </w:r>
          </w:p>
        </w:tc>
        <w:tc>
          <w:tcPr>
            <w:tcW w:w="486" w:type="dxa"/>
            <w:tcBorders/>
            <w:shd w:fill="FFFFFF" w:val="clear"/>
            <w:vAlign w:val="bottom"/>
          </w:tcPr>
          <w:p>
            <w:pPr>
              <w:pStyle w:val="TableContents"/>
              <w:spacing w:before="0" w:after="0"/>
              <w:jc w:val="right"/>
              <w:rPr/>
            </w:pPr>
            <w:r>
              <w:rPr/>
              <w:t>126</w:t>
            </w:r>
          </w:p>
        </w:tc>
        <w:tc>
          <w:tcPr>
            <w:tcW w:w="13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color w:val="231F20"/>
        </w:rPr>
        <w:t xml:space="preserve">Certain preferred stocks which were all sold during the first quarter of 2019 had been classified as equity securities at fair value in our Condensed Consolidated Statement of Financial Condition.  During the six months ended June 30, 2019 and 2018 we recognized gains (losses) on these preferred stocks of $0.167 million </w:t>
      </w:r>
      <w:r>
        <w:rPr/>
        <w:t>and $(0.119) million, respectively, that are included in net gains (losses) on securities in the Condensed Consolidated Statements of Operations.  Zero and $(0.119) million of these gains (losses) during the six months ended June 30, 2019 and 2018, respectively relate to preferred stock still held at each respective period end.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9" w:name="DSPFPageBreakArea14"/>
      <w:bookmarkStart w:id="170" w:name="DSPFPageBreakArea14"/>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71" w:name="DSPFPageNumber14"/>
      <w:bookmarkStart w:id="172" w:name="DSPFPageNumberArea13"/>
      <w:bookmarkEnd w:id="171"/>
      <w:bookmarkEnd w:id="172"/>
      <w:r>
        <w:rPr>
          <w:b w:val="false"/>
          <w:i w:val="false"/>
          <w:caps w:val="false"/>
          <w:smallCaps w:val="false"/>
          <w:sz w:val="13"/>
        </w:rPr>
        <w:t>15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3" w:name="DSPFPageBreak14"/>
      <w:bookmarkStart w:id="174" w:name="DSPFPageBreak14"/>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175" w:name="DSPFPageHeader13"/>
        <w:bookmarkEnd w:id="17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 xml:space="preserve">4.  </w:t>
      </w:r>
      <w:r>
        <w:rPr>
          <w:u w:val="single"/>
        </w:rPr>
        <w:t>Loans</w:t>
      </w:r>
    </w:p>
    <w:p>
      <w:pPr>
        <w:pStyle w:val="TextBody"/>
        <w:spacing w:before="0" w:after="0"/>
        <w:rPr/>
      </w:pPr>
      <w:r>
        <w:rPr/>
      </w:r>
    </w:p>
    <w:p>
      <w:pPr>
        <w:pStyle w:val="TextBody"/>
        <w:spacing w:before="0" w:after="0"/>
        <w:jc w:val="both"/>
        <w:rPr/>
      </w:pPr>
      <w:r>
        <w:rPr/>
        <w:t>Our assessment of the allowance for loan losses is based on an evaluation of the loan portfolio, recent and historical loss experience, current economic conditions and other pertinent factors.</w:t>
      </w:r>
    </w:p>
    <w:p>
      <w:pPr>
        <w:pStyle w:val="TextBody"/>
        <w:spacing w:before="0" w:after="0"/>
        <w:rPr/>
      </w:pPr>
      <w:r>
        <w:rPr/>
      </w:r>
    </w:p>
    <w:p>
      <w:pPr>
        <w:pStyle w:val="TextBody"/>
        <w:spacing w:before="0" w:after="0"/>
        <w:ind w:left="180" w:right="0" w:hanging="0"/>
        <w:rPr/>
      </w:pPr>
      <w:r>
        <w:rPr/>
        <w:t>An analysis of the allowance for loan losses by portfolio segment for the three months ended June 30, follows:</w:t>
      </w:r>
    </w:p>
    <w:p>
      <w:pPr>
        <w:pStyle w:val="TextBody"/>
        <w:spacing w:before="0" w:after="0"/>
        <w:rPr/>
      </w:pPr>
      <w:r>
        <w:rPr/>
      </w:r>
    </w:p>
    <w:p>
      <w:pPr>
        <w:pStyle w:val="Normal"/>
        <w:spacing w:before="0" w:after="0"/>
        <w:rPr>
          <w:sz w:val="4"/>
          <w:szCs w:val="4"/>
        </w:rPr>
      </w:pPr>
      <w:r>
        <w:rPr>
          <w:sz w:val="4"/>
          <w:szCs w:val="4"/>
        </w:rPr>
      </w:r>
      <w:bookmarkStart w:id="176" w:name="z2aa80e6b14f24001b45bcdc63b46a589"/>
      <w:bookmarkStart w:id="177" w:name="z2aa80e6b14f24001b45bcdc63b46a589"/>
      <w:bookmarkEnd w:id="177"/>
    </w:p>
    <w:tbl>
      <w:tblPr>
        <w:tblW w:w="9265" w:type="dxa"/>
        <w:jc w:val="left"/>
        <w:tblInd w:w="0" w:type="dxa"/>
        <w:tblCellMar>
          <w:top w:w="0" w:type="dxa"/>
          <w:left w:w="0" w:type="dxa"/>
          <w:bottom w:w="0" w:type="dxa"/>
          <w:right w:w="0" w:type="dxa"/>
        </w:tblCellMar>
      </w:tblPr>
      <w:tblGrid>
        <w:gridCol w:w="3515"/>
        <w:gridCol w:w="60"/>
        <w:gridCol w:w="235"/>
        <w:gridCol w:w="940"/>
        <w:gridCol w:w="95"/>
        <w:gridCol w:w="60"/>
        <w:gridCol w:w="187"/>
        <w:gridCol w:w="748"/>
        <w:gridCol w:w="95"/>
        <w:gridCol w:w="60"/>
        <w:gridCol w:w="211"/>
        <w:gridCol w:w="844"/>
        <w:gridCol w:w="95"/>
        <w:gridCol w:w="60"/>
        <w:gridCol w:w="202"/>
        <w:gridCol w:w="808"/>
        <w:gridCol w:w="60"/>
        <w:gridCol w:w="60"/>
        <w:gridCol w:w="140"/>
        <w:gridCol w:w="680"/>
        <w:gridCol w:w="110"/>
      </w:tblGrid>
      <w:tr>
        <w:trPr/>
        <w:tc>
          <w:tcPr>
            <w:tcW w:w="35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pPr>
            <w:r>
              <w:rPr/>
              <w:t>Commercial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pPr>
            <w:r>
              <w:rPr/>
              <w:t>Mortgage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Installment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pPr>
            <w:r>
              <w:rPr/>
              <w:t>Subjective</w:t>
            </w:r>
          </w:p>
          <w:p>
            <w:pPr>
              <w:pStyle w:val="TableContents"/>
              <w:spacing w:before="0" w:after="0"/>
              <w:jc w:val="center"/>
              <w:rPr/>
            </w:pPr>
            <w:r>
              <w:rPr/>
              <w:t>Allocation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110"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580" w:type="dxa"/>
            <w:gridSpan w:val="18"/>
            <w:tcBorders/>
            <w:shd w:fill="auto" w:val="clear"/>
            <w:vAlign w:val="bottom"/>
          </w:tcPr>
          <w:p>
            <w:pPr>
              <w:pStyle w:val="TableContents"/>
              <w:spacing w:before="0" w:after="0"/>
              <w:jc w:val="center"/>
              <w:rPr/>
            </w:pPr>
            <w:r>
              <w:rPr/>
              <w:t>(In thousands)</w:t>
            </w:r>
          </w:p>
        </w:tc>
        <w:tc>
          <w:tcPr>
            <w:tcW w:w="110"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0"/>
              <w:ind w:left="144" w:right="0" w:hanging="144"/>
              <w:rPr/>
            </w:pPr>
            <w:r>
              <w:rPr/>
              <w:t>2019</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324" w:right="0" w:hanging="144"/>
              <w:rPr/>
            </w:pPr>
            <w:r>
              <w:rPr/>
              <w:t>Balance at beginning of period</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940" w:type="dxa"/>
            <w:tcBorders/>
            <w:shd w:fill="CCEEFF" w:val="clear"/>
            <w:vAlign w:val="bottom"/>
          </w:tcPr>
          <w:p>
            <w:pPr>
              <w:pStyle w:val="TableContents"/>
              <w:spacing w:before="0" w:after="0"/>
              <w:jc w:val="right"/>
              <w:rPr/>
            </w:pPr>
            <w:r>
              <w:rPr/>
              <w:t>7,518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0"/>
              <w:rPr/>
            </w:pPr>
            <w:r>
              <w:rPr/>
              <w:t>$</w:t>
            </w:r>
          </w:p>
        </w:tc>
        <w:tc>
          <w:tcPr>
            <w:tcW w:w="748" w:type="dxa"/>
            <w:tcBorders/>
            <w:shd w:fill="CCEEFF" w:val="clear"/>
            <w:vAlign w:val="bottom"/>
          </w:tcPr>
          <w:p>
            <w:pPr>
              <w:pStyle w:val="TableContents"/>
              <w:spacing w:before="0" w:after="0"/>
              <w:jc w:val="right"/>
              <w:rPr/>
            </w:pPr>
            <w:r>
              <w:rPr/>
              <w:t>8,412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rPr/>
            </w:pPr>
            <w:r>
              <w:rPr/>
              <w:t>$</w:t>
            </w:r>
          </w:p>
        </w:tc>
        <w:tc>
          <w:tcPr>
            <w:tcW w:w="844" w:type="dxa"/>
            <w:tcBorders/>
            <w:shd w:fill="CCEEFF" w:val="clear"/>
            <w:vAlign w:val="bottom"/>
          </w:tcPr>
          <w:p>
            <w:pPr>
              <w:pStyle w:val="TableContents"/>
              <w:spacing w:before="0" w:after="0"/>
              <w:jc w:val="right"/>
              <w:rPr/>
            </w:pPr>
            <w:r>
              <w:rPr/>
              <w:t>1,251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0"/>
              <w:rPr/>
            </w:pPr>
            <w:r>
              <w:rPr/>
              <w:t>$</w:t>
            </w:r>
          </w:p>
        </w:tc>
        <w:tc>
          <w:tcPr>
            <w:tcW w:w="808" w:type="dxa"/>
            <w:tcBorders/>
            <w:shd w:fill="CCEEFF" w:val="clear"/>
            <w:vAlign w:val="bottom"/>
          </w:tcPr>
          <w:p>
            <w:pPr>
              <w:pStyle w:val="TableContents"/>
              <w:spacing w:before="0" w:after="0"/>
              <w:jc w:val="right"/>
              <w:rPr/>
            </w:pPr>
            <w:r>
              <w:rPr/>
              <w:t>8,073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25,254</w:t>
            </w:r>
          </w:p>
        </w:tc>
        <w:tc>
          <w:tcPr>
            <w:tcW w:w="110" w:type="dxa"/>
            <w:tcBorders/>
            <w:shd w:fill="CCEEFF" w:val="clear"/>
            <w:vAlign w:val="bottom"/>
          </w:tcPr>
          <w:p>
            <w:pPr>
              <w:pStyle w:val="TableContents"/>
              <w:spacing w:before="0" w:after="283"/>
              <w:rPr/>
            </w:pPr>
            <w:r>
              <w:rPr/>
              <w:t> </w:t>
            </w:r>
          </w:p>
        </w:tc>
      </w:tr>
      <w:tr>
        <w:trPr/>
        <w:tc>
          <w:tcPr>
            <w:tcW w:w="3515" w:type="dxa"/>
            <w:tcBorders/>
            <w:shd w:fill="FFFFFF" w:val="clear"/>
            <w:vAlign w:val="bottom"/>
          </w:tcPr>
          <w:p>
            <w:pPr>
              <w:pStyle w:val="TableContents"/>
              <w:spacing w:before="0" w:after="0"/>
              <w:ind w:left="324" w:right="0" w:hanging="144"/>
              <w:rPr/>
            </w:pPr>
            <w:r>
              <w:rPr/>
              <w:t>Additions (deductions)</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748"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504" w:right="0" w:hanging="144"/>
              <w:rPr/>
            </w:pPr>
            <w:r>
              <w:rPr/>
              <w:t>Provision for loan losses</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0"/>
              <w:jc w:val="right"/>
              <w:rPr/>
            </w:pPr>
            <w:r>
              <w:rPr/>
              <w:t>475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0"/>
              <w:jc w:val="right"/>
              <w:rPr/>
            </w:pPr>
            <w:r>
              <w:rPr/>
              <w:t>(386</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209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0"/>
              <w:jc w:val="right"/>
              <w:rPr/>
            </w:pPr>
            <w:r>
              <w:rPr/>
              <w:t>354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652</w:t>
            </w:r>
          </w:p>
        </w:tc>
        <w:tc>
          <w:tcPr>
            <w:tcW w:w="110" w:type="dxa"/>
            <w:tcBorders/>
            <w:shd w:fill="CCEEFF" w:val="clear"/>
            <w:vAlign w:val="bottom"/>
          </w:tcPr>
          <w:p>
            <w:pPr>
              <w:pStyle w:val="TableContents"/>
              <w:spacing w:before="0" w:after="283"/>
              <w:rPr/>
            </w:pPr>
            <w:r>
              <w:rPr/>
              <w:t> </w:t>
            </w:r>
          </w:p>
        </w:tc>
      </w:tr>
      <w:tr>
        <w:trPr/>
        <w:tc>
          <w:tcPr>
            <w:tcW w:w="3515" w:type="dxa"/>
            <w:tcBorders/>
            <w:shd w:fill="FFFFFF" w:val="clear"/>
            <w:vAlign w:val="bottom"/>
          </w:tcPr>
          <w:p>
            <w:pPr>
              <w:pStyle w:val="TableContents"/>
              <w:spacing w:before="0" w:after="0"/>
              <w:ind w:left="540" w:right="0" w:hanging="180"/>
              <w:rPr/>
            </w:pPr>
            <w:r>
              <w:rPr/>
              <w:t>Recoveries credited to the allowance</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0"/>
              <w:jc w:val="right"/>
              <w:rPr/>
            </w:pPr>
            <w:r>
              <w:rPr/>
              <w:t>378</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748" w:type="dxa"/>
            <w:tcBorders/>
            <w:shd w:fill="FFFFFF" w:val="clear"/>
            <w:vAlign w:val="bottom"/>
          </w:tcPr>
          <w:p>
            <w:pPr>
              <w:pStyle w:val="TableContents"/>
              <w:spacing w:before="0" w:after="0"/>
              <w:jc w:val="right"/>
              <w:rPr/>
            </w:pPr>
            <w:r>
              <w:rPr/>
              <w:t>327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184</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889</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540" w:right="0" w:hanging="180"/>
              <w:rPr/>
            </w:pPr>
            <w:r>
              <w:rPr/>
              <w:t>Loans charged against the allowance</w:t>
            </w:r>
          </w:p>
        </w:tc>
        <w:tc>
          <w:tcPr>
            <w:tcW w:w="60" w:type="dxa"/>
            <w:tcBorders/>
            <w:shd w:fill="CCEEFF" w:val="clear"/>
            <w:vAlign w:val="bottom"/>
          </w:tcPr>
          <w:p>
            <w:pPr>
              <w:pStyle w:val="TableContents"/>
              <w:spacing w:before="0" w:after="283"/>
              <w:rPr/>
            </w:pPr>
            <w:r>
              <w:rPr/>
              <w:t> </w:t>
            </w:r>
          </w:p>
        </w:tc>
        <w:tc>
          <w:tcPr>
            <w:tcW w:w="23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40" w:type="dxa"/>
            <w:tcBorders>
              <w:bottom w:val="single" w:sz="12" w:space="0" w:color="000000"/>
            </w:tcBorders>
            <w:shd w:fill="CCEEFF" w:val="clear"/>
            <w:tcMar>
              <w:bottom w:w="28" w:type="dxa"/>
            </w:tcMar>
            <w:vAlign w:val="bottom"/>
          </w:tcPr>
          <w:p>
            <w:pPr>
              <w:pStyle w:val="TableContents"/>
              <w:spacing w:before="0" w:after="0"/>
              <w:jc w:val="right"/>
              <w:rPr/>
            </w:pPr>
            <w:r>
              <w:rPr/>
              <w:t>(250</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8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8" w:type="dxa"/>
            <w:tcBorders>
              <w:bottom w:val="single" w:sz="12" w:space="0" w:color="000000"/>
            </w:tcBorders>
            <w:shd w:fill="CCEEFF" w:val="clear"/>
            <w:tcMar>
              <w:bottom w:w="28" w:type="dxa"/>
            </w:tcMar>
            <w:vAlign w:val="bottom"/>
          </w:tcPr>
          <w:p>
            <w:pPr>
              <w:pStyle w:val="TableContents"/>
              <w:spacing w:before="0" w:after="0"/>
              <w:jc w:val="right"/>
              <w:rPr/>
            </w:pPr>
            <w:r>
              <w:rPr/>
              <w:t>(291</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(351</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(892</w:t>
            </w:r>
          </w:p>
        </w:tc>
        <w:tc>
          <w:tcPr>
            <w:tcW w:w="110" w:type="dxa"/>
            <w:tcBorders/>
            <w:shd w:fill="CCEEFF" w:val="clear"/>
            <w:vAlign w:val="bottom"/>
          </w:tcPr>
          <w:p>
            <w:pPr>
              <w:pStyle w:val="TableContents"/>
              <w:spacing w:before="0" w:after="0"/>
              <w:rPr/>
            </w:pPr>
            <w:r>
              <w:rPr/>
              <w:t>)</w:t>
            </w:r>
          </w:p>
        </w:tc>
      </w:tr>
      <w:tr>
        <w:trPr/>
        <w:tc>
          <w:tcPr>
            <w:tcW w:w="3515" w:type="dxa"/>
            <w:tcBorders/>
            <w:shd w:fill="FFFFFF" w:val="clear"/>
            <w:vAlign w:val="bottom"/>
          </w:tcPr>
          <w:p>
            <w:pPr>
              <w:pStyle w:val="TableContents"/>
              <w:spacing w:before="0" w:after="0"/>
              <w:ind w:left="324" w:right="0" w:hanging="144"/>
              <w:rPr/>
            </w:pPr>
            <w:r>
              <w:rPr/>
              <w:t>Balance at end of period</w:t>
            </w:r>
          </w:p>
        </w:tc>
        <w:tc>
          <w:tcPr>
            <w:tcW w:w="60" w:type="dxa"/>
            <w:tcBorders/>
            <w:shd w:fill="FFFFFF" w:val="clear"/>
            <w:vAlign w:val="bottom"/>
          </w:tcPr>
          <w:p>
            <w:pPr>
              <w:pStyle w:val="TableContents"/>
              <w:spacing w:before="0" w:after="283"/>
              <w:rPr/>
            </w:pPr>
            <w:r>
              <w:rPr/>
              <w:t> </w:t>
            </w:r>
          </w:p>
        </w:tc>
        <w:tc>
          <w:tcPr>
            <w:tcW w:w="235" w:type="dxa"/>
            <w:tcBorders>
              <w:bottom w:val="double" w:sz="8" w:space="0" w:color="000000"/>
            </w:tcBorders>
            <w:shd w:fill="FFFFFF" w:val="clear"/>
            <w:tcMar>
              <w:bottom w:w="28" w:type="dxa"/>
            </w:tcMar>
            <w:vAlign w:val="bottom"/>
          </w:tcPr>
          <w:p>
            <w:pPr>
              <w:pStyle w:val="TableContents"/>
              <w:spacing w:before="0" w:after="0"/>
              <w:rPr/>
            </w:pPr>
            <w:r>
              <w:rPr/>
              <w:t>$</w:t>
            </w:r>
          </w:p>
        </w:tc>
        <w:tc>
          <w:tcPr>
            <w:tcW w:w="940" w:type="dxa"/>
            <w:tcBorders>
              <w:bottom w:val="double" w:sz="8" w:space="0" w:color="000000"/>
            </w:tcBorders>
            <w:shd w:fill="FFFFFF" w:val="clear"/>
            <w:tcMar>
              <w:bottom w:w="28" w:type="dxa"/>
            </w:tcMar>
            <w:vAlign w:val="bottom"/>
          </w:tcPr>
          <w:p>
            <w:pPr>
              <w:pStyle w:val="TableContents"/>
              <w:spacing w:before="0" w:after="0"/>
              <w:jc w:val="right"/>
              <w:rPr/>
            </w:pPr>
            <w:r>
              <w:rPr/>
              <w:t>8,121</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bottom w:val="double" w:sz="8" w:space="0" w:color="000000"/>
            </w:tcBorders>
            <w:shd w:fill="FFFFFF" w:val="clear"/>
            <w:tcMar>
              <w:bottom w:w="28" w:type="dxa"/>
            </w:tcMar>
            <w:vAlign w:val="bottom"/>
          </w:tcPr>
          <w:p>
            <w:pPr>
              <w:pStyle w:val="TableContents"/>
              <w:spacing w:before="0" w:after="0"/>
              <w:rPr/>
            </w:pPr>
            <w:r>
              <w:rPr/>
              <w:t>$</w:t>
            </w:r>
          </w:p>
        </w:tc>
        <w:tc>
          <w:tcPr>
            <w:tcW w:w="748" w:type="dxa"/>
            <w:tcBorders>
              <w:bottom w:val="double" w:sz="8" w:space="0" w:color="000000"/>
            </w:tcBorders>
            <w:shd w:fill="FFFFFF" w:val="clear"/>
            <w:tcMar>
              <w:bottom w:w="28" w:type="dxa"/>
            </w:tcMar>
            <w:vAlign w:val="bottom"/>
          </w:tcPr>
          <w:p>
            <w:pPr>
              <w:pStyle w:val="TableContents"/>
              <w:spacing w:before="0" w:after="0"/>
              <w:jc w:val="right"/>
              <w:rPr/>
            </w:pPr>
            <w:r>
              <w:rPr/>
              <w:t>8,062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double" w:sz="8" w:space="0" w:color="000000"/>
            </w:tcBorders>
            <w:shd w:fill="FFFFFF" w:val="clear"/>
            <w:tcMar>
              <w:bottom w:w="28" w:type="dxa"/>
            </w:tcMar>
            <w:vAlign w:val="bottom"/>
          </w:tcPr>
          <w:p>
            <w:pPr>
              <w:pStyle w:val="TableContents"/>
              <w:spacing w:before="0" w:after="0"/>
              <w:rPr/>
            </w:pPr>
            <w:r>
              <w:rPr/>
              <w:t>$</w:t>
            </w:r>
          </w:p>
        </w:tc>
        <w:tc>
          <w:tcPr>
            <w:tcW w:w="844" w:type="dxa"/>
            <w:tcBorders>
              <w:bottom w:val="double" w:sz="8" w:space="0" w:color="000000"/>
            </w:tcBorders>
            <w:shd w:fill="FFFFFF" w:val="clear"/>
            <w:tcMar>
              <w:bottom w:w="28" w:type="dxa"/>
            </w:tcMar>
            <w:vAlign w:val="bottom"/>
          </w:tcPr>
          <w:p>
            <w:pPr>
              <w:pStyle w:val="TableContents"/>
              <w:spacing w:before="0" w:after="0"/>
              <w:jc w:val="right"/>
              <w:rPr/>
            </w:pPr>
            <w:r>
              <w:rPr/>
              <w:t>1,293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bottom w:val="double" w:sz="8" w:space="0" w:color="000000"/>
            </w:tcBorders>
            <w:shd w:fill="FFFFFF" w:val="clear"/>
            <w:tcMar>
              <w:bottom w:w="28" w:type="dxa"/>
            </w:tcMar>
            <w:vAlign w:val="bottom"/>
          </w:tcPr>
          <w:p>
            <w:pPr>
              <w:pStyle w:val="TableContents"/>
              <w:spacing w:before="0" w:after="0"/>
              <w:rPr/>
            </w:pPr>
            <w:r>
              <w:rPr/>
              <w:t>$</w:t>
            </w:r>
          </w:p>
        </w:tc>
        <w:tc>
          <w:tcPr>
            <w:tcW w:w="808" w:type="dxa"/>
            <w:tcBorders>
              <w:bottom w:val="double" w:sz="8" w:space="0" w:color="000000"/>
            </w:tcBorders>
            <w:shd w:fill="FFFFFF" w:val="clear"/>
            <w:tcMar>
              <w:bottom w:w="28" w:type="dxa"/>
            </w:tcMar>
            <w:vAlign w:val="bottom"/>
          </w:tcPr>
          <w:p>
            <w:pPr>
              <w:pStyle w:val="TableContents"/>
              <w:spacing w:before="0" w:after="0"/>
              <w:jc w:val="right"/>
              <w:rPr/>
            </w:pPr>
            <w:r>
              <w:rPr/>
              <w:t>8,427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25,903</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3515" w:type="dxa"/>
            <w:tcBorders/>
            <w:shd w:fill="FFFFFF" w:val="clear"/>
            <w:vAlign w:val="bottom"/>
          </w:tcPr>
          <w:p>
            <w:pPr>
              <w:pStyle w:val="TableContents"/>
              <w:spacing w:before="0" w:after="0"/>
              <w:ind w:left="144" w:right="0" w:hanging="144"/>
              <w:rPr/>
            </w:pPr>
            <w:r>
              <w:rPr/>
              <w:t>2018</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748"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324" w:right="0" w:hanging="144"/>
              <w:rPr/>
            </w:pPr>
            <w:r>
              <w:rPr/>
              <w:t>Balance at beginning of period</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940" w:type="dxa"/>
            <w:tcBorders/>
            <w:shd w:fill="CCEEFF" w:val="clear"/>
            <w:vAlign w:val="bottom"/>
          </w:tcPr>
          <w:p>
            <w:pPr>
              <w:pStyle w:val="TableContents"/>
              <w:spacing w:before="0" w:after="0"/>
              <w:jc w:val="right"/>
              <w:rPr/>
            </w:pPr>
            <w:r>
              <w:rPr/>
              <w:t>6,026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0"/>
              <w:rPr/>
            </w:pPr>
            <w:r>
              <w:rPr/>
              <w:t>$</w:t>
            </w:r>
          </w:p>
        </w:tc>
        <w:tc>
          <w:tcPr>
            <w:tcW w:w="748" w:type="dxa"/>
            <w:tcBorders/>
            <w:shd w:fill="CCEEFF" w:val="clear"/>
            <w:vAlign w:val="bottom"/>
          </w:tcPr>
          <w:p>
            <w:pPr>
              <w:pStyle w:val="TableContents"/>
              <w:spacing w:before="0" w:after="0"/>
              <w:jc w:val="right"/>
              <w:rPr/>
            </w:pPr>
            <w:r>
              <w:rPr/>
              <w:t>8,621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rPr/>
            </w:pPr>
            <w:r>
              <w:rPr/>
              <w:t>$</w:t>
            </w:r>
          </w:p>
        </w:tc>
        <w:tc>
          <w:tcPr>
            <w:tcW w:w="844" w:type="dxa"/>
            <w:tcBorders/>
            <w:shd w:fill="CCEEFF" w:val="clear"/>
            <w:vAlign w:val="bottom"/>
          </w:tcPr>
          <w:p>
            <w:pPr>
              <w:pStyle w:val="TableContents"/>
              <w:spacing w:before="0" w:after="0"/>
              <w:jc w:val="right"/>
              <w:rPr/>
            </w:pPr>
            <w:r>
              <w:rPr/>
              <w:t>795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0"/>
              <w:rPr/>
            </w:pPr>
            <w:r>
              <w:rPr/>
              <w:t>$</w:t>
            </w:r>
          </w:p>
        </w:tc>
        <w:tc>
          <w:tcPr>
            <w:tcW w:w="808" w:type="dxa"/>
            <w:tcBorders/>
            <w:shd w:fill="CCEEFF" w:val="clear"/>
            <w:vAlign w:val="bottom"/>
          </w:tcPr>
          <w:p>
            <w:pPr>
              <w:pStyle w:val="TableContents"/>
              <w:spacing w:before="0" w:after="0"/>
              <w:jc w:val="right"/>
              <w:rPr/>
            </w:pPr>
            <w:r>
              <w:rPr/>
              <w:t>7,629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23,071</w:t>
            </w:r>
          </w:p>
        </w:tc>
        <w:tc>
          <w:tcPr>
            <w:tcW w:w="110" w:type="dxa"/>
            <w:tcBorders/>
            <w:shd w:fill="CCEEFF" w:val="clear"/>
            <w:vAlign w:val="bottom"/>
          </w:tcPr>
          <w:p>
            <w:pPr>
              <w:pStyle w:val="TableContents"/>
              <w:spacing w:before="0" w:after="283"/>
              <w:rPr/>
            </w:pPr>
            <w:r>
              <w:rPr/>
              <w:t> </w:t>
            </w:r>
          </w:p>
        </w:tc>
      </w:tr>
      <w:tr>
        <w:trPr/>
        <w:tc>
          <w:tcPr>
            <w:tcW w:w="3515" w:type="dxa"/>
            <w:tcBorders/>
            <w:shd w:fill="FFFFFF" w:val="clear"/>
            <w:vAlign w:val="bottom"/>
          </w:tcPr>
          <w:p>
            <w:pPr>
              <w:pStyle w:val="TableContents"/>
              <w:spacing w:before="0" w:after="0"/>
              <w:ind w:left="324" w:right="0" w:hanging="144"/>
              <w:rPr/>
            </w:pPr>
            <w:r>
              <w:rPr/>
              <w:t>Additions (deductions)</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748"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504" w:right="0" w:hanging="144"/>
              <w:rPr/>
            </w:pPr>
            <w:r>
              <w:rPr/>
              <w:t>Provision for loan losses</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0"/>
              <w:jc w:val="right"/>
              <w:rPr/>
            </w:pPr>
            <w:r>
              <w:rPr/>
              <w:t>(362</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0"/>
              <w:jc w:val="right"/>
              <w:rPr/>
            </w:pPr>
            <w:r>
              <w:rPr/>
              <w:t>216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138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0"/>
              <w:jc w:val="right"/>
              <w:rPr/>
            </w:pPr>
            <w:r>
              <w:rPr/>
              <w:t>658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650</w:t>
            </w:r>
          </w:p>
        </w:tc>
        <w:tc>
          <w:tcPr>
            <w:tcW w:w="110" w:type="dxa"/>
            <w:tcBorders/>
            <w:shd w:fill="CCEEFF" w:val="clear"/>
            <w:vAlign w:val="bottom"/>
          </w:tcPr>
          <w:p>
            <w:pPr>
              <w:pStyle w:val="TableContents"/>
              <w:spacing w:before="0" w:after="283"/>
              <w:rPr/>
            </w:pPr>
            <w:r>
              <w:rPr/>
              <w:t> </w:t>
            </w:r>
          </w:p>
        </w:tc>
      </w:tr>
      <w:tr>
        <w:trPr/>
        <w:tc>
          <w:tcPr>
            <w:tcW w:w="3515" w:type="dxa"/>
            <w:tcBorders/>
            <w:shd w:fill="FFFFFF" w:val="clear"/>
            <w:vAlign w:val="bottom"/>
          </w:tcPr>
          <w:p>
            <w:pPr>
              <w:pStyle w:val="TableContents"/>
              <w:spacing w:before="0" w:after="0"/>
              <w:ind w:left="540" w:right="0" w:hanging="180"/>
              <w:rPr/>
            </w:pPr>
            <w:r>
              <w:rPr/>
              <w:t>Recoveries credited to the allowance</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0"/>
              <w:jc w:val="right"/>
              <w:rPr/>
            </w:pPr>
            <w:r>
              <w:rPr/>
              <w:t>434</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748" w:type="dxa"/>
            <w:tcBorders/>
            <w:shd w:fill="FFFFFF" w:val="clear"/>
            <w:vAlign w:val="bottom"/>
          </w:tcPr>
          <w:p>
            <w:pPr>
              <w:pStyle w:val="TableContents"/>
              <w:spacing w:before="0" w:after="0"/>
              <w:jc w:val="right"/>
              <w:rPr/>
            </w:pPr>
            <w:r>
              <w:rPr/>
              <w:t>177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235</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846</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540" w:right="0" w:hanging="180"/>
              <w:rPr/>
            </w:pPr>
            <w:r>
              <w:rPr/>
              <w:t>Loans charged against the allowance</w:t>
            </w:r>
          </w:p>
        </w:tc>
        <w:tc>
          <w:tcPr>
            <w:tcW w:w="60" w:type="dxa"/>
            <w:tcBorders/>
            <w:shd w:fill="CCEEFF" w:val="clear"/>
            <w:vAlign w:val="bottom"/>
          </w:tcPr>
          <w:p>
            <w:pPr>
              <w:pStyle w:val="TableContents"/>
              <w:spacing w:before="0" w:after="283"/>
              <w:rPr/>
            </w:pPr>
            <w:r>
              <w:rPr/>
              <w:t> </w:t>
            </w:r>
          </w:p>
        </w:tc>
        <w:tc>
          <w:tcPr>
            <w:tcW w:w="23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40" w:type="dxa"/>
            <w:tcBorders>
              <w:bottom w:val="single" w:sz="12" w:space="0" w:color="000000"/>
            </w:tcBorders>
            <w:shd w:fill="CCEEFF" w:val="clear"/>
            <w:tcMar>
              <w:bottom w:w="28" w:type="dxa"/>
            </w:tcMar>
            <w:vAlign w:val="bottom"/>
          </w:tcPr>
          <w:p>
            <w:pPr>
              <w:pStyle w:val="TableContents"/>
              <w:spacing w:before="0" w:after="0"/>
              <w:jc w:val="right"/>
              <w:rPr/>
            </w:pPr>
            <w:r>
              <w:rPr/>
              <w:t>(25</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8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48" w:type="dxa"/>
            <w:tcBorders>
              <w:bottom w:val="single" w:sz="12" w:space="0" w:color="000000"/>
            </w:tcBorders>
            <w:shd w:fill="CCEEFF" w:val="clear"/>
            <w:tcMar>
              <w:bottom w:w="28" w:type="dxa"/>
            </w:tcMar>
            <w:vAlign w:val="bottom"/>
          </w:tcPr>
          <w:p>
            <w:pPr>
              <w:pStyle w:val="TableContents"/>
              <w:spacing w:before="0" w:after="0"/>
              <w:jc w:val="right"/>
              <w:rPr/>
            </w:pPr>
            <w:r>
              <w:rPr/>
              <w:t>(718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(320</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(1,063</w:t>
            </w:r>
          </w:p>
        </w:tc>
        <w:tc>
          <w:tcPr>
            <w:tcW w:w="110" w:type="dxa"/>
            <w:tcBorders/>
            <w:shd w:fill="CCEEFF" w:val="clear"/>
            <w:vAlign w:val="bottom"/>
          </w:tcPr>
          <w:p>
            <w:pPr>
              <w:pStyle w:val="TableContents"/>
              <w:spacing w:before="0" w:after="0"/>
              <w:rPr/>
            </w:pPr>
            <w:r>
              <w:rPr/>
              <w:t>)</w:t>
            </w:r>
          </w:p>
        </w:tc>
      </w:tr>
      <w:tr>
        <w:trPr/>
        <w:tc>
          <w:tcPr>
            <w:tcW w:w="3515" w:type="dxa"/>
            <w:tcBorders/>
            <w:shd w:fill="FFFFFF" w:val="clear"/>
            <w:vAlign w:val="bottom"/>
          </w:tcPr>
          <w:p>
            <w:pPr>
              <w:pStyle w:val="TableContents"/>
              <w:spacing w:before="0" w:after="0"/>
              <w:ind w:left="324" w:right="0" w:hanging="144"/>
              <w:rPr/>
            </w:pPr>
            <w:r>
              <w:rPr/>
              <w:t>Balance at end of period</w:t>
            </w:r>
          </w:p>
        </w:tc>
        <w:tc>
          <w:tcPr>
            <w:tcW w:w="60" w:type="dxa"/>
            <w:tcBorders/>
            <w:shd w:fill="FFFFFF" w:val="clear"/>
            <w:vAlign w:val="bottom"/>
          </w:tcPr>
          <w:p>
            <w:pPr>
              <w:pStyle w:val="TableContents"/>
              <w:spacing w:before="0" w:after="283"/>
              <w:rPr/>
            </w:pPr>
            <w:r>
              <w:rPr/>
              <w:t> </w:t>
            </w:r>
          </w:p>
        </w:tc>
        <w:tc>
          <w:tcPr>
            <w:tcW w:w="235" w:type="dxa"/>
            <w:tcBorders>
              <w:bottom w:val="double" w:sz="8" w:space="0" w:color="000000"/>
            </w:tcBorders>
            <w:shd w:fill="FFFFFF" w:val="clear"/>
            <w:tcMar>
              <w:bottom w:w="28" w:type="dxa"/>
            </w:tcMar>
            <w:vAlign w:val="bottom"/>
          </w:tcPr>
          <w:p>
            <w:pPr>
              <w:pStyle w:val="TableContents"/>
              <w:spacing w:before="0" w:after="0"/>
              <w:rPr/>
            </w:pPr>
            <w:r>
              <w:rPr/>
              <w:t>$</w:t>
            </w:r>
          </w:p>
        </w:tc>
        <w:tc>
          <w:tcPr>
            <w:tcW w:w="940" w:type="dxa"/>
            <w:tcBorders>
              <w:bottom w:val="double" w:sz="8" w:space="0" w:color="000000"/>
            </w:tcBorders>
            <w:shd w:fill="FFFFFF" w:val="clear"/>
            <w:tcMar>
              <w:bottom w:w="28" w:type="dxa"/>
            </w:tcMar>
            <w:vAlign w:val="bottom"/>
          </w:tcPr>
          <w:p>
            <w:pPr>
              <w:pStyle w:val="TableContents"/>
              <w:spacing w:before="0" w:after="0"/>
              <w:jc w:val="right"/>
              <w:rPr/>
            </w:pPr>
            <w:r>
              <w:rPr/>
              <w:t>6,073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bottom w:val="double" w:sz="8" w:space="0" w:color="000000"/>
            </w:tcBorders>
            <w:shd w:fill="FFFFFF" w:val="clear"/>
            <w:tcMar>
              <w:bottom w:w="28" w:type="dxa"/>
            </w:tcMar>
            <w:vAlign w:val="bottom"/>
          </w:tcPr>
          <w:p>
            <w:pPr>
              <w:pStyle w:val="TableContents"/>
              <w:spacing w:before="0" w:after="0"/>
              <w:rPr/>
            </w:pPr>
            <w:r>
              <w:rPr/>
              <w:t>$</w:t>
            </w:r>
          </w:p>
        </w:tc>
        <w:tc>
          <w:tcPr>
            <w:tcW w:w="748" w:type="dxa"/>
            <w:tcBorders>
              <w:bottom w:val="double" w:sz="8" w:space="0" w:color="000000"/>
            </w:tcBorders>
            <w:shd w:fill="FFFFFF" w:val="clear"/>
            <w:tcMar>
              <w:bottom w:w="28" w:type="dxa"/>
            </w:tcMar>
            <w:vAlign w:val="bottom"/>
          </w:tcPr>
          <w:p>
            <w:pPr>
              <w:pStyle w:val="TableContents"/>
              <w:spacing w:before="0" w:after="0"/>
              <w:jc w:val="right"/>
              <w:rPr/>
            </w:pPr>
            <w:r>
              <w:rPr/>
              <w:t>8,296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double" w:sz="8" w:space="0" w:color="000000"/>
            </w:tcBorders>
            <w:shd w:fill="FFFFFF" w:val="clear"/>
            <w:tcMar>
              <w:bottom w:w="28" w:type="dxa"/>
            </w:tcMar>
            <w:vAlign w:val="bottom"/>
          </w:tcPr>
          <w:p>
            <w:pPr>
              <w:pStyle w:val="TableContents"/>
              <w:spacing w:before="0" w:after="0"/>
              <w:rPr/>
            </w:pPr>
            <w:r>
              <w:rPr/>
              <w:t>$</w:t>
            </w:r>
          </w:p>
        </w:tc>
        <w:tc>
          <w:tcPr>
            <w:tcW w:w="844" w:type="dxa"/>
            <w:tcBorders>
              <w:bottom w:val="double" w:sz="8" w:space="0" w:color="000000"/>
            </w:tcBorders>
            <w:shd w:fill="FFFFFF" w:val="clear"/>
            <w:tcMar>
              <w:bottom w:w="28" w:type="dxa"/>
            </w:tcMar>
            <w:vAlign w:val="bottom"/>
          </w:tcPr>
          <w:p>
            <w:pPr>
              <w:pStyle w:val="TableContents"/>
              <w:spacing w:before="0" w:after="0"/>
              <w:jc w:val="right"/>
              <w:rPr/>
            </w:pPr>
            <w:r>
              <w:rPr/>
              <w:t>848</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bottom w:val="double" w:sz="8" w:space="0" w:color="000000"/>
            </w:tcBorders>
            <w:shd w:fill="FFFFFF" w:val="clear"/>
            <w:tcMar>
              <w:bottom w:w="28" w:type="dxa"/>
            </w:tcMar>
            <w:vAlign w:val="bottom"/>
          </w:tcPr>
          <w:p>
            <w:pPr>
              <w:pStyle w:val="TableContents"/>
              <w:spacing w:before="0" w:after="0"/>
              <w:rPr/>
            </w:pPr>
            <w:r>
              <w:rPr/>
              <w:t>$</w:t>
            </w:r>
          </w:p>
        </w:tc>
        <w:tc>
          <w:tcPr>
            <w:tcW w:w="808" w:type="dxa"/>
            <w:tcBorders>
              <w:bottom w:val="double" w:sz="8" w:space="0" w:color="000000"/>
            </w:tcBorders>
            <w:shd w:fill="FFFFFF" w:val="clear"/>
            <w:tcMar>
              <w:bottom w:w="28" w:type="dxa"/>
            </w:tcMar>
            <w:vAlign w:val="bottom"/>
          </w:tcPr>
          <w:p>
            <w:pPr>
              <w:pStyle w:val="TableContents"/>
              <w:spacing w:before="0" w:after="0"/>
              <w:jc w:val="right"/>
              <w:rPr/>
            </w:pPr>
            <w:r>
              <w:rPr/>
              <w:t>8,287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23,504</w:t>
            </w:r>
          </w:p>
        </w:tc>
        <w:tc>
          <w:tcPr>
            <w:tcW w:w="110"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ind w:left="180" w:right="0" w:hanging="0"/>
        <w:rPr/>
      </w:pPr>
      <w:r>
        <w:rPr/>
        <w:t>An analysis of the allowance for loan losses by portfolio segment for the six months ended June 30, follows:</w:t>
      </w:r>
    </w:p>
    <w:p>
      <w:pPr>
        <w:pStyle w:val="TextBody"/>
        <w:spacing w:before="0" w:after="0"/>
        <w:rPr/>
      </w:pPr>
      <w:r>
        <w:rPr/>
      </w:r>
    </w:p>
    <w:p>
      <w:pPr>
        <w:pStyle w:val="Normal"/>
        <w:spacing w:before="0" w:after="0"/>
        <w:rPr>
          <w:sz w:val="4"/>
          <w:szCs w:val="4"/>
        </w:rPr>
      </w:pPr>
      <w:r>
        <w:rPr>
          <w:sz w:val="4"/>
          <w:szCs w:val="4"/>
        </w:rPr>
      </w:r>
      <w:bookmarkStart w:id="178" w:name="zf0290a87aac349ea99f6433c4f572fda"/>
      <w:bookmarkStart w:id="179" w:name="zf0290a87aac349ea99f6433c4f572fda"/>
      <w:bookmarkEnd w:id="179"/>
    </w:p>
    <w:tbl>
      <w:tblPr>
        <w:tblW w:w="9300" w:type="dxa"/>
        <w:jc w:val="left"/>
        <w:tblInd w:w="0" w:type="dxa"/>
        <w:tblCellMar>
          <w:top w:w="0" w:type="dxa"/>
          <w:left w:w="0" w:type="dxa"/>
          <w:bottom w:w="0" w:type="dxa"/>
          <w:right w:w="0" w:type="dxa"/>
        </w:tblCellMar>
      </w:tblPr>
      <w:tblGrid>
        <w:gridCol w:w="3515"/>
        <w:gridCol w:w="60"/>
        <w:gridCol w:w="235"/>
        <w:gridCol w:w="940"/>
        <w:gridCol w:w="95"/>
        <w:gridCol w:w="60"/>
        <w:gridCol w:w="168"/>
        <w:gridCol w:w="767"/>
        <w:gridCol w:w="95"/>
        <w:gridCol w:w="60"/>
        <w:gridCol w:w="211"/>
        <w:gridCol w:w="844"/>
        <w:gridCol w:w="95"/>
        <w:gridCol w:w="60"/>
        <w:gridCol w:w="202"/>
        <w:gridCol w:w="808"/>
        <w:gridCol w:w="95"/>
        <w:gridCol w:w="60"/>
        <w:gridCol w:w="140"/>
        <w:gridCol w:w="680"/>
        <w:gridCol w:w="110"/>
      </w:tblGrid>
      <w:tr>
        <w:trPr/>
        <w:tc>
          <w:tcPr>
            <w:tcW w:w="35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pPr>
            <w:r>
              <w:rPr/>
              <w:t>Commercial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pPr>
            <w:r>
              <w:rPr/>
              <w:t>Mortgage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Installment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pPr>
            <w:r>
              <w:rPr/>
              <w:t>Subjective</w:t>
            </w:r>
          </w:p>
          <w:p>
            <w:pPr>
              <w:pStyle w:val="TableContents"/>
              <w:spacing w:before="0" w:after="0"/>
              <w:jc w:val="center"/>
              <w:rPr/>
            </w:pPr>
            <w:r>
              <w:rPr/>
              <w:t>Allocation</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110"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15" w:type="dxa"/>
            <w:gridSpan w:val="18"/>
            <w:tcBorders/>
            <w:shd w:fill="auto" w:val="clear"/>
            <w:vAlign w:val="bottom"/>
          </w:tcPr>
          <w:p>
            <w:pPr>
              <w:pStyle w:val="TableContents"/>
              <w:spacing w:before="0" w:after="0"/>
              <w:jc w:val="center"/>
              <w:rPr/>
            </w:pPr>
            <w:r>
              <w:rPr/>
              <w:t>(In thousands)</w:t>
            </w:r>
          </w:p>
        </w:tc>
        <w:tc>
          <w:tcPr>
            <w:tcW w:w="110"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0"/>
              <w:ind w:left="144" w:right="0" w:hanging="144"/>
              <w:rPr/>
            </w:pPr>
            <w:r>
              <w:rPr/>
              <w:t>2019</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324" w:right="0" w:hanging="144"/>
              <w:rPr/>
            </w:pPr>
            <w:r>
              <w:rPr/>
              <w:t>Balance at beginning of period</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940" w:type="dxa"/>
            <w:tcBorders/>
            <w:shd w:fill="CCEEFF" w:val="clear"/>
            <w:vAlign w:val="bottom"/>
          </w:tcPr>
          <w:p>
            <w:pPr>
              <w:pStyle w:val="TableContents"/>
              <w:spacing w:before="0" w:after="0"/>
              <w:jc w:val="right"/>
              <w:rPr/>
            </w:pPr>
            <w:r>
              <w:rPr/>
              <w:t>7,090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0"/>
              <w:rPr/>
            </w:pPr>
            <w:r>
              <w:rPr/>
              <w:t>$</w:t>
            </w:r>
          </w:p>
        </w:tc>
        <w:tc>
          <w:tcPr>
            <w:tcW w:w="767" w:type="dxa"/>
            <w:tcBorders/>
            <w:shd w:fill="CCEEFF" w:val="clear"/>
            <w:vAlign w:val="bottom"/>
          </w:tcPr>
          <w:p>
            <w:pPr>
              <w:pStyle w:val="TableContents"/>
              <w:spacing w:before="0" w:after="0"/>
              <w:jc w:val="right"/>
              <w:rPr/>
            </w:pPr>
            <w:r>
              <w:rPr/>
              <w:t>7,978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rPr/>
            </w:pPr>
            <w:r>
              <w:rPr/>
              <w:t>$</w:t>
            </w:r>
          </w:p>
        </w:tc>
        <w:tc>
          <w:tcPr>
            <w:tcW w:w="844" w:type="dxa"/>
            <w:tcBorders/>
            <w:shd w:fill="CCEEFF" w:val="clear"/>
            <w:vAlign w:val="bottom"/>
          </w:tcPr>
          <w:p>
            <w:pPr>
              <w:pStyle w:val="TableContents"/>
              <w:spacing w:before="0" w:after="0"/>
              <w:jc w:val="right"/>
              <w:rPr/>
            </w:pPr>
            <w:r>
              <w:rPr/>
              <w:t>895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0"/>
              <w:rPr/>
            </w:pPr>
            <w:r>
              <w:rPr/>
              <w:t>$</w:t>
            </w:r>
          </w:p>
        </w:tc>
        <w:tc>
          <w:tcPr>
            <w:tcW w:w="808" w:type="dxa"/>
            <w:tcBorders/>
            <w:shd w:fill="CCEEFF" w:val="clear"/>
            <w:vAlign w:val="bottom"/>
          </w:tcPr>
          <w:p>
            <w:pPr>
              <w:pStyle w:val="TableContents"/>
              <w:spacing w:before="0" w:after="0"/>
              <w:jc w:val="right"/>
              <w:rPr/>
            </w:pPr>
            <w:r>
              <w:rPr/>
              <w:t>8,925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24,888</w:t>
            </w:r>
          </w:p>
        </w:tc>
        <w:tc>
          <w:tcPr>
            <w:tcW w:w="110" w:type="dxa"/>
            <w:tcBorders/>
            <w:shd w:fill="CCEEFF" w:val="clear"/>
            <w:vAlign w:val="bottom"/>
          </w:tcPr>
          <w:p>
            <w:pPr>
              <w:pStyle w:val="TableContents"/>
              <w:spacing w:before="0" w:after="283"/>
              <w:rPr/>
            </w:pPr>
            <w:r>
              <w:rPr/>
              <w:t> </w:t>
            </w:r>
          </w:p>
        </w:tc>
      </w:tr>
      <w:tr>
        <w:trPr/>
        <w:tc>
          <w:tcPr>
            <w:tcW w:w="3515" w:type="dxa"/>
            <w:tcBorders/>
            <w:shd w:fill="FFFFFF" w:val="clear"/>
            <w:vAlign w:val="bottom"/>
          </w:tcPr>
          <w:p>
            <w:pPr>
              <w:pStyle w:val="TableContents"/>
              <w:spacing w:before="0" w:after="0"/>
              <w:ind w:left="324" w:right="0" w:hanging="144"/>
              <w:rPr/>
            </w:pPr>
            <w:r>
              <w:rPr/>
              <w:t>Additions (deductions)</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rPr/>
            </w:pPr>
            <w:r>
              <w:rPr/>
              <w:t> </w:t>
            </w:r>
          </w:p>
        </w:tc>
        <w:tc>
          <w:tcPr>
            <w:tcW w:w="767"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504" w:right="0" w:hanging="144"/>
              <w:rPr/>
            </w:pPr>
            <w:r>
              <w:rPr/>
              <w:t>Provision for loan losses</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0"/>
              <w:jc w:val="right"/>
              <w:rPr/>
            </w:pPr>
            <w:r>
              <w:rPr/>
              <w:t>895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0"/>
              <w:jc w:val="right"/>
              <w:rPr/>
            </w:pPr>
            <w:r>
              <w:rPr/>
              <w:t>187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732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0"/>
              <w:jc w:val="right"/>
              <w:rPr/>
            </w:pPr>
            <w:r>
              <w:rPr/>
              <w:t>(498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1,316</w:t>
            </w:r>
          </w:p>
        </w:tc>
        <w:tc>
          <w:tcPr>
            <w:tcW w:w="110" w:type="dxa"/>
            <w:tcBorders/>
            <w:shd w:fill="CCEEFF" w:val="clear"/>
            <w:vAlign w:val="bottom"/>
          </w:tcPr>
          <w:p>
            <w:pPr>
              <w:pStyle w:val="TableContents"/>
              <w:spacing w:before="0" w:after="283"/>
              <w:rPr/>
            </w:pPr>
            <w:r>
              <w:rPr/>
              <w:t> </w:t>
            </w:r>
          </w:p>
        </w:tc>
      </w:tr>
      <w:tr>
        <w:trPr/>
        <w:tc>
          <w:tcPr>
            <w:tcW w:w="3515" w:type="dxa"/>
            <w:tcBorders/>
            <w:shd w:fill="FFFFFF" w:val="clear"/>
            <w:vAlign w:val="bottom"/>
          </w:tcPr>
          <w:p>
            <w:pPr>
              <w:pStyle w:val="TableContents"/>
              <w:spacing w:before="0" w:after="0"/>
              <w:ind w:left="504" w:right="0" w:hanging="144"/>
              <w:rPr/>
            </w:pPr>
            <w:r>
              <w:rPr/>
              <w:t>Recoveries credited to the allowance</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0"/>
              <w:jc w:val="right"/>
              <w:rPr/>
            </w:pPr>
            <w:r>
              <w:rPr/>
              <w:t>505</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rPr/>
            </w:pPr>
            <w:r>
              <w:rPr/>
              <w:t> </w:t>
            </w:r>
          </w:p>
        </w:tc>
        <w:tc>
          <w:tcPr>
            <w:tcW w:w="767" w:type="dxa"/>
            <w:tcBorders/>
            <w:shd w:fill="FFFFFF" w:val="clear"/>
            <w:vAlign w:val="bottom"/>
          </w:tcPr>
          <w:p>
            <w:pPr>
              <w:pStyle w:val="TableContents"/>
              <w:spacing w:before="0" w:after="0"/>
              <w:jc w:val="right"/>
              <w:rPr/>
            </w:pPr>
            <w:r>
              <w:rPr/>
              <w:t>551</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401</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1,457</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504" w:right="0" w:hanging="144"/>
              <w:rPr/>
            </w:pPr>
            <w:r>
              <w:rPr/>
              <w:t>Loans charged against the allowance</w:t>
            </w:r>
          </w:p>
        </w:tc>
        <w:tc>
          <w:tcPr>
            <w:tcW w:w="60" w:type="dxa"/>
            <w:tcBorders/>
            <w:shd w:fill="CCEEFF" w:val="clear"/>
            <w:vAlign w:val="bottom"/>
          </w:tcPr>
          <w:p>
            <w:pPr>
              <w:pStyle w:val="TableContents"/>
              <w:spacing w:before="0" w:after="283"/>
              <w:rPr/>
            </w:pPr>
            <w:r>
              <w:rPr/>
              <w:t> </w:t>
            </w:r>
          </w:p>
        </w:tc>
        <w:tc>
          <w:tcPr>
            <w:tcW w:w="23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40" w:type="dxa"/>
            <w:tcBorders>
              <w:bottom w:val="single" w:sz="12" w:space="0" w:color="000000"/>
            </w:tcBorders>
            <w:shd w:fill="CCEEFF" w:val="clear"/>
            <w:tcMar>
              <w:bottom w:w="28" w:type="dxa"/>
            </w:tcMar>
            <w:vAlign w:val="bottom"/>
          </w:tcPr>
          <w:p>
            <w:pPr>
              <w:pStyle w:val="TableContents"/>
              <w:spacing w:before="0" w:after="0"/>
              <w:jc w:val="right"/>
              <w:rPr/>
            </w:pPr>
            <w:r>
              <w:rPr/>
              <w:t>(369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67" w:type="dxa"/>
            <w:tcBorders>
              <w:bottom w:val="single" w:sz="12" w:space="0" w:color="000000"/>
            </w:tcBorders>
            <w:shd w:fill="CCEEFF" w:val="clear"/>
            <w:tcMar>
              <w:bottom w:w="28" w:type="dxa"/>
            </w:tcMar>
            <w:vAlign w:val="bottom"/>
          </w:tcPr>
          <w:p>
            <w:pPr>
              <w:pStyle w:val="TableContents"/>
              <w:spacing w:before="0" w:after="0"/>
              <w:jc w:val="right"/>
              <w:rPr/>
            </w:pPr>
            <w:r>
              <w:rPr/>
              <w:t>(654</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(735</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(1,758</w:t>
            </w:r>
          </w:p>
        </w:tc>
        <w:tc>
          <w:tcPr>
            <w:tcW w:w="110" w:type="dxa"/>
            <w:tcBorders/>
            <w:shd w:fill="CCEEFF" w:val="clear"/>
            <w:vAlign w:val="bottom"/>
          </w:tcPr>
          <w:p>
            <w:pPr>
              <w:pStyle w:val="TableContents"/>
              <w:spacing w:before="0" w:after="0"/>
              <w:rPr/>
            </w:pPr>
            <w:r>
              <w:rPr/>
              <w:t>)</w:t>
            </w:r>
          </w:p>
        </w:tc>
      </w:tr>
      <w:tr>
        <w:trPr/>
        <w:tc>
          <w:tcPr>
            <w:tcW w:w="3515" w:type="dxa"/>
            <w:tcBorders/>
            <w:shd w:fill="FFFFFF" w:val="clear"/>
            <w:vAlign w:val="bottom"/>
          </w:tcPr>
          <w:p>
            <w:pPr>
              <w:pStyle w:val="TableContents"/>
              <w:spacing w:before="0" w:after="0"/>
              <w:ind w:left="324" w:right="0" w:hanging="144"/>
              <w:rPr/>
            </w:pPr>
            <w:r>
              <w:rPr/>
              <w:t>Balance at end of period</w:t>
            </w:r>
          </w:p>
        </w:tc>
        <w:tc>
          <w:tcPr>
            <w:tcW w:w="60" w:type="dxa"/>
            <w:tcBorders/>
            <w:shd w:fill="FFFFFF" w:val="clear"/>
            <w:vAlign w:val="bottom"/>
          </w:tcPr>
          <w:p>
            <w:pPr>
              <w:pStyle w:val="TableContents"/>
              <w:spacing w:before="0" w:after="283"/>
              <w:rPr/>
            </w:pPr>
            <w:r>
              <w:rPr/>
              <w:t> </w:t>
            </w:r>
          </w:p>
        </w:tc>
        <w:tc>
          <w:tcPr>
            <w:tcW w:w="235" w:type="dxa"/>
            <w:tcBorders>
              <w:bottom w:val="double" w:sz="8" w:space="0" w:color="000000"/>
            </w:tcBorders>
            <w:shd w:fill="FFFFFF" w:val="clear"/>
            <w:tcMar>
              <w:bottom w:w="28" w:type="dxa"/>
            </w:tcMar>
            <w:vAlign w:val="bottom"/>
          </w:tcPr>
          <w:p>
            <w:pPr>
              <w:pStyle w:val="TableContents"/>
              <w:spacing w:before="0" w:after="0"/>
              <w:rPr/>
            </w:pPr>
            <w:r>
              <w:rPr/>
              <w:t>$</w:t>
            </w:r>
          </w:p>
        </w:tc>
        <w:tc>
          <w:tcPr>
            <w:tcW w:w="940" w:type="dxa"/>
            <w:tcBorders>
              <w:bottom w:val="double" w:sz="8" w:space="0" w:color="000000"/>
            </w:tcBorders>
            <w:shd w:fill="FFFFFF" w:val="clear"/>
            <w:tcMar>
              <w:bottom w:w="28" w:type="dxa"/>
            </w:tcMar>
            <w:vAlign w:val="bottom"/>
          </w:tcPr>
          <w:p>
            <w:pPr>
              <w:pStyle w:val="TableContents"/>
              <w:spacing w:before="0" w:after="0"/>
              <w:jc w:val="right"/>
              <w:rPr/>
            </w:pPr>
            <w:r>
              <w:rPr/>
              <w:t>8,121</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8" w:type="dxa"/>
            <w:tcBorders>
              <w:bottom w:val="double" w:sz="8" w:space="0" w:color="000000"/>
            </w:tcBorders>
            <w:shd w:fill="FFFFFF" w:val="clear"/>
            <w:tcMar>
              <w:bottom w:w="28" w:type="dxa"/>
            </w:tcMar>
            <w:vAlign w:val="bottom"/>
          </w:tcPr>
          <w:p>
            <w:pPr>
              <w:pStyle w:val="TableContents"/>
              <w:spacing w:before="0" w:after="0"/>
              <w:rPr/>
            </w:pPr>
            <w:r>
              <w:rPr/>
              <w:t>$</w:t>
            </w:r>
          </w:p>
        </w:tc>
        <w:tc>
          <w:tcPr>
            <w:tcW w:w="767" w:type="dxa"/>
            <w:tcBorders>
              <w:bottom w:val="double" w:sz="8" w:space="0" w:color="000000"/>
            </w:tcBorders>
            <w:shd w:fill="FFFFFF" w:val="clear"/>
            <w:tcMar>
              <w:bottom w:w="28" w:type="dxa"/>
            </w:tcMar>
            <w:vAlign w:val="bottom"/>
          </w:tcPr>
          <w:p>
            <w:pPr>
              <w:pStyle w:val="TableContents"/>
              <w:spacing w:before="0" w:after="0"/>
              <w:jc w:val="right"/>
              <w:rPr/>
            </w:pPr>
            <w:r>
              <w:rPr/>
              <w:t>8,062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double" w:sz="8" w:space="0" w:color="000000"/>
            </w:tcBorders>
            <w:shd w:fill="FFFFFF" w:val="clear"/>
            <w:tcMar>
              <w:bottom w:w="28" w:type="dxa"/>
            </w:tcMar>
            <w:vAlign w:val="bottom"/>
          </w:tcPr>
          <w:p>
            <w:pPr>
              <w:pStyle w:val="TableContents"/>
              <w:spacing w:before="0" w:after="0"/>
              <w:rPr/>
            </w:pPr>
            <w:r>
              <w:rPr/>
              <w:t>$</w:t>
            </w:r>
          </w:p>
        </w:tc>
        <w:tc>
          <w:tcPr>
            <w:tcW w:w="844" w:type="dxa"/>
            <w:tcBorders>
              <w:bottom w:val="double" w:sz="8" w:space="0" w:color="000000"/>
            </w:tcBorders>
            <w:shd w:fill="FFFFFF" w:val="clear"/>
            <w:tcMar>
              <w:bottom w:w="28" w:type="dxa"/>
            </w:tcMar>
            <w:vAlign w:val="bottom"/>
          </w:tcPr>
          <w:p>
            <w:pPr>
              <w:pStyle w:val="TableContents"/>
              <w:spacing w:before="0" w:after="0"/>
              <w:jc w:val="right"/>
              <w:rPr/>
            </w:pPr>
            <w:r>
              <w:rPr/>
              <w:t>1,293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bottom w:val="double" w:sz="8" w:space="0" w:color="000000"/>
            </w:tcBorders>
            <w:shd w:fill="FFFFFF" w:val="clear"/>
            <w:tcMar>
              <w:bottom w:w="28" w:type="dxa"/>
            </w:tcMar>
            <w:vAlign w:val="bottom"/>
          </w:tcPr>
          <w:p>
            <w:pPr>
              <w:pStyle w:val="TableContents"/>
              <w:spacing w:before="0" w:after="0"/>
              <w:rPr/>
            </w:pPr>
            <w:r>
              <w:rPr/>
              <w:t>$</w:t>
            </w:r>
          </w:p>
        </w:tc>
        <w:tc>
          <w:tcPr>
            <w:tcW w:w="808" w:type="dxa"/>
            <w:tcBorders>
              <w:bottom w:val="double" w:sz="8" w:space="0" w:color="000000"/>
            </w:tcBorders>
            <w:shd w:fill="FFFFFF" w:val="clear"/>
            <w:tcMar>
              <w:bottom w:w="28" w:type="dxa"/>
            </w:tcMar>
            <w:vAlign w:val="bottom"/>
          </w:tcPr>
          <w:p>
            <w:pPr>
              <w:pStyle w:val="TableContents"/>
              <w:spacing w:before="0" w:after="0"/>
              <w:jc w:val="right"/>
              <w:rPr/>
            </w:pPr>
            <w:r>
              <w:rPr/>
              <w:t>8,427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25,903</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3515" w:type="dxa"/>
            <w:tcBorders/>
            <w:shd w:fill="FFFFFF" w:val="clear"/>
            <w:vAlign w:val="bottom"/>
          </w:tcPr>
          <w:p>
            <w:pPr>
              <w:pStyle w:val="TableContents"/>
              <w:spacing w:before="0" w:after="0"/>
              <w:ind w:left="144" w:right="0" w:hanging="144"/>
              <w:rPr/>
            </w:pPr>
            <w:r>
              <w:rPr/>
              <w:t>2018</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rPr/>
            </w:pPr>
            <w:r>
              <w:rPr/>
              <w:t> </w:t>
            </w:r>
          </w:p>
        </w:tc>
        <w:tc>
          <w:tcPr>
            <w:tcW w:w="767"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324" w:right="0" w:hanging="144"/>
              <w:rPr/>
            </w:pPr>
            <w:r>
              <w:rPr/>
              <w:t>Balance at beginning of period</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940" w:type="dxa"/>
            <w:tcBorders/>
            <w:shd w:fill="CCEEFF" w:val="clear"/>
            <w:vAlign w:val="bottom"/>
          </w:tcPr>
          <w:p>
            <w:pPr>
              <w:pStyle w:val="TableContents"/>
              <w:spacing w:before="0" w:after="0"/>
              <w:jc w:val="right"/>
              <w:rPr/>
            </w:pPr>
            <w:r>
              <w:rPr/>
              <w:t>5,595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0"/>
              <w:rPr/>
            </w:pPr>
            <w:r>
              <w:rPr/>
              <w:t>$</w:t>
            </w:r>
          </w:p>
        </w:tc>
        <w:tc>
          <w:tcPr>
            <w:tcW w:w="767" w:type="dxa"/>
            <w:tcBorders/>
            <w:shd w:fill="CCEEFF" w:val="clear"/>
            <w:vAlign w:val="bottom"/>
          </w:tcPr>
          <w:p>
            <w:pPr>
              <w:pStyle w:val="TableContents"/>
              <w:spacing w:before="0" w:after="0"/>
              <w:jc w:val="right"/>
              <w:rPr/>
            </w:pPr>
            <w:r>
              <w:rPr/>
              <w:t>8,733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rPr/>
            </w:pPr>
            <w:r>
              <w:rPr/>
              <w:t>$</w:t>
            </w:r>
          </w:p>
        </w:tc>
        <w:tc>
          <w:tcPr>
            <w:tcW w:w="844" w:type="dxa"/>
            <w:tcBorders/>
            <w:shd w:fill="CCEEFF" w:val="clear"/>
            <w:vAlign w:val="bottom"/>
          </w:tcPr>
          <w:p>
            <w:pPr>
              <w:pStyle w:val="TableContents"/>
              <w:spacing w:before="0" w:after="0"/>
              <w:jc w:val="right"/>
              <w:rPr/>
            </w:pPr>
            <w:r>
              <w:rPr/>
              <w:t>864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0"/>
              <w:rPr/>
            </w:pPr>
            <w:r>
              <w:rPr/>
              <w:t>$</w:t>
            </w:r>
          </w:p>
        </w:tc>
        <w:tc>
          <w:tcPr>
            <w:tcW w:w="808" w:type="dxa"/>
            <w:tcBorders/>
            <w:shd w:fill="CCEEFF" w:val="clear"/>
            <w:vAlign w:val="bottom"/>
          </w:tcPr>
          <w:p>
            <w:pPr>
              <w:pStyle w:val="TableContents"/>
              <w:spacing w:before="0" w:after="0"/>
              <w:jc w:val="right"/>
              <w:rPr/>
            </w:pPr>
            <w:r>
              <w:rPr/>
              <w:t>7,395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22,587</w:t>
            </w:r>
          </w:p>
        </w:tc>
        <w:tc>
          <w:tcPr>
            <w:tcW w:w="110" w:type="dxa"/>
            <w:tcBorders/>
            <w:shd w:fill="CCEEFF" w:val="clear"/>
            <w:vAlign w:val="bottom"/>
          </w:tcPr>
          <w:p>
            <w:pPr>
              <w:pStyle w:val="TableContents"/>
              <w:spacing w:before="0" w:after="283"/>
              <w:rPr/>
            </w:pPr>
            <w:r>
              <w:rPr/>
              <w:t> </w:t>
            </w:r>
          </w:p>
        </w:tc>
      </w:tr>
      <w:tr>
        <w:trPr/>
        <w:tc>
          <w:tcPr>
            <w:tcW w:w="3515" w:type="dxa"/>
            <w:tcBorders/>
            <w:shd w:fill="FFFFFF" w:val="clear"/>
            <w:vAlign w:val="bottom"/>
          </w:tcPr>
          <w:p>
            <w:pPr>
              <w:pStyle w:val="TableContents"/>
              <w:spacing w:before="0" w:after="0"/>
              <w:ind w:left="324" w:right="0" w:hanging="144"/>
              <w:rPr/>
            </w:pPr>
            <w:r>
              <w:rPr/>
              <w:t>Additions (deductions)</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rPr/>
            </w:pPr>
            <w:r>
              <w:rPr/>
              <w:t> </w:t>
            </w:r>
          </w:p>
        </w:tc>
        <w:tc>
          <w:tcPr>
            <w:tcW w:w="767"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504" w:right="0" w:hanging="144"/>
              <w:rPr/>
            </w:pPr>
            <w:r>
              <w:rPr/>
              <w:t>Provision for loan losses</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0"/>
              <w:jc w:val="right"/>
              <w:rPr/>
            </w:pPr>
            <w:r>
              <w:rPr/>
              <w:t>(497</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767" w:type="dxa"/>
            <w:tcBorders/>
            <w:shd w:fill="CCEEFF" w:val="clear"/>
            <w:vAlign w:val="bottom"/>
          </w:tcPr>
          <w:p>
            <w:pPr>
              <w:pStyle w:val="TableContents"/>
              <w:spacing w:before="0" w:after="0"/>
              <w:jc w:val="right"/>
              <w:rPr/>
            </w:pPr>
            <w:r>
              <w:rPr/>
              <w:t>363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207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0"/>
              <w:jc w:val="right"/>
              <w:rPr/>
            </w:pPr>
            <w:r>
              <w:rPr/>
              <w:t>892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965</w:t>
            </w:r>
          </w:p>
        </w:tc>
        <w:tc>
          <w:tcPr>
            <w:tcW w:w="110" w:type="dxa"/>
            <w:tcBorders/>
            <w:shd w:fill="CCEEFF" w:val="clear"/>
            <w:vAlign w:val="bottom"/>
          </w:tcPr>
          <w:p>
            <w:pPr>
              <w:pStyle w:val="TableContents"/>
              <w:spacing w:before="0" w:after="283"/>
              <w:rPr/>
            </w:pPr>
            <w:r>
              <w:rPr/>
              <w:t> </w:t>
            </w:r>
          </w:p>
        </w:tc>
      </w:tr>
      <w:tr>
        <w:trPr/>
        <w:tc>
          <w:tcPr>
            <w:tcW w:w="3515" w:type="dxa"/>
            <w:tcBorders/>
            <w:shd w:fill="FFFFFF" w:val="clear"/>
            <w:vAlign w:val="bottom"/>
          </w:tcPr>
          <w:p>
            <w:pPr>
              <w:pStyle w:val="TableContents"/>
              <w:spacing w:before="0" w:after="0"/>
              <w:ind w:left="504" w:right="0" w:hanging="144"/>
              <w:rPr/>
            </w:pPr>
            <w:r>
              <w:rPr/>
              <w:t>Recoveries credited to the allowance</w:t>
            </w:r>
          </w:p>
        </w:tc>
        <w:tc>
          <w:tcPr>
            <w:tcW w:w="60" w:type="dxa"/>
            <w:tcBorders/>
            <w:shd w:fill="FFFFFF" w:val="clear"/>
            <w:vAlign w:val="bottom"/>
          </w:tcPr>
          <w:p>
            <w:pPr>
              <w:pStyle w:val="TableContents"/>
              <w:spacing w:before="0" w:after="283"/>
              <w:rPr/>
            </w:pPr>
            <w:r>
              <w:rPr/>
              <w:t> </w:t>
            </w:r>
          </w:p>
        </w:tc>
        <w:tc>
          <w:tcPr>
            <w:tcW w:w="235"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0"/>
              <w:jc w:val="right"/>
              <w:rPr/>
            </w:pPr>
            <w:r>
              <w:rPr/>
              <w:t>1,040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rPr/>
            </w:pPr>
            <w:r>
              <w:rPr/>
              <w:t> </w:t>
            </w:r>
          </w:p>
        </w:tc>
        <w:tc>
          <w:tcPr>
            <w:tcW w:w="767" w:type="dxa"/>
            <w:tcBorders/>
            <w:shd w:fill="FFFFFF" w:val="clear"/>
            <w:vAlign w:val="bottom"/>
          </w:tcPr>
          <w:p>
            <w:pPr>
              <w:pStyle w:val="TableContents"/>
              <w:spacing w:before="0" w:after="0"/>
              <w:jc w:val="right"/>
              <w:rPr/>
            </w:pPr>
            <w:r>
              <w:rPr/>
              <w:t>357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463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1,860</w:t>
            </w:r>
          </w:p>
        </w:tc>
        <w:tc>
          <w:tcPr>
            <w:tcW w:w="110" w:type="dxa"/>
            <w:tcBorders/>
            <w:shd w:fill="FFFFFF"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504" w:right="0" w:hanging="144"/>
              <w:rPr/>
            </w:pPr>
            <w:r>
              <w:rPr/>
              <w:t>Loans charged against the allowance</w:t>
            </w:r>
          </w:p>
        </w:tc>
        <w:tc>
          <w:tcPr>
            <w:tcW w:w="60" w:type="dxa"/>
            <w:tcBorders/>
            <w:shd w:fill="CCEEFF" w:val="clear"/>
            <w:vAlign w:val="bottom"/>
          </w:tcPr>
          <w:p>
            <w:pPr>
              <w:pStyle w:val="TableContents"/>
              <w:spacing w:before="0" w:after="283"/>
              <w:rPr/>
            </w:pPr>
            <w:r>
              <w:rPr/>
              <w:t> </w:t>
            </w:r>
          </w:p>
        </w:tc>
        <w:tc>
          <w:tcPr>
            <w:tcW w:w="23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40" w:type="dxa"/>
            <w:tcBorders>
              <w:bottom w:val="single" w:sz="12" w:space="0" w:color="000000"/>
            </w:tcBorders>
            <w:shd w:fill="CCEEFF" w:val="clear"/>
            <w:tcMar>
              <w:bottom w:w="28" w:type="dxa"/>
            </w:tcMar>
            <w:vAlign w:val="bottom"/>
          </w:tcPr>
          <w:p>
            <w:pPr>
              <w:pStyle w:val="TableContents"/>
              <w:spacing w:before="0" w:after="0"/>
              <w:jc w:val="right"/>
              <w:rPr/>
            </w:pPr>
            <w:r>
              <w:rPr/>
              <w:t>(65</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67" w:type="dxa"/>
            <w:tcBorders>
              <w:bottom w:val="single" w:sz="12" w:space="0" w:color="000000"/>
            </w:tcBorders>
            <w:shd w:fill="CCEEFF" w:val="clear"/>
            <w:tcMar>
              <w:bottom w:w="28" w:type="dxa"/>
            </w:tcMar>
            <w:vAlign w:val="bottom"/>
          </w:tcPr>
          <w:p>
            <w:pPr>
              <w:pStyle w:val="TableContents"/>
              <w:spacing w:before="0" w:after="0"/>
              <w:jc w:val="right"/>
              <w:rPr/>
            </w:pPr>
            <w:r>
              <w:rPr/>
              <w:t>(1,157</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(686</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(1,908</w:t>
            </w:r>
          </w:p>
        </w:tc>
        <w:tc>
          <w:tcPr>
            <w:tcW w:w="110" w:type="dxa"/>
            <w:tcBorders/>
            <w:shd w:fill="CCEEFF" w:val="clear"/>
            <w:vAlign w:val="bottom"/>
          </w:tcPr>
          <w:p>
            <w:pPr>
              <w:pStyle w:val="TableContents"/>
              <w:spacing w:before="0" w:after="0"/>
              <w:rPr/>
            </w:pPr>
            <w:r>
              <w:rPr/>
              <w:t>)</w:t>
            </w:r>
          </w:p>
        </w:tc>
      </w:tr>
      <w:tr>
        <w:trPr/>
        <w:tc>
          <w:tcPr>
            <w:tcW w:w="3515" w:type="dxa"/>
            <w:tcBorders/>
            <w:shd w:fill="FFFFFF" w:val="clear"/>
            <w:vAlign w:val="bottom"/>
          </w:tcPr>
          <w:p>
            <w:pPr>
              <w:pStyle w:val="TableContents"/>
              <w:spacing w:before="0" w:after="0"/>
              <w:ind w:left="324" w:right="0" w:hanging="144"/>
              <w:rPr/>
            </w:pPr>
            <w:r>
              <w:rPr/>
              <w:t>Balance at end of period</w:t>
            </w:r>
          </w:p>
        </w:tc>
        <w:tc>
          <w:tcPr>
            <w:tcW w:w="60" w:type="dxa"/>
            <w:tcBorders/>
            <w:shd w:fill="FFFFFF" w:val="clear"/>
            <w:vAlign w:val="bottom"/>
          </w:tcPr>
          <w:p>
            <w:pPr>
              <w:pStyle w:val="TableContents"/>
              <w:spacing w:before="0" w:after="283"/>
              <w:rPr/>
            </w:pPr>
            <w:r>
              <w:rPr/>
              <w:t> </w:t>
            </w:r>
          </w:p>
        </w:tc>
        <w:tc>
          <w:tcPr>
            <w:tcW w:w="235" w:type="dxa"/>
            <w:tcBorders>
              <w:bottom w:val="double" w:sz="8" w:space="0" w:color="000000"/>
            </w:tcBorders>
            <w:shd w:fill="FFFFFF" w:val="clear"/>
            <w:tcMar>
              <w:bottom w:w="28" w:type="dxa"/>
            </w:tcMar>
            <w:vAlign w:val="bottom"/>
          </w:tcPr>
          <w:p>
            <w:pPr>
              <w:pStyle w:val="TableContents"/>
              <w:spacing w:before="0" w:after="0"/>
              <w:rPr/>
            </w:pPr>
            <w:r>
              <w:rPr/>
              <w:t>$</w:t>
            </w:r>
          </w:p>
        </w:tc>
        <w:tc>
          <w:tcPr>
            <w:tcW w:w="940" w:type="dxa"/>
            <w:tcBorders>
              <w:bottom w:val="double" w:sz="8" w:space="0" w:color="000000"/>
            </w:tcBorders>
            <w:shd w:fill="FFFFFF" w:val="clear"/>
            <w:tcMar>
              <w:bottom w:w="28" w:type="dxa"/>
            </w:tcMar>
            <w:vAlign w:val="bottom"/>
          </w:tcPr>
          <w:p>
            <w:pPr>
              <w:pStyle w:val="TableContents"/>
              <w:spacing w:before="0" w:after="0"/>
              <w:jc w:val="right"/>
              <w:rPr/>
            </w:pPr>
            <w:r>
              <w:rPr/>
              <w:t>6,073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8" w:type="dxa"/>
            <w:tcBorders>
              <w:bottom w:val="double" w:sz="8" w:space="0" w:color="000000"/>
            </w:tcBorders>
            <w:shd w:fill="FFFFFF" w:val="clear"/>
            <w:tcMar>
              <w:bottom w:w="28" w:type="dxa"/>
            </w:tcMar>
            <w:vAlign w:val="bottom"/>
          </w:tcPr>
          <w:p>
            <w:pPr>
              <w:pStyle w:val="TableContents"/>
              <w:spacing w:before="0" w:after="0"/>
              <w:rPr/>
            </w:pPr>
            <w:r>
              <w:rPr/>
              <w:t>$</w:t>
            </w:r>
          </w:p>
        </w:tc>
        <w:tc>
          <w:tcPr>
            <w:tcW w:w="767" w:type="dxa"/>
            <w:tcBorders>
              <w:bottom w:val="double" w:sz="8" w:space="0" w:color="000000"/>
            </w:tcBorders>
            <w:shd w:fill="FFFFFF" w:val="clear"/>
            <w:tcMar>
              <w:bottom w:w="28" w:type="dxa"/>
            </w:tcMar>
            <w:vAlign w:val="bottom"/>
          </w:tcPr>
          <w:p>
            <w:pPr>
              <w:pStyle w:val="TableContents"/>
              <w:spacing w:before="0" w:after="0"/>
              <w:jc w:val="right"/>
              <w:rPr/>
            </w:pPr>
            <w:r>
              <w:rPr/>
              <w:t>8,296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double" w:sz="8" w:space="0" w:color="000000"/>
            </w:tcBorders>
            <w:shd w:fill="FFFFFF" w:val="clear"/>
            <w:tcMar>
              <w:bottom w:w="28" w:type="dxa"/>
            </w:tcMar>
            <w:vAlign w:val="bottom"/>
          </w:tcPr>
          <w:p>
            <w:pPr>
              <w:pStyle w:val="TableContents"/>
              <w:spacing w:before="0" w:after="0"/>
              <w:rPr/>
            </w:pPr>
            <w:r>
              <w:rPr/>
              <w:t>$</w:t>
            </w:r>
          </w:p>
        </w:tc>
        <w:tc>
          <w:tcPr>
            <w:tcW w:w="844" w:type="dxa"/>
            <w:tcBorders>
              <w:bottom w:val="double" w:sz="8" w:space="0" w:color="000000"/>
            </w:tcBorders>
            <w:shd w:fill="FFFFFF" w:val="clear"/>
            <w:tcMar>
              <w:bottom w:w="28" w:type="dxa"/>
            </w:tcMar>
            <w:vAlign w:val="bottom"/>
          </w:tcPr>
          <w:p>
            <w:pPr>
              <w:pStyle w:val="TableContents"/>
              <w:spacing w:before="0" w:after="0"/>
              <w:jc w:val="right"/>
              <w:rPr/>
            </w:pPr>
            <w:r>
              <w:rPr/>
              <w:t>848</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bottom w:val="double" w:sz="8" w:space="0" w:color="000000"/>
            </w:tcBorders>
            <w:shd w:fill="FFFFFF" w:val="clear"/>
            <w:tcMar>
              <w:bottom w:w="28" w:type="dxa"/>
            </w:tcMar>
            <w:vAlign w:val="bottom"/>
          </w:tcPr>
          <w:p>
            <w:pPr>
              <w:pStyle w:val="TableContents"/>
              <w:spacing w:before="0" w:after="0"/>
              <w:rPr/>
            </w:pPr>
            <w:r>
              <w:rPr/>
              <w:t>$</w:t>
            </w:r>
          </w:p>
        </w:tc>
        <w:tc>
          <w:tcPr>
            <w:tcW w:w="808" w:type="dxa"/>
            <w:tcBorders>
              <w:bottom w:val="double" w:sz="8" w:space="0" w:color="000000"/>
            </w:tcBorders>
            <w:shd w:fill="FFFFFF" w:val="clear"/>
            <w:tcMar>
              <w:bottom w:w="28" w:type="dxa"/>
            </w:tcMar>
            <w:vAlign w:val="bottom"/>
          </w:tcPr>
          <w:p>
            <w:pPr>
              <w:pStyle w:val="TableContents"/>
              <w:spacing w:before="0" w:after="0"/>
              <w:jc w:val="right"/>
              <w:rPr/>
            </w:pPr>
            <w:r>
              <w:rPr/>
              <w:t>8,287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23,504</w:t>
            </w:r>
          </w:p>
        </w:tc>
        <w:tc>
          <w:tcPr>
            <w:tcW w:w="110"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0" w:name="DSPFPageBreakArea15"/>
      <w:bookmarkStart w:id="181" w:name="DSPFPageBreakArea15"/>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82" w:name="DSPFPageNumber15"/>
      <w:bookmarkStart w:id="183" w:name="DSPFPageNumberArea14"/>
      <w:bookmarkEnd w:id="182"/>
      <w:bookmarkEnd w:id="183"/>
      <w:r>
        <w:rPr>
          <w:b w:val="false"/>
          <w:i w:val="false"/>
          <w:caps w:val="false"/>
          <w:smallCaps w:val="false"/>
          <w:sz w:val="13"/>
        </w:rPr>
        <w:t>16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4" w:name="DSPFPageBreak15"/>
      <w:bookmarkStart w:id="185" w:name="DSPFPageBreak15"/>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186" w:name="DSPFPageHeader14"/>
        <w:bookmarkEnd w:id="186"/>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pPr>
      <w:r>
        <w:rPr/>
        <w:t>Allowance for loan losses and recorded investment in loans by portfolio segment follows:</w:t>
      </w:r>
    </w:p>
    <w:p>
      <w:pPr>
        <w:pStyle w:val="TextBody"/>
        <w:spacing w:before="0" w:after="0"/>
        <w:rPr/>
      </w:pPr>
      <w:r>
        <w:rPr/>
      </w:r>
    </w:p>
    <w:p>
      <w:pPr>
        <w:pStyle w:val="Normal"/>
        <w:spacing w:before="0" w:after="0"/>
        <w:rPr>
          <w:sz w:val="4"/>
          <w:szCs w:val="4"/>
        </w:rPr>
      </w:pPr>
      <w:r>
        <w:rPr>
          <w:sz w:val="4"/>
          <w:szCs w:val="4"/>
        </w:rPr>
      </w:r>
      <w:bookmarkStart w:id="187" w:name="z4e636839c20847658dda23cb1889ea30"/>
      <w:bookmarkStart w:id="188" w:name="z4e636839c20847658dda23cb1889ea30"/>
      <w:bookmarkEnd w:id="188"/>
    </w:p>
    <w:tbl>
      <w:tblPr>
        <w:tblW w:w="10205" w:type="dxa"/>
        <w:jc w:val="left"/>
        <w:tblInd w:w="0" w:type="dxa"/>
        <w:tblCellMar>
          <w:top w:w="0" w:type="dxa"/>
          <w:left w:w="0" w:type="dxa"/>
          <w:bottom w:w="0" w:type="dxa"/>
          <w:right w:w="0" w:type="dxa"/>
        </w:tblCellMar>
      </w:tblPr>
      <w:tblGrid>
        <w:gridCol w:w="4110"/>
        <w:gridCol w:w="60"/>
        <w:gridCol w:w="146"/>
        <w:gridCol w:w="1029"/>
        <w:gridCol w:w="60"/>
        <w:gridCol w:w="60"/>
        <w:gridCol w:w="140"/>
        <w:gridCol w:w="980"/>
        <w:gridCol w:w="60"/>
        <w:gridCol w:w="60"/>
        <w:gridCol w:w="157"/>
        <w:gridCol w:w="898"/>
        <w:gridCol w:w="60"/>
        <w:gridCol w:w="60"/>
        <w:gridCol w:w="202"/>
        <w:gridCol w:w="808"/>
        <w:gridCol w:w="60"/>
        <w:gridCol w:w="60"/>
        <w:gridCol w:w="140"/>
        <w:gridCol w:w="980"/>
        <w:gridCol w:w="75"/>
      </w:tblGrid>
      <w:tr>
        <w:trPr/>
        <w:tc>
          <w:tcPr>
            <w:tcW w:w="41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pPr>
            <w:r>
              <w:rPr/>
              <w:t>Commercial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Mortgage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Installment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pPr>
            <w:r>
              <w:rPr/>
              <w:t>Subjective</w:t>
            </w:r>
          </w:p>
          <w:p>
            <w:pPr>
              <w:pStyle w:val="TableContents"/>
              <w:spacing w:before="0" w:after="0"/>
              <w:jc w:val="center"/>
              <w:rPr/>
            </w:pPr>
            <w:r>
              <w:rPr/>
              <w:t>Allocation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75" w:type="dxa"/>
            <w:tcBorders/>
            <w:shd w:fill="auto" w:val="clear"/>
            <w:vAlign w:val="bottom"/>
          </w:tcPr>
          <w:p>
            <w:pPr>
              <w:pStyle w:val="TableContents"/>
              <w:spacing w:before="0" w:after="283"/>
              <w:rPr/>
            </w:pPr>
            <w:r>
              <w:rPr/>
              <w:t> </w:t>
            </w:r>
          </w:p>
        </w:tc>
      </w:tr>
      <w:tr>
        <w:trPr/>
        <w:tc>
          <w:tcPr>
            <w:tcW w:w="41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60" w:type="dxa"/>
            <w:gridSpan w:val="18"/>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4110" w:type="dxa"/>
            <w:tcBorders/>
            <w:shd w:fill="auto" w:val="clear"/>
            <w:vAlign w:val="bottom"/>
          </w:tcPr>
          <w:p>
            <w:pPr>
              <w:pStyle w:val="TableContents"/>
              <w:spacing w:before="0" w:after="0"/>
              <w:ind w:left="144" w:right="0" w:hanging="144"/>
              <w:rPr/>
            </w:pPr>
            <w:r>
              <w:rPr/>
              <w:t>June 30, 2019</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110" w:type="dxa"/>
            <w:tcBorders/>
            <w:shd w:fill="auto" w:val="clear"/>
            <w:vAlign w:val="bottom"/>
          </w:tcPr>
          <w:p>
            <w:pPr>
              <w:pStyle w:val="TableContents"/>
              <w:spacing w:before="0" w:after="0"/>
              <w:ind w:left="324" w:right="0" w:hanging="144"/>
              <w:rPr/>
            </w:pPr>
            <w:r>
              <w:rPr/>
              <w:t>Allowance for loan losses:</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504" w:right="0" w:hanging="144"/>
              <w:rPr/>
            </w:pPr>
            <w:r>
              <w:rPr/>
              <w:t>Individually evaluated for impairment</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0"/>
              <w:rPr/>
            </w:pPr>
            <w:r>
              <w:rPr/>
              <w:t>$</w:t>
            </w:r>
          </w:p>
        </w:tc>
        <w:tc>
          <w:tcPr>
            <w:tcW w:w="1029" w:type="dxa"/>
            <w:tcBorders/>
            <w:shd w:fill="CCEEFF" w:val="clear"/>
            <w:vAlign w:val="bottom"/>
          </w:tcPr>
          <w:p>
            <w:pPr>
              <w:pStyle w:val="TableContents"/>
              <w:spacing w:before="0" w:after="0"/>
              <w:jc w:val="right"/>
              <w:rPr/>
            </w:pPr>
            <w:r>
              <w:rPr/>
              <w:t>1,047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4,715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rPr/>
            </w:pPr>
            <w:r>
              <w:rPr/>
              <w:t>$</w:t>
            </w:r>
          </w:p>
        </w:tc>
        <w:tc>
          <w:tcPr>
            <w:tcW w:w="898" w:type="dxa"/>
            <w:tcBorders/>
            <w:shd w:fill="CCEEFF" w:val="clear"/>
            <w:vAlign w:val="bottom"/>
          </w:tcPr>
          <w:p>
            <w:pPr>
              <w:pStyle w:val="TableContents"/>
              <w:spacing w:before="0" w:after="0"/>
              <w:jc w:val="right"/>
              <w:rPr/>
            </w:pPr>
            <w:r>
              <w:rPr/>
              <w:t>265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0"/>
              <w:rPr/>
            </w:pPr>
            <w:r>
              <w:rPr/>
              <w:t>$</w:t>
            </w:r>
          </w:p>
        </w:tc>
        <w:tc>
          <w:tcPr>
            <w:tcW w:w="808"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6,027</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504" w:right="0" w:hanging="144"/>
              <w:rPr/>
            </w:pPr>
            <w:r>
              <w:rPr/>
              <w:t>Collectively evaluated for impairment</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029" w:type="dxa"/>
            <w:tcBorders/>
            <w:shd w:fill="FFFFFF" w:val="clear"/>
            <w:vAlign w:val="bottom"/>
          </w:tcPr>
          <w:p>
            <w:pPr>
              <w:pStyle w:val="TableContents"/>
              <w:spacing w:before="0" w:after="0"/>
              <w:jc w:val="right"/>
              <w:rPr/>
            </w:pPr>
            <w:r>
              <w:rPr/>
              <w:t>7,074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3,347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0"/>
              <w:jc w:val="right"/>
              <w:rPr/>
            </w:pPr>
            <w:r>
              <w:rPr/>
              <w:t>1,028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0"/>
              <w:jc w:val="right"/>
              <w:rPr/>
            </w:pPr>
            <w:r>
              <w:rPr/>
              <w:t>8,427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19,876</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504" w:right="0" w:hanging="144"/>
              <w:rPr/>
            </w:pPr>
            <w:r>
              <w:rPr/>
              <w:t>Loans acquired with deteriorated credit quality</w:t>
            </w:r>
          </w:p>
        </w:tc>
        <w:tc>
          <w:tcPr>
            <w:tcW w:w="60" w:type="dxa"/>
            <w:tcBorders/>
            <w:shd w:fill="CCEEFF" w:val="clear"/>
            <w:vAlign w:val="bottom"/>
          </w:tcPr>
          <w:p>
            <w:pPr>
              <w:pStyle w:val="TableContents"/>
              <w:spacing w:before="0" w:after="283"/>
              <w:rPr/>
            </w:pPr>
            <w:r>
              <w:rPr/>
              <w:t> </w:t>
            </w:r>
          </w:p>
        </w:tc>
        <w:tc>
          <w:tcPr>
            <w:tcW w:w="14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9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324" w:right="0" w:hanging="144"/>
              <w:rPr/>
            </w:pPr>
            <w:r>
              <w:rPr/>
              <w:t>Total ending allowance for loan losses balance</w:t>
            </w:r>
          </w:p>
        </w:tc>
        <w:tc>
          <w:tcPr>
            <w:tcW w:w="60" w:type="dxa"/>
            <w:tcBorders/>
            <w:shd w:fill="FFFFFF" w:val="clear"/>
            <w:vAlign w:val="bottom"/>
          </w:tcPr>
          <w:p>
            <w:pPr>
              <w:pStyle w:val="TableContents"/>
              <w:spacing w:before="0" w:after="283"/>
              <w:rPr/>
            </w:pPr>
            <w:r>
              <w:rPr/>
              <w:t> </w:t>
            </w:r>
          </w:p>
        </w:tc>
        <w:tc>
          <w:tcPr>
            <w:tcW w:w="146" w:type="dxa"/>
            <w:tcBorders>
              <w:bottom w:val="double" w:sz="8" w:space="0" w:color="000000"/>
            </w:tcBorders>
            <w:shd w:fill="FFFFFF" w:val="clear"/>
            <w:tcMar>
              <w:bottom w:w="28" w:type="dxa"/>
            </w:tcMar>
            <w:vAlign w:val="bottom"/>
          </w:tcPr>
          <w:p>
            <w:pPr>
              <w:pStyle w:val="TableContents"/>
              <w:spacing w:before="0" w:after="0"/>
              <w:rPr/>
            </w:pPr>
            <w:r>
              <w:rPr/>
              <w:t>$</w:t>
            </w:r>
          </w:p>
        </w:tc>
        <w:tc>
          <w:tcPr>
            <w:tcW w:w="1029" w:type="dxa"/>
            <w:tcBorders>
              <w:bottom w:val="double" w:sz="8" w:space="0" w:color="000000"/>
            </w:tcBorders>
            <w:shd w:fill="FFFFFF" w:val="clear"/>
            <w:tcMar>
              <w:bottom w:w="28" w:type="dxa"/>
            </w:tcMar>
            <w:vAlign w:val="bottom"/>
          </w:tcPr>
          <w:p>
            <w:pPr>
              <w:pStyle w:val="TableContents"/>
              <w:spacing w:before="0" w:after="0"/>
              <w:jc w:val="right"/>
              <w:rPr/>
            </w:pPr>
            <w:r>
              <w:rPr/>
              <w:t>8,121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8,062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rPr/>
            </w:pPr>
            <w:r>
              <w:rPr/>
              <w:t>$</w:t>
            </w:r>
          </w:p>
        </w:tc>
        <w:tc>
          <w:tcPr>
            <w:tcW w:w="898" w:type="dxa"/>
            <w:tcBorders>
              <w:bottom w:val="double" w:sz="8" w:space="0" w:color="000000"/>
            </w:tcBorders>
            <w:shd w:fill="FFFFFF" w:val="clear"/>
            <w:tcMar>
              <w:bottom w:w="28" w:type="dxa"/>
            </w:tcMar>
            <w:vAlign w:val="bottom"/>
          </w:tcPr>
          <w:p>
            <w:pPr>
              <w:pStyle w:val="TableContents"/>
              <w:spacing w:before="0" w:after="0"/>
              <w:jc w:val="right"/>
              <w:rPr/>
            </w:pPr>
            <w:r>
              <w:rPr/>
              <w:t>1,293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bottom w:val="double" w:sz="8" w:space="0" w:color="000000"/>
            </w:tcBorders>
            <w:shd w:fill="FFFFFF" w:val="clear"/>
            <w:tcMar>
              <w:bottom w:w="28" w:type="dxa"/>
            </w:tcMar>
            <w:vAlign w:val="bottom"/>
          </w:tcPr>
          <w:p>
            <w:pPr>
              <w:pStyle w:val="TableContents"/>
              <w:spacing w:before="0" w:after="0"/>
              <w:rPr/>
            </w:pPr>
            <w:r>
              <w:rPr/>
              <w:t>$</w:t>
            </w:r>
          </w:p>
        </w:tc>
        <w:tc>
          <w:tcPr>
            <w:tcW w:w="808" w:type="dxa"/>
            <w:tcBorders>
              <w:bottom w:val="double" w:sz="8" w:space="0" w:color="000000"/>
            </w:tcBorders>
            <w:shd w:fill="FFFFFF" w:val="clear"/>
            <w:tcMar>
              <w:bottom w:w="28" w:type="dxa"/>
            </w:tcMar>
            <w:vAlign w:val="bottom"/>
          </w:tcPr>
          <w:p>
            <w:pPr>
              <w:pStyle w:val="TableContents"/>
              <w:spacing w:before="0" w:after="0"/>
              <w:jc w:val="right"/>
              <w:rPr/>
            </w:pPr>
            <w:r>
              <w:rPr/>
              <w:t>8,427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25,903</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324" w:right="0" w:hanging="144"/>
              <w:rPr/>
            </w:pPr>
            <w:r>
              <w:rPr/>
              <w:t>Loans</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02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504" w:right="0" w:hanging="144"/>
              <w:rPr/>
            </w:pPr>
            <w:r>
              <w:rPr/>
              <w:t>Individually evaluated for impairment</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0"/>
              <w:rPr/>
            </w:pPr>
            <w:r>
              <w:rPr/>
              <w:t>$</w:t>
            </w:r>
          </w:p>
        </w:tc>
        <w:tc>
          <w:tcPr>
            <w:tcW w:w="1029" w:type="dxa"/>
            <w:tcBorders/>
            <w:shd w:fill="CCEEFF" w:val="clear"/>
            <w:vAlign w:val="bottom"/>
          </w:tcPr>
          <w:p>
            <w:pPr>
              <w:pStyle w:val="TableContents"/>
              <w:spacing w:before="0" w:after="0"/>
              <w:jc w:val="right"/>
              <w:rPr/>
            </w:pPr>
            <w:r>
              <w:rPr/>
              <w:t>8,082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44,095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rPr/>
            </w:pPr>
            <w:r>
              <w:rPr/>
              <w:t>$</w:t>
            </w:r>
          </w:p>
        </w:tc>
        <w:tc>
          <w:tcPr>
            <w:tcW w:w="898" w:type="dxa"/>
            <w:tcBorders/>
            <w:shd w:fill="CCEEFF" w:val="clear"/>
            <w:vAlign w:val="bottom"/>
          </w:tcPr>
          <w:p>
            <w:pPr>
              <w:pStyle w:val="TableContents"/>
              <w:spacing w:before="0" w:after="0"/>
              <w:jc w:val="right"/>
              <w:rPr/>
            </w:pPr>
            <w:r>
              <w:rPr/>
              <w:t>3,258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55,435</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504" w:right="0" w:hanging="144"/>
              <w:rPr/>
            </w:pPr>
            <w:r>
              <w:rPr/>
              <w:t>Collectively evaluated for impairment</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029" w:type="dxa"/>
            <w:tcBorders/>
            <w:shd w:fill="FFFFFF" w:val="clear"/>
            <w:vAlign w:val="bottom"/>
          </w:tcPr>
          <w:p>
            <w:pPr>
              <w:pStyle w:val="TableContents"/>
              <w:spacing w:before="0" w:after="0"/>
              <w:jc w:val="right"/>
              <w:rPr/>
            </w:pPr>
            <w:r>
              <w:rPr/>
              <w:t>1,169,792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1,046,177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0"/>
              <w:jc w:val="right"/>
              <w:rPr/>
            </w:pPr>
            <w:r>
              <w:rPr/>
              <w:t>441,859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2,657,828</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504" w:right="0" w:hanging="144"/>
              <w:rPr/>
            </w:pPr>
            <w:r>
              <w:rPr/>
              <w:t>Loans acquired with deteriorated credit quality</w:t>
            </w:r>
          </w:p>
        </w:tc>
        <w:tc>
          <w:tcPr>
            <w:tcW w:w="60" w:type="dxa"/>
            <w:tcBorders/>
            <w:shd w:fill="CCEEFF" w:val="clear"/>
            <w:vAlign w:val="bottom"/>
          </w:tcPr>
          <w:p>
            <w:pPr>
              <w:pStyle w:val="TableContents"/>
              <w:spacing w:before="0" w:after="283"/>
              <w:rPr/>
            </w:pPr>
            <w:r>
              <w:rPr/>
              <w:t> </w:t>
            </w:r>
          </w:p>
        </w:tc>
        <w:tc>
          <w:tcPr>
            <w:tcW w:w="14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0"/>
              <w:jc w:val="right"/>
              <w:rPr/>
            </w:pPr>
            <w:r>
              <w:rPr/>
              <w:t>1,490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587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98" w:type="dxa"/>
            <w:tcBorders>
              <w:bottom w:val="single" w:sz="12" w:space="0" w:color="000000"/>
            </w:tcBorders>
            <w:shd w:fill="CCEEFF" w:val="clear"/>
            <w:tcMar>
              <w:bottom w:w="28" w:type="dxa"/>
            </w:tcMar>
            <w:vAlign w:val="bottom"/>
          </w:tcPr>
          <w:p>
            <w:pPr>
              <w:pStyle w:val="TableContents"/>
              <w:spacing w:before="0" w:after="0"/>
              <w:jc w:val="right"/>
              <w:rPr/>
            </w:pPr>
            <w:r>
              <w:rPr/>
              <w:t>324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2,401</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324" w:right="0" w:hanging="144"/>
              <w:rPr/>
            </w:pPr>
            <w:r>
              <w:rPr/>
              <w:t>Total loans recorded investment</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029" w:type="dxa"/>
            <w:tcBorders/>
            <w:shd w:fill="FFFFFF" w:val="clear"/>
            <w:vAlign w:val="bottom"/>
          </w:tcPr>
          <w:p>
            <w:pPr>
              <w:pStyle w:val="TableContents"/>
              <w:spacing w:before="0" w:after="0"/>
              <w:jc w:val="right"/>
              <w:rPr/>
            </w:pPr>
            <w:r>
              <w:rPr/>
              <w:t>1,179,364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1,090,859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0"/>
              <w:jc w:val="right"/>
              <w:rPr/>
            </w:pPr>
            <w:r>
              <w:rPr/>
              <w:t>445,441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2,715,664</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324" w:right="0" w:hanging="144"/>
              <w:rPr/>
            </w:pPr>
            <w:r>
              <w:rPr/>
              <w:t>Accrued interest included in recorded investment</w:t>
            </w:r>
          </w:p>
        </w:tc>
        <w:tc>
          <w:tcPr>
            <w:tcW w:w="60" w:type="dxa"/>
            <w:tcBorders/>
            <w:shd w:fill="CCEEFF" w:val="clear"/>
            <w:vAlign w:val="bottom"/>
          </w:tcPr>
          <w:p>
            <w:pPr>
              <w:pStyle w:val="TableContents"/>
              <w:spacing w:before="0" w:after="283"/>
              <w:rPr/>
            </w:pPr>
            <w:r>
              <w:rPr/>
              <w:t> </w:t>
            </w:r>
          </w:p>
        </w:tc>
        <w:tc>
          <w:tcPr>
            <w:tcW w:w="14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29" w:type="dxa"/>
            <w:tcBorders>
              <w:bottom w:val="single" w:sz="12" w:space="0" w:color="000000"/>
            </w:tcBorders>
            <w:shd w:fill="CCEEFF" w:val="clear"/>
            <w:tcMar>
              <w:bottom w:w="28" w:type="dxa"/>
            </w:tcMar>
            <w:vAlign w:val="bottom"/>
          </w:tcPr>
          <w:p>
            <w:pPr>
              <w:pStyle w:val="TableContents"/>
              <w:spacing w:before="0" w:after="0"/>
              <w:jc w:val="right"/>
              <w:rPr/>
            </w:pPr>
            <w:r>
              <w:rPr/>
              <w:t>3,394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4,550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98" w:type="dxa"/>
            <w:tcBorders>
              <w:bottom w:val="single" w:sz="12" w:space="0" w:color="000000"/>
            </w:tcBorders>
            <w:shd w:fill="CCEEFF" w:val="clear"/>
            <w:tcMar>
              <w:bottom w:w="28" w:type="dxa"/>
            </w:tcMar>
            <w:vAlign w:val="bottom"/>
          </w:tcPr>
          <w:p>
            <w:pPr>
              <w:pStyle w:val="TableContents"/>
              <w:spacing w:before="0" w:after="0"/>
              <w:jc w:val="right"/>
              <w:rPr/>
            </w:pPr>
            <w:r>
              <w:rPr/>
              <w:t>1,194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9,138</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324" w:right="0" w:hanging="144"/>
              <w:rPr/>
            </w:pPr>
            <w:r>
              <w:rPr/>
              <w:t>Total loans</w:t>
            </w:r>
          </w:p>
        </w:tc>
        <w:tc>
          <w:tcPr>
            <w:tcW w:w="60" w:type="dxa"/>
            <w:tcBorders/>
            <w:shd w:fill="FFFFFF" w:val="clear"/>
            <w:vAlign w:val="bottom"/>
          </w:tcPr>
          <w:p>
            <w:pPr>
              <w:pStyle w:val="TableContents"/>
              <w:spacing w:before="0" w:after="283"/>
              <w:rPr/>
            </w:pPr>
            <w:r>
              <w:rPr/>
              <w:t> </w:t>
            </w:r>
          </w:p>
        </w:tc>
        <w:tc>
          <w:tcPr>
            <w:tcW w:w="146" w:type="dxa"/>
            <w:tcBorders>
              <w:bottom w:val="double" w:sz="8" w:space="0" w:color="000000"/>
            </w:tcBorders>
            <w:shd w:fill="FFFFFF" w:val="clear"/>
            <w:tcMar>
              <w:bottom w:w="28" w:type="dxa"/>
            </w:tcMar>
            <w:vAlign w:val="bottom"/>
          </w:tcPr>
          <w:p>
            <w:pPr>
              <w:pStyle w:val="TableContents"/>
              <w:spacing w:before="0" w:after="0"/>
              <w:rPr/>
            </w:pPr>
            <w:r>
              <w:rPr/>
              <w:t>$</w:t>
            </w:r>
          </w:p>
        </w:tc>
        <w:tc>
          <w:tcPr>
            <w:tcW w:w="1029" w:type="dxa"/>
            <w:tcBorders>
              <w:bottom w:val="double" w:sz="8" w:space="0" w:color="000000"/>
            </w:tcBorders>
            <w:shd w:fill="FFFFFF" w:val="clear"/>
            <w:tcMar>
              <w:bottom w:w="28" w:type="dxa"/>
            </w:tcMar>
            <w:vAlign w:val="bottom"/>
          </w:tcPr>
          <w:p>
            <w:pPr>
              <w:pStyle w:val="TableContents"/>
              <w:spacing w:before="0" w:after="0"/>
              <w:jc w:val="right"/>
              <w:rPr/>
            </w:pPr>
            <w:r>
              <w:rPr/>
              <w:t>1,175,970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1,086,309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rPr/>
            </w:pPr>
            <w:r>
              <w:rPr/>
              <w:t>$</w:t>
            </w:r>
          </w:p>
        </w:tc>
        <w:tc>
          <w:tcPr>
            <w:tcW w:w="898" w:type="dxa"/>
            <w:tcBorders>
              <w:bottom w:val="double" w:sz="8" w:space="0" w:color="000000"/>
            </w:tcBorders>
            <w:shd w:fill="FFFFFF" w:val="clear"/>
            <w:tcMar>
              <w:bottom w:w="28" w:type="dxa"/>
            </w:tcMar>
            <w:vAlign w:val="bottom"/>
          </w:tcPr>
          <w:p>
            <w:pPr>
              <w:pStyle w:val="TableContents"/>
              <w:spacing w:before="0" w:after="0"/>
              <w:jc w:val="right"/>
              <w:rPr/>
            </w:pPr>
            <w:r>
              <w:rPr/>
              <w:t>444,247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2,706,526</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144" w:right="0" w:hanging="144"/>
              <w:rPr/>
            </w:pPr>
            <w:r>
              <w:rPr/>
              <w:t>December 31, 2018</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02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324" w:right="0" w:hanging="144"/>
              <w:rPr/>
            </w:pPr>
            <w:r>
              <w:rPr/>
              <w:t>Allowance for loan losses:</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504" w:right="0" w:hanging="144"/>
              <w:rPr/>
            </w:pPr>
            <w:r>
              <w:rPr/>
              <w:t>Individually evaluated for impairment</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0"/>
              <w:rPr/>
            </w:pPr>
            <w:r>
              <w:rPr/>
              <w:t>$</w:t>
            </w:r>
          </w:p>
        </w:tc>
        <w:tc>
          <w:tcPr>
            <w:tcW w:w="1029" w:type="dxa"/>
            <w:tcBorders/>
            <w:shd w:fill="FFFFFF" w:val="clear"/>
            <w:vAlign w:val="bottom"/>
          </w:tcPr>
          <w:p>
            <w:pPr>
              <w:pStyle w:val="TableContents"/>
              <w:spacing w:before="0" w:after="0"/>
              <w:jc w:val="right"/>
              <w:rPr/>
            </w:pPr>
            <w:r>
              <w:rPr/>
              <w:t>1,305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980" w:type="dxa"/>
            <w:tcBorders/>
            <w:shd w:fill="FFFFFF" w:val="clear"/>
            <w:vAlign w:val="bottom"/>
          </w:tcPr>
          <w:p>
            <w:pPr>
              <w:pStyle w:val="TableContents"/>
              <w:spacing w:before="0" w:after="0"/>
              <w:jc w:val="right"/>
              <w:rPr/>
            </w:pPr>
            <w:r>
              <w:rPr/>
              <w:t>4,799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0"/>
              <w:rPr/>
            </w:pPr>
            <w:r>
              <w:rPr/>
              <w:t>$</w:t>
            </w:r>
          </w:p>
        </w:tc>
        <w:tc>
          <w:tcPr>
            <w:tcW w:w="898" w:type="dxa"/>
            <w:tcBorders/>
            <w:shd w:fill="FFFFFF" w:val="clear"/>
            <w:vAlign w:val="bottom"/>
          </w:tcPr>
          <w:p>
            <w:pPr>
              <w:pStyle w:val="TableContents"/>
              <w:spacing w:before="0" w:after="0"/>
              <w:jc w:val="right"/>
              <w:rPr/>
            </w:pPr>
            <w:r>
              <w:rPr/>
              <w:t>206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0"/>
              <w:rPr/>
            </w:pPr>
            <w:r>
              <w:rPr/>
              <w:t>$</w:t>
            </w:r>
          </w:p>
        </w:tc>
        <w:tc>
          <w:tcPr>
            <w:tcW w:w="80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980" w:type="dxa"/>
            <w:tcBorders/>
            <w:shd w:fill="FFFFFF" w:val="clear"/>
            <w:vAlign w:val="bottom"/>
          </w:tcPr>
          <w:p>
            <w:pPr>
              <w:pStyle w:val="TableContents"/>
              <w:spacing w:before="0" w:after="0"/>
              <w:jc w:val="right"/>
              <w:rPr/>
            </w:pPr>
            <w:r>
              <w:rPr/>
              <w:t>6,310</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504" w:right="0" w:hanging="144"/>
              <w:rPr/>
            </w:pPr>
            <w:r>
              <w:rPr/>
              <w:t>Collectively evaluated for impairment</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0"/>
              <w:jc w:val="right"/>
              <w:rPr/>
            </w:pPr>
            <w:r>
              <w:rPr/>
              <w:t>5,785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3,179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0"/>
              <w:jc w:val="right"/>
              <w:rPr/>
            </w:pPr>
            <w:r>
              <w:rPr/>
              <w:t>689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0"/>
              <w:jc w:val="right"/>
              <w:rPr/>
            </w:pPr>
            <w:r>
              <w:rPr/>
              <w:t>8,925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18,578</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504" w:right="0" w:hanging="144"/>
              <w:rPr/>
            </w:pPr>
            <w:r>
              <w:rPr/>
              <w:t>Loans acquired with deteriorated credit quality</w:t>
            </w:r>
          </w:p>
        </w:tc>
        <w:tc>
          <w:tcPr>
            <w:tcW w:w="60" w:type="dxa"/>
            <w:tcBorders/>
            <w:shd w:fill="FFFFFF" w:val="cle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98"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08"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324" w:right="0" w:hanging="144"/>
              <w:rPr/>
            </w:pPr>
            <w:r>
              <w:rPr/>
              <w:t>Total ending allowance for loan losses balance</w:t>
            </w:r>
          </w:p>
        </w:tc>
        <w:tc>
          <w:tcPr>
            <w:tcW w:w="60" w:type="dxa"/>
            <w:tcBorders/>
            <w:shd w:fill="CCEEFF" w:val="clear"/>
            <w:vAlign w:val="bottom"/>
          </w:tcPr>
          <w:p>
            <w:pPr>
              <w:pStyle w:val="TableContents"/>
              <w:spacing w:before="0" w:after="283"/>
              <w:rPr/>
            </w:pPr>
            <w:r>
              <w:rPr/>
              <w:t> </w:t>
            </w:r>
          </w:p>
        </w:tc>
        <w:tc>
          <w:tcPr>
            <w:tcW w:w="146" w:type="dxa"/>
            <w:tcBorders>
              <w:bottom w:val="double" w:sz="8" w:space="0" w:color="000000"/>
            </w:tcBorders>
            <w:shd w:fill="CCEEFF" w:val="clear"/>
            <w:tcMar>
              <w:bottom w:w="28" w:type="dxa"/>
            </w:tcMar>
            <w:vAlign w:val="bottom"/>
          </w:tcPr>
          <w:p>
            <w:pPr>
              <w:pStyle w:val="TableContents"/>
              <w:spacing w:before="0" w:after="0"/>
              <w:rPr/>
            </w:pPr>
            <w:r>
              <w:rPr/>
              <w:t>$</w:t>
            </w:r>
          </w:p>
        </w:tc>
        <w:tc>
          <w:tcPr>
            <w:tcW w:w="1029" w:type="dxa"/>
            <w:tcBorders>
              <w:bottom w:val="double" w:sz="8" w:space="0" w:color="000000"/>
            </w:tcBorders>
            <w:shd w:fill="CCEEFF" w:val="clear"/>
            <w:tcMar>
              <w:bottom w:w="28" w:type="dxa"/>
            </w:tcMar>
            <w:vAlign w:val="bottom"/>
          </w:tcPr>
          <w:p>
            <w:pPr>
              <w:pStyle w:val="TableContents"/>
              <w:spacing w:before="0" w:after="0"/>
              <w:jc w:val="right"/>
              <w:rPr/>
            </w:pPr>
            <w:r>
              <w:rPr/>
              <w:t>7,090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7,978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double" w:sz="8" w:space="0" w:color="000000"/>
            </w:tcBorders>
            <w:shd w:fill="CCEEFF" w:val="clear"/>
            <w:tcMar>
              <w:bottom w:w="28" w:type="dxa"/>
            </w:tcMar>
            <w:vAlign w:val="bottom"/>
          </w:tcPr>
          <w:p>
            <w:pPr>
              <w:pStyle w:val="TableContents"/>
              <w:spacing w:before="0" w:after="0"/>
              <w:rPr/>
            </w:pPr>
            <w:r>
              <w:rPr/>
              <w:t>$</w:t>
            </w:r>
          </w:p>
        </w:tc>
        <w:tc>
          <w:tcPr>
            <w:tcW w:w="898" w:type="dxa"/>
            <w:tcBorders>
              <w:bottom w:val="double" w:sz="8" w:space="0" w:color="000000"/>
            </w:tcBorders>
            <w:shd w:fill="CCEEFF" w:val="clear"/>
            <w:tcMar>
              <w:bottom w:w="28" w:type="dxa"/>
            </w:tcMar>
            <w:vAlign w:val="bottom"/>
          </w:tcPr>
          <w:p>
            <w:pPr>
              <w:pStyle w:val="TableContents"/>
              <w:spacing w:before="0" w:after="0"/>
              <w:jc w:val="right"/>
              <w:rPr/>
            </w:pPr>
            <w:r>
              <w:rPr/>
              <w:t>895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bottom w:val="double" w:sz="8" w:space="0" w:color="000000"/>
            </w:tcBorders>
            <w:shd w:fill="CCEEFF" w:val="clear"/>
            <w:tcMar>
              <w:bottom w:w="28" w:type="dxa"/>
            </w:tcMar>
            <w:vAlign w:val="bottom"/>
          </w:tcPr>
          <w:p>
            <w:pPr>
              <w:pStyle w:val="TableContents"/>
              <w:spacing w:before="0" w:after="0"/>
              <w:rPr/>
            </w:pPr>
            <w:r>
              <w:rPr/>
              <w:t>$</w:t>
            </w:r>
          </w:p>
        </w:tc>
        <w:tc>
          <w:tcPr>
            <w:tcW w:w="808" w:type="dxa"/>
            <w:tcBorders>
              <w:bottom w:val="double" w:sz="8" w:space="0" w:color="000000"/>
            </w:tcBorders>
            <w:shd w:fill="CCEEFF" w:val="clear"/>
            <w:tcMar>
              <w:bottom w:w="28" w:type="dxa"/>
            </w:tcMar>
            <w:vAlign w:val="bottom"/>
          </w:tcPr>
          <w:p>
            <w:pPr>
              <w:pStyle w:val="TableContents"/>
              <w:spacing w:before="0" w:after="0"/>
              <w:jc w:val="right"/>
              <w:rPr/>
            </w:pPr>
            <w:r>
              <w:rPr/>
              <w:t>8,925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24,888</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102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324" w:right="0" w:hanging="144"/>
              <w:rPr/>
            </w:pPr>
            <w:r>
              <w:rPr/>
              <w:t>Loans</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504" w:right="0" w:hanging="144"/>
              <w:rPr/>
            </w:pPr>
            <w:r>
              <w:rPr/>
              <w:t>Individually evaluated for impairment</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0"/>
              <w:rPr/>
            </w:pPr>
            <w:r>
              <w:rPr/>
              <w:t>$</w:t>
            </w:r>
          </w:p>
        </w:tc>
        <w:tc>
          <w:tcPr>
            <w:tcW w:w="1029" w:type="dxa"/>
            <w:tcBorders/>
            <w:shd w:fill="FFFFFF" w:val="clear"/>
            <w:vAlign w:val="bottom"/>
          </w:tcPr>
          <w:p>
            <w:pPr>
              <w:pStyle w:val="TableContents"/>
              <w:spacing w:before="0" w:after="0"/>
              <w:jc w:val="right"/>
              <w:rPr/>
            </w:pPr>
            <w:r>
              <w:rPr/>
              <w:t>8,697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980" w:type="dxa"/>
            <w:tcBorders/>
            <w:shd w:fill="FFFFFF" w:val="clear"/>
            <w:vAlign w:val="bottom"/>
          </w:tcPr>
          <w:p>
            <w:pPr>
              <w:pStyle w:val="TableContents"/>
              <w:spacing w:before="0" w:after="0"/>
              <w:jc w:val="right"/>
              <w:rPr/>
            </w:pPr>
            <w:r>
              <w:rPr/>
              <w:t>46,394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0"/>
              <w:rPr/>
            </w:pPr>
            <w:r>
              <w:rPr/>
              <w:t>$</w:t>
            </w:r>
          </w:p>
        </w:tc>
        <w:tc>
          <w:tcPr>
            <w:tcW w:w="898" w:type="dxa"/>
            <w:tcBorders/>
            <w:shd w:fill="FFFFFF" w:val="clear"/>
            <w:vAlign w:val="bottom"/>
          </w:tcPr>
          <w:p>
            <w:pPr>
              <w:pStyle w:val="TableContents"/>
              <w:spacing w:before="0" w:after="0"/>
              <w:jc w:val="right"/>
              <w:rPr/>
            </w:pPr>
            <w:r>
              <w:rPr/>
              <w:t>3,370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980" w:type="dxa"/>
            <w:tcBorders/>
            <w:shd w:fill="FFFFFF" w:val="clear"/>
            <w:vAlign w:val="bottom"/>
          </w:tcPr>
          <w:p>
            <w:pPr>
              <w:pStyle w:val="TableContents"/>
              <w:spacing w:before="0" w:after="0"/>
              <w:jc w:val="right"/>
              <w:rPr/>
            </w:pPr>
            <w:r>
              <w:rPr/>
              <w:t>58,461</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504" w:right="0" w:hanging="144"/>
              <w:rPr/>
            </w:pPr>
            <w:r>
              <w:rPr/>
              <w:t>Collectively evaluated for impairment</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0"/>
              <w:jc w:val="right"/>
              <w:rPr/>
            </w:pPr>
            <w:r>
              <w:rPr/>
              <w:t>1,137,586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1,000,038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0"/>
              <w:jc w:val="right"/>
              <w:rPr/>
            </w:pPr>
            <w:r>
              <w:rPr/>
              <w:t>392,460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2,530,084</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504" w:right="0" w:hanging="144"/>
              <w:rPr/>
            </w:pPr>
            <w:r>
              <w:rPr/>
              <w:t>Loans acquired with deteriorated credit quality</w:t>
            </w:r>
          </w:p>
        </w:tc>
        <w:tc>
          <w:tcPr>
            <w:tcW w:w="60" w:type="dxa"/>
            <w:tcBorders/>
            <w:shd w:fill="FFFFFF" w:val="cle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0"/>
              <w:jc w:val="right"/>
              <w:rPr/>
            </w:pPr>
            <w:r>
              <w:rPr/>
              <w:t>1,609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555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98" w:type="dxa"/>
            <w:tcBorders>
              <w:bottom w:val="single" w:sz="12" w:space="0" w:color="000000"/>
            </w:tcBorders>
            <w:shd w:fill="FFFFFF" w:val="clear"/>
            <w:tcMar>
              <w:bottom w:w="28" w:type="dxa"/>
            </w:tcMar>
            <w:vAlign w:val="bottom"/>
          </w:tcPr>
          <w:p>
            <w:pPr>
              <w:pStyle w:val="TableContents"/>
              <w:spacing w:before="0" w:after="0"/>
              <w:jc w:val="right"/>
              <w:rPr/>
            </w:pPr>
            <w:r>
              <w:rPr/>
              <w:t>349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2,513</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324" w:right="0" w:hanging="144"/>
              <w:rPr/>
            </w:pPr>
            <w:r>
              <w:rPr/>
              <w:t>Total loans recorded investment</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0"/>
              <w:jc w:val="right"/>
              <w:rPr/>
            </w:pPr>
            <w:r>
              <w:rPr/>
              <w:t>1,147,892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1,046,987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0"/>
              <w:jc w:val="right"/>
              <w:rPr/>
            </w:pPr>
            <w:r>
              <w:rPr/>
              <w:t>396,179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2,591,058</w:t>
            </w:r>
          </w:p>
        </w:tc>
        <w:tc>
          <w:tcPr>
            <w:tcW w:w="75" w:type="dxa"/>
            <w:tcBorders/>
            <w:shd w:fill="CCEEFF" w:val="clear"/>
            <w:vAlign w:val="bottom"/>
          </w:tcPr>
          <w:p>
            <w:pPr>
              <w:pStyle w:val="TableContents"/>
              <w:spacing w:before="0" w:after="283"/>
              <w:rPr/>
            </w:pPr>
            <w:r>
              <w:rPr/>
              <w:t> </w:t>
            </w:r>
          </w:p>
        </w:tc>
      </w:tr>
      <w:tr>
        <w:trPr/>
        <w:tc>
          <w:tcPr>
            <w:tcW w:w="4110" w:type="dxa"/>
            <w:tcBorders/>
            <w:shd w:fill="FFFFFF" w:val="clear"/>
            <w:vAlign w:val="bottom"/>
          </w:tcPr>
          <w:p>
            <w:pPr>
              <w:pStyle w:val="TableContents"/>
              <w:spacing w:before="0" w:after="0"/>
              <w:ind w:left="324" w:right="0" w:hanging="144"/>
              <w:rPr/>
            </w:pPr>
            <w:r>
              <w:rPr/>
              <w:t>Accrued interest included in recorded investment</w:t>
            </w:r>
          </w:p>
        </w:tc>
        <w:tc>
          <w:tcPr>
            <w:tcW w:w="60" w:type="dxa"/>
            <w:tcBorders/>
            <w:shd w:fill="FFFFFF" w:val="cle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29" w:type="dxa"/>
            <w:tcBorders>
              <w:bottom w:val="single" w:sz="12" w:space="0" w:color="000000"/>
            </w:tcBorders>
            <w:shd w:fill="FFFFFF" w:val="clear"/>
            <w:tcMar>
              <w:bottom w:w="28" w:type="dxa"/>
            </w:tcMar>
            <w:vAlign w:val="bottom"/>
          </w:tcPr>
          <w:p>
            <w:pPr>
              <w:pStyle w:val="TableContents"/>
              <w:spacing w:before="0" w:after="0"/>
              <w:jc w:val="right"/>
              <w:rPr/>
            </w:pPr>
            <w:r>
              <w:rPr/>
              <w:t>3,411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4,097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98" w:type="dxa"/>
            <w:tcBorders>
              <w:bottom w:val="single" w:sz="12" w:space="0" w:color="000000"/>
            </w:tcBorders>
            <w:shd w:fill="FFFFFF" w:val="clear"/>
            <w:tcMar>
              <w:bottom w:w="28" w:type="dxa"/>
            </w:tcMar>
            <w:vAlign w:val="bottom"/>
          </w:tcPr>
          <w:p>
            <w:pPr>
              <w:pStyle w:val="TableContents"/>
              <w:spacing w:before="0" w:after="0"/>
              <w:jc w:val="right"/>
              <w:rPr/>
            </w:pPr>
            <w:r>
              <w:rPr/>
              <w:t>1,030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80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8,538</w:t>
            </w:r>
          </w:p>
        </w:tc>
        <w:tc>
          <w:tcPr>
            <w:tcW w:w="75" w:type="dxa"/>
            <w:tcBorders/>
            <w:shd w:fill="FFFFFF" w:val="clear"/>
            <w:vAlign w:val="bottom"/>
          </w:tcPr>
          <w:p>
            <w:pPr>
              <w:pStyle w:val="TableContents"/>
              <w:spacing w:before="0" w:after="283"/>
              <w:rPr/>
            </w:pPr>
            <w:r>
              <w:rPr/>
              <w:t> </w:t>
            </w:r>
          </w:p>
        </w:tc>
      </w:tr>
      <w:tr>
        <w:trPr/>
        <w:tc>
          <w:tcPr>
            <w:tcW w:w="4110" w:type="dxa"/>
            <w:tcBorders/>
            <w:shd w:fill="CCEEFF" w:val="clear"/>
            <w:vAlign w:val="bottom"/>
          </w:tcPr>
          <w:p>
            <w:pPr>
              <w:pStyle w:val="TableContents"/>
              <w:spacing w:before="0" w:after="0"/>
              <w:ind w:left="324" w:right="0" w:hanging="144"/>
              <w:rPr/>
            </w:pPr>
            <w:r>
              <w:rPr/>
              <w:t>Total loans</w:t>
            </w:r>
          </w:p>
        </w:tc>
        <w:tc>
          <w:tcPr>
            <w:tcW w:w="60" w:type="dxa"/>
            <w:tcBorders/>
            <w:shd w:fill="CCEEFF" w:val="clear"/>
            <w:vAlign w:val="bottom"/>
          </w:tcPr>
          <w:p>
            <w:pPr>
              <w:pStyle w:val="TableContents"/>
              <w:spacing w:before="0" w:after="283"/>
              <w:rPr/>
            </w:pPr>
            <w:r>
              <w:rPr/>
              <w:t> </w:t>
            </w:r>
          </w:p>
        </w:tc>
        <w:tc>
          <w:tcPr>
            <w:tcW w:w="146" w:type="dxa"/>
            <w:tcBorders>
              <w:bottom w:val="double" w:sz="8" w:space="0" w:color="000000"/>
            </w:tcBorders>
            <w:shd w:fill="CCEEFF" w:val="clear"/>
            <w:tcMar>
              <w:bottom w:w="28" w:type="dxa"/>
            </w:tcMar>
            <w:vAlign w:val="bottom"/>
          </w:tcPr>
          <w:p>
            <w:pPr>
              <w:pStyle w:val="TableContents"/>
              <w:spacing w:before="0" w:after="0"/>
              <w:rPr/>
            </w:pPr>
            <w:r>
              <w:rPr/>
              <w:t>$</w:t>
            </w:r>
          </w:p>
        </w:tc>
        <w:tc>
          <w:tcPr>
            <w:tcW w:w="1029" w:type="dxa"/>
            <w:tcBorders>
              <w:bottom w:val="double" w:sz="8" w:space="0" w:color="000000"/>
            </w:tcBorders>
            <w:shd w:fill="CCEEFF" w:val="clear"/>
            <w:tcMar>
              <w:bottom w:w="28" w:type="dxa"/>
            </w:tcMar>
            <w:vAlign w:val="bottom"/>
          </w:tcPr>
          <w:p>
            <w:pPr>
              <w:pStyle w:val="TableContents"/>
              <w:spacing w:before="0" w:after="0"/>
              <w:jc w:val="right"/>
              <w:rPr/>
            </w:pPr>
            <w:r>
              <w:rPr/>
              <w:t>1,144,481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1,042,890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double" w:sz="8" w:space="0" w:color="000000"/>
            </w:tcBorders>
            <w:shd w:fill="CCEEFF" w:val="clear"/>
            <w:tcMar>
              <w:bottom w:w="28" w:type="dxa"/>
            </w:tcMar>
            <w:vAlign w:val="bottom"/>
          </w:tcPr>
          <w:p>
            <w:pPr>
              <w:pStyle w:val="TableContents"/>
              <w:spacing w:before="0" w:after="0"/>
              <w:rPr/>
            </w:pPr>
            <w:r>
              <w:rPr/>
              <w:t>$</w:t>
            </w:r>
          </w:p>
        </w:tc>
        <w:tc>
          <w:tcPr>
            <w:tcW w:w="898" w:type="dxa"/>
            <w:tcBorders>
              <w:bottom w:val="double" w:sz="8" w:space="0" w:color="000000"/>
            </w:tcBorders>
            <w:shd w:fill="CCEEFF" w:val="clear"/>
            <w:tcMar>
              <w:bottom w:w="28" w:type="dxa"/>
            </w:tcMar>
            <w:vAlign w:val="bottom"/>
          </w:tcPr>
          <w:p>
            <w:pPr>
              <w:pStyle w:val="TableContents"/>
              <w:spacing w:before="0" w:after="0"/>
              <w:jc w:val="right"/>
              <w:rPr/>
            </w:pPr>
            <w:r>
              <w:rPr/>
              <w:t>395,149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2,582,520</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9" w:name="DSPFPageBreakArea16"/>
      <w:bookmarkStart w:id="190" w:name="DSPFPageBreakArea16"/>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191" w:name="DSPFPageNumber16"/>
      <w:bookmarkStart w:id="192" w:name="DSPFPageNumberArea15"/>
      <w:bookmarkEnd w:id="191"/>
      <w:bookmarkEnd w:id="192"/>
      <w:r>
        <w:rPr>
          <w:b w:val="false"/>
          <w:i w:val="false"/>
          <w:caps w:val="false"/>
          <w:smallCaps w:val="false"/>
          <w:sz w:val="13"/>
        </w:rPr>
        <w:t>17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3" w:name="DSPFPageBreak16"/>
      <w:bookmarkStart w:id="194" w:name="DSPFPageBreak16"/>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195" w:name="DSPFPageHeader15"/>
        <w:bookmarkEnd w:id="19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                          </w:t>
      </w:r>
      <w:r>
        <w:rPr/>
        <w:t>(unaudited)</w:t>
      </w:r>
    </w:p>
    <w:p>
      <w:pPr>
        <w:pStyle w:val="TextBody"/>
        <w:spacing w:before="0" w:after="0"/>
        <w:rPr/>
      </w:pPr>
      <w:r>
        <w:rPr/>
      </w:r>
    </w:p>
    <w:p>
      <w:pPr>
        <w:pStyle w:val="TextBody"/>
        <w:spacing w:before="0" w:after="0"/>
        <w:jc w:val="both"/>
        <w:rPr/>
      </w:pPr>
      <w:r>
        <w:rPr/>
        <w:t>Loans on non-accrual status and past due more than 90 days (“Non-performing Loans”) follow:</w:t>
      </w:r>
    </w:p>
    <w:p>
      <w:pPr>
        <w:pStyle w:val="TextBody"/>
        <w:spacing w:before="0" w:after="0"/>
        <w:rPr/>
      </w:pPr>
      <w:r>
        <w:rPr/>
      </w:r>
    </w:p>
    <w:p>
      <w:pPr>
        <w:pStyle w:val="Normal"/>
        <w:spacing w:before="0" w:after="0"/>
        <w:rPr>
          <w:sz w:val="4"/>
          <w:szCs w:val="4"/>
        </w:rPr>
      </w:pPr>
      <w:r>
        <w:rPr>
          <w:sz w:val="4"/>
          <w:szCs w:val="4"/>
        </w:rPr>
      </w:r>
      <w:bookmarkStart w:id="196" w:name="z267a6da3a0d64c05840281f685714df8"/>
      <w:bookmarkStart w:id="197" w:name="z267a6da3a0d64c05840281f685714df8"/>
      <w:bookmarkEnd w:id="197"/>
    </w:p>
    <w:tbl>
      <w:tblPr>
        <w:tblW w:w="8210" w:type="dxa"/>
        <w:jc w:val="left"/>
        <w:tblInd w:w="0" w:type="dxa"/>
        <w:tblCellMar>
          <w:top w:w="0" w:type="dxa"/>
          <w:left w:w="0" w:type="dxa"/>
          <w:bottom w:w="0" w:type="dxa"/>
          <w:right w:w="0" w:type="dxa"/>
        </w:tblCellMar>
      </w:tblPr>
      <w:tblGrid>
        <w:gridCol w:w="5075"/>
        <w:gridCol w:w="60"/>
        <w:gridCol w:w="452"/>
        <w:gridCol w:w="453"/>
        <w:gridCol w:w="60"/>
        <w:gridCol w:w="60"/>
        <w:gridCol w:w="154"/>
        <w:gridCol w:w="616"/>
        <w:gridCol w:w="60"/>
        <w:gridCol w:w="60"/>
        <w:gridCol w:w="217"/>
        <w:gridCol w:w="868"/>
        <w:gridCol w:w="75"/>
      </w:tblGrid>
      <w:tr>
        <w:trPr/>
        <w:tc>
          <w:tcPr>
            <w:tcW w:w="50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jc w:val="center"/>
              <w:rPr/>
            </w:pPr>
            <w:r>
              <w:rPr/>
              <w:t>90+ and</w:t>
            </w:r>
          </w:p>
          <w:p>
            <w:pPr>
              <w:pStyle w:val="TableContents"/>
              <w:spacing w:before="0" w:after="0"/>
              <w:jc w:val="center"/>
              <w:rPr/>
            </w:pPr>
            <w:r>
              <w:rPr/>
              <w:t>Still</w:t>
            </w:r>
          </w:p>
          <w:p>
            <w:pPr>
              <w:pStyle w:val="TableContents"/>
              <w:spacing w:before="0" w:after="0"/>
              <w:jc w:val="center"/>
              <w:rPr/>
            </w:pPr>
            <w:r>
              <w:rPr/>
              <w:t>Accruing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0"/>
              <w:jc w:val="center"/>
              <w:rPr/>
            </w:pPr>
            <w:r>
              <w:rPr/>
              <w:t>Non-</w:t>
            </w:r>
          </w:p>
          <w:p>
            <w:pPr>
              <w:pStyle w:val="TableContents"/>
              <w:spacing w:before="0" w:after="0"/>
              <w:jc w:val="center"/>
              <w:rPr/>
            </w:pPr>
            <w:r>
              <w:rPr/>
              <w:t>Accrual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 Non-</w:t>
            </w:r>
          </w:p>
          <w:p>
            <w:pPr>
              <w:pStyle w:val="TableContents"/>
              <w:spacing w:before="0" w:after="0"/>
              <w:jc w:val="center"/>
              <w:rPr/>
            </w:pPr>
            <w:r>
              <w:rPr/>
              <w:t>Performing</w:t>
            </w:r>
          </w:p>
          <w:p>
            <w:pPr>
              <w:pStyle w:val="TableContents"/>
              <w:spacing w:before="0" w:after="0"/>
              <w:jc w:val="center"/>
              <w:rPr/>
            </w:pPr>
            <w:r>
              <w:rPr/>
              <w:t>Loans</w:t>
            </w:r>
          </w:p>
        </w:tc>
        <w:tc>
          <w:tcPr>
            <w:tcW w:w="75" w:type="dxa"/>
            <w:tcBorders/>
            <w:shd w:fill="auto" w:val="clear"/>
            <w:vAlign w:val="bottom"/>
          </w:tcPr>
          <w:p>
            <w:pPr>
              <w:pStyle w:val="TableContents"/>
              <w:spacing w:before="0" w:after="283"/>
              <w:rPr/>
            </w:pPr>
            <w:r>
              <w:rPr/>
              <w:t> </w:t>
            </w:r>
          </w:p>
        </w:tc>
      </w:tr>
      <w:tr>
        <w:trPr/>
        <w:tc>
          <w:tcPr>
            <w:tcW w:w="50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00" w:type="dxa"/>
            <w:gridSpan w:val="10"/>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5075" w:type="dxa"/>
            <w:tcBorders/>
            <w:shd w:fill="auto" w:val="clear"/>
            <w:vAlign w:val="bottom"/>
          </w:tcPr>
          <w:p>
            <w:pPr>
              <w:pStyle w:val="TableContents"/>
              <w:spacing w:before="0" w:after="0"/>
              <w:ind w:left="144" w:right="0" w:hanging="144"/>
              <w:rPr/>
            </w:pPr>
            <w:r>
              <w:rPr/>
              <w:t>June 30, 2019</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5075" w:type="dxa"/>
            <w:tcBorders/>
            <w:shd w:fill="auto" w:val="clear"/>
            <w:vAlign w:val="bottom"/>
          </w:tcPr>
          <w:p>
            <w:pPr>
              <w:pStyle w:val="TableContents"/>
              <w:spacing w:before="0" w:after="0"/>
              <w:ind w:left="324" w:right="0" w:hanging="144"/>
              <w:rPr/>
            </w:pPr>
            <w:r>
              <w:rPr/>
              <w:t>Commercial</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0"/>
              <w:rPr/>
            </w:pPr>
            <w:r>
              <w:rPr/>
              <w:t>$</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rPr/>
            </w:pPr>
            <w:r>
              <w:rPr/>
              <w:t>$</w:t>
            </w:r>
          </w:p>
        </w:tc>
        <w:tc>
          <w:tcPr>
            <w:tcW w:w="61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0"/>
              <w:rPr/>
            </w:pPr>
            <w:r>
              <w:rPr/>
              <w:t>$</w:t>
            </w:r>
          </w:p>
        </w:tc>
        <w:tc>
          <w:tcPr>
            <w:tcW w:w="86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Land, land development and construction - real estate</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803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803</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4,142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4,142</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720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0"/>
              <w:jc w:val="right"/>
              <w:rPr/>
            </w:pPr>
            <w:r>
              <w:rPr/>
              <w:t>720</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196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196</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600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0"/>
              <w:jc w:val="right"/>
              <w:rPr/>
            </w:pPr>
            <w:r>
              <w:rPr/>
              <w:t>600</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168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0"/>
              <w:jc w:val="right"/>
              <w:rPr/>
            </w:pPr>
            <w:r>
              <w:rPr/>
              <w:t>168</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220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220</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278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0"/>
              <w:jc w:val="right"/>
              <w:rPr/>
            </w:pPr>
            <w:r>
              <w:rPr/>
              <w:t>278</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2</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4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453"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16" w:type="dxa"/>
            <w:tcBorders>
              <w:bottom w:val="single" w:sz="12" w:space="0" w:color="000000"/>
            </w:tcBorders>
            <w:shd w:fill="FFFFFF" w:val="clear"/>
            <w:tcMar>
              <w:bottom w:w="28" w:type="dxa"/>
            </w:tcMar>
            <w:vAlign w:val="bottom"/>
          </w:tcPr>
          <w:p>
            <w:pPr>
              <w:pStyle w:val="TableContents"/>
              <w:spacing w:before="0" w:after="0"/>
              <w:jc w:val="right"/>
              <w:rPr/>
            </w:pPr>
            <w:r>
              <w:rPr/>
              <w:t>234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68" w:type="dxa"/>
            <w:tcBorders>
              <w:bottom w:val="single" w:sz="12" w:space="0" w:color="000000"/>
            </w:tcBorders>
            <w:shd w:fill="FFFFFF" w:val="clear"/>
            <w:tcMar>
              <w:bottom w:w="28" w:type="dxa"/>
            </w:tcMar>
            <w:vAlign w:val="bottom"/>
          </w:tcPr>
          <w:p>
            <w:pPr>
              <w:pStyle w:val="TableContents"/>
              <w:spacing w:before="0" w:after="0"/>
              <w:jc w:val="right"/>
              <w:rPr/>
            </w:pPr>
            <w:r>
              <w:rPr/>
              <w:t>234</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684" w:right="0" w:hanging="144"/>
              <w:rPr/>
            </w:pPr>
            <w:r>
              <w:rPr/>
              <w:t>Total recorded investment</w:t>
            </w:r>
          </w:p>
        </w:tc>
        <w:tc>
          <w:tcPr>
            <w:tcW w:w="60" w:type="dxa"/>
            <w:tcBorders/>
            <w:shd w:fill="CCEEFF" w:val="clear"/>
            <w:vAlign w:val="bottom"/>
          </w:tcPr>
          <w:p>
            <w:pPr>
              <w:pStyle w:val="TableContents"/>
              <w:spacing w:before="0" w:after="283"/>
              <w:rPr/>
            </w:pPr>
            <w:r>
              <w:rPr/>
              <w:t> </w:t>
            </w:r>
          </w:p>
        </w:tc>
        <w:tc>
          <w:tcPr>
            <w:tcW w:w="452" w:type="dxa"/>
            <w:tcBorders>
              <w:bottom w:val="double" w:sz="8" w:space="0" w:color="000000"/>
            </w:tcBorders>
            <w:shd w:fill="CCEEFF" w:val="clear"/>
            <w:tcMar>
              <w:bottom w:w="28" w:type="dxa"/>
            </w:tcMar>
            <w:vAlign w:val="bottom"/>
          </w:tcPr>
          <w:p>
            <w:pPr>
              <w:pStyle w:val="TableContents"/>
              <w:spacing w:before="0" w:after="0"/>
              <w:rPr/>
            </w:pPr>
            <w:r>
              <w:rPr/>
              <w:t>$</w:t>
            </w:r>
          </w:p>
        </w:tc>
        <w:tc>
          <w:tcPr>
            <w:tcW w:w="453" w:type="dxa"/>
            <w:tcBorders>
              <w:bottom w:val="double" w:sz="8"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0"/>
              <w:rPr/>
            </w:pPr>
            <w:r>
              <w:rPr/>
              <w:t>$</w:t>
            </w:r>
          </w:p>
        </w:tc>
        <w:tc>
          <w:tcPr>
            <w:tcW w:w="616" w:type="dxa"/>
            <w:tcBorders>
              <w:bottom w:val="double" w:sz="8" w:space="0" w:color="000000"/>
            </w:tcBorders>
            <w:shd w:fill="CCEEFF" w:val="clear"/>
            <w:tcMar>
              <w:bottom w:w="28" w:type="dxa"/>
            </w:tcMar>
            <w:vAlign w:val="bottom"/>
          </w:tcPr>
          <w:p>
            <w:pPr>
              <w:pStyle w:val="TableContents"/>
              <w:spacing w:before="0" w:after="0"/>
              <w:jc w:val="right"/>
              <w:rPr/>
            </w:pPr>
            <w:r>
              <w:rPr/>
              <w:t>7,363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bottom w:val="double" w:sz="8" w:space="0" w:color="000000"/>
            </w:tcBorders>
            <w:shd w:fill="CCEEFF" w:val="clear"/>
            <w:tcMar>
              <w:bottom w:w="28" w:type="dxa"/>
            </w:tcMar>
            <w:vAlign w:val="bottom"/>
          </w:tcPr>
          <w:p>
            <w:pPr>
              <w:pStyle w:val="TableContents"/>
              <w:spacing w:before="0" w:after="0"/>
              <w:rPr/>
            </w:pPr>
            <w:r>
              <w:rPr/>
              <w:t>$</w:t>
            </w:r>
          </w:p>
        </w:tc>
        <w:tc>
          <w:tcPr>
            <w:tcW w:w="868" w:type="dxa"/>
            <w:tcBorders>
              <w:bottom w:val="double" w:sz="8" w:space="0" w:color="000000"/>
            </w:tcBorders>
            <w:shd w:fill="CCEEFF" w:val="clear"/>
            <w:tcMar>
              <w:bottom w:w="28" w:type="dxa"/>
            </w:tcMar>
            <w:vAlign w:val="bottom"/>
          </w:tcPr>
          <w:p>
            <w:pPr>
              <w:pStyle w:val="TableContents"/>
              <w:spacing w:before="0" w:after="0"/>
              <w:jc w:val="right"/>
              <w:rPr/>
            </w:pPr>
            <w:r>
              <w:rPr/>
              <w:t>7,363</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324" w:right="0" w:hanging="144"/>
              <w:rPr/>
            </w:pPr>
            <w:r>
              <w:rPr/>
              <w:t>Accrued interest included in recorded investment</w:t>
            </w:r>
          </w:p>
        </w:tc>
        <w:tc>
          <w:tcPr>
            <w:tcW w:w="60" w:type="dxa"/>
            <w:tcBorders/>
            <w:shd w:fill="FFFFFF" w:val="clear"/>
            <w:vAlign w:val="bottom"/>
          </w:tcPr>
          <w:p>
            <w:pPr>
              <w:pStyle w:val="TableContents"/>
              <w:spacing w:before="0" w:after="283"/>
              <w:rPr/>
            </w:pPr>
            <w:r>
              <w:rPr/>
              <w:t> </w:t>
            </w:r>
          </w:p>
        </w:tc>
        <w:tc>
          <w:tcPr>
            <w:tcW w:w="452" w:type="dxa"/>
            <w:tcBorders>
              <w:bottom w:val="double" w:sz="8" w:space="0" w:color="000000"/>
            </w:tcBorders>
            <w:shd w:fill="FFFFFF" w:val="clear"/>
            <w:tcMar>
              <w:bottom w:w="28" w:type="dxa"/>
            </w:tcMar>
            <w:vAlign w:val="bottom"/>
          </w:tcPr>
          <w:p>
            <w:pPr>
              <w:pStyle w:val="TableContents"/>
              <w:spacing w:before="0" w:after="0"/>
              <w:rPr/>
            </w:pPr>
            <w:r>
              <w:rPr/>
              <w:t>$</w:t>
            </w:r>
          </w:p>
        </w:tc>
        <w:tc>
          <w:tcPr>
            <w:tcW w:w="453" w:type="dxa"/>
            <w:tcBorders>
              <w:bottom w:val="double" w:sz="8"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bottom w:val="double" w:sz="8" w:space="0" w:color="000000"/>
            </w:tcBorders>
            <w:shd w:fill="FFFFFF" w:val="clear"/>
            <w:tcMar>
              <w:bottom w:w="28" w:type="dxa"/>
            </w:tcMar>
            <w:vAlign w:val="bottom"/>
          </w:tcPr>
          <w:p>
            <w:pPr>
              <w:pStyle w:val="TableContents"/>
              <w:spacing w:before="0" w:after="0"/>
              <w:rPr/>
            </w:pPr>
            <w:r>
              <w:rPr/>
              <w:t>$</w:t>
            </w:r>
          </w:p>
        </w:tc>
        <w:tc>
          <w:tcPr>
            <w:tcW w:w="616" w:type="dxa"/>
            <w:tcBorders>
              <w:bottom w:val="double" w:sz="8"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bottom w:val="double" w:sz="8" w:space="0" w:color="000000"/>
            </w:tcBorders>
            <w:shd w:fill="FFFFFF" w:val="clear"/>
            <w:tcMar>
              <w:bottom w:w="28" w:type="dxa"/>
            </w:tcMar>
            <w:vAlign w:val="bottom"/>
          </w:tcPr>
          <w:p>
            <w:pPr>
              <w:pStyle w:val="TableContents"/>
              <w:spacing w:before="0" w:after="0"/>
              <w:rPr/>
            </w:pPr>
            <w:r>
              <w:rPr/>
              <w:t>$</w:t>
            </w:r>
          </w:p>
        </w:tc>
        <w:tc>
          <w:tcPr>
            <w:tcW w:w="868" w:type="dxa"/>
            <w:tcBorders>
              <w:bottom w:val="double" w:sz="8" w:space="0" w:color="000000"/>
            </w:tcBorders>
            <w:shd w:fill="FFFFFF" w:val="clear"/>
            <w:tcMar>
              <w:bottom w:w="28" w:type="dxa"/>
            </w:tcM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144" w:right="0" w:hanging="144"/>
              <w:rPr/>
            </w:pPr>
            <w:r>
              <w:rPr/>
              <w:t>December 31, 2018</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324" w:right="0" w:hanging="144"/>
              <w:rPr/>
            </w:pPr>
            <w:r>
              <w:rPr/>
              <w:t>Commercial</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0"/>
              <w:rPr/>
            </w:pPr>
            <w:r>
              <w:rPr/>
              <w:t>$</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rPr/>
            </w:pPr>
            <w:r>
              <w:rPr/>
              <w:t>$</w:t>
            </w:r>
          </w:p>
        </w:tc>
        <w:tc>
          <w:tcPr>
            <w:tcW w:w="61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0"/>
              <w:rPr/>
            </w:pPr>
            <w:r>
              <w:rPr/>
              <w:t>$</w:t>
            </w:r>
          </w:p>
        </w:tc>
        <w:tc>
          <w:tcPr>
            <w:tcW w:w="86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Land, land development and construction - real estate</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2,220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2,220</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0"/>
              <w:jc w:val="right"/>
              <w:rPr/>
            </w:pPr>
            <w:r>
              <w:rPr/>
              <w:t>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4,695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4,700</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40" w:right="0" w:hanging="180"/>
              <w:rPr/>
            </w:pPr>
            <w:r>
              <w:rPr/>
              <w:t>Resort lending</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755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0"/>
              <w:jc w:val="right"/>
              <w:rPr/>
            </w:pPr>
            <w:r>
              <w:rPr/>
              <w:t>755</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159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159</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419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0"/>
              <w:jc w:val="right"/>
              <w:rPr/>
            </w:pPr>
            <w:r>
              <w:rPr/>
              <w:t>419</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178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0"/>
              <w:jc w:val="right"/>
              <w:rPr/>
            </w:pPr>
            <w:r>
              <w:rPr/>
              <w:t>178</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226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226</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452" w:type="dxa"/>
            <w:tcBorders/>
            <w:shd w:fill="FFFFFF" w:val="clear"/>
            <w:vAlign w:val="bottom"/>
          </w:tcPr>
          <w:p>
            <w:pPr>
              <w:pStyle w:val="TableContents"/>
              <w:spacing w:before="0" w:after="283"/>
              <w:rPr/>
            </w:pPr>
            <w:r>
              <w:rPr/>
              <w:t> </w:t>
            </w:r>
          </w:p>
        </w:tc>
        <w:tc>
          <w:tcPr>
            <w:tcW w:w="453"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166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868" w:type="dxa"/>
            <w:tcBorders/>
            <w:shd w:fill="FFFFFF" w:val="clear"/>
            <w:vAlign w:val="bottom"/>
          </w:tcPr>
          <w:p>
            <w:pPr>
              <w:pStyle w:val="TableContents"/>
              <w:spacing w:before="0" w:after="0"/>
              <w:jc w:val="right"/>
              <w:rPr/>
            </w:pPr>
            <w:r>
              <w:rPr/>
              <w:t>166</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45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0"/>
              <w:jc w:val="right"/>
              <w:rPr/>
            </w:pPr>
            <w:r>
              <w:rPr/>
              <w:t>7</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4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453"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16" w:type="dxa"/>
            <w:tcBorders>
              <w:bottom w:val="single" w:sz="12" w:space="0" w:color="000000"/>
            </w:tcBorders>
            <w:shd w:fill="FFFFFF" w:val="clear"/>
            <w:tcMar>
              <w:bottom w:w="28" w:type="dxa"/>
            </w:tcMar>
            <w:vAlign w:val="bottom"/>
          </w:tcPr>
          <w:p>
            <w:pPr>
              <w:pStyle w:val="TableContents"/>
              <w:spacing w:before="0" w:after="0"/>
              <w:jc w:val="right"/>
              <w:rPr/>
            </w:pPr>
            <w:r>
              <w:rPr/>
              <w:t>204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68" w:type="dxa"/>
            <w:tcBorders>
              <w:bottom w:val="single" w:sz="12" w:space="0" w:color="000000"/>
            </w:tcBorders>
            <w:shd w:fill="FFFFFF" w:val="clear"/>
            <w:tcMar>
              <w:bottom w:w="28" w:type="dxa"/>
            </w:tcMar>
            <w:vAlign w:val="bottom"/>
          </w:tcPr>
          <w:p>
            <w:pPr>
              <w:pStyle w:val="TableContents"/>
              <w:spacing w:before="0" w:after="0"/>
              <w:jc w:val="right"/>
              <w:rPr/>
            </w:pPr>
            <w:r>
              <w:rPr/>
              <w:t>204</w:t>
            </w:r>
          </w:p>
        </w:tc>
        <w:tc>
          <w:tcPr>
            <w:tcW w:w="75" w:type="dxa"/>
            <w:tcBorders/>
            <w:shd w:fill="FFFFFF" w:val="clear"/>
            <w:vAlign w:val="bottom"/>
          </w:tcPr>
          <w:p>
            <w:pPr>
              <w:pStyle w:val="TableContents"/>
              <w:spacing w:before="0" w:after="283"/>
              <w:rPr/>
            </w:pPr>
            <w:r>
              <w:rPr/>
              <w:t> </w:t>
            </w:r>
          </w:p>
        </w:tc>
      </w:tr>
      <w:tr>
        <w:trPr/>
        <w:tc>
          <w:tcPr>
            <w:tcW w:w="5075" w:type="dxa"/>
            <w:tcBorders/>
            <w:shd w:fill="CCEEFF" w:val="clear"/>
            <w:vAlign w:val="bottom"/>
          </w:tcPr>
          <w:p>
            <w:pPr>
              <w:pStyle w:val="TableContents"/>
              <w:spacing w:before="0" w:after="0"/>
              <w:ind w:left="684" w:right="0" w:hanging="144"/>
              <w:rPr/>
            </w:pPr>
            <w:r>
              <w:rPr/>
              <w:t>Total recorded investment</w:t>
            </w:r>
          </w:p>
        </w:tc>
        <w:tc>
          <w:tcPr>
            <w:tcW w:w="60" w:type="dxa"/>
            <w:tcBorders/>
            <w:shd w:fill="CCEEFF" w:val="clear"/>
            <w:vAlign w:val="bottom"/>
          </w:tcPr>
          <w:p>
            <w:pPr>
              <w:pStyle w:val="TableContents"/>
              <w:spacing w:before="0" w:after="283"/>
              <w:rPr/>
            </w:pPr>
            <w:r>
              <w:rPr/>
              <w:t> </w:t>
            </w:r>
          </w:p>
        </w:tc>
        <w:tc>
          <w:tcPr>
            <w:tcW w:w="452" w:type="dxa"/>
            <w:tcBorders>
              <w:bottom w:val="double" w:sz="8" w:space="0" w:color="000000"/>
            </w:tcBorders>
            <w:shd w:fill="CCEEFF" w:val="clear"/>
            <w:tcMar>
              <w:bottom w:w="28" w:type="dxa"/>
            </w:tcMar>
            <w:vAlign w:val="bottom"/>
          </w:tcPr>
          <w:p>
            <w:pPr>
              <w:pStyle w:val="TableContents"/>
              <w:spacing w:before="0" w:after="0"/>
              <w:rPr/>
            </w:pPr>
            <w:r>
              <w:rPr/>
              <w:t>$</w:t>
            </w:r>
          </w:p>
        </w:tc>
        <w:tc>
          <w:tcPr>
            <w:tcW w:w="453" w:type="dxa"/>
            <w:tcBorders>
              <w:bottom w:val="double" w:sz="8" w:space="0" w:color="000000"/>
            </w:tcBorders>
            <w:shd w:fill="CCEEFF" w:val="clear"/>
            <w:tcMar>
              <w:bottom w:w="28" w:type="dxa"/>
            </w:tcMar>
            <w:vAlign w:val="bottom"/>
          </w:tcPr>
          <w:p>
            <w:pPr>
              <w:pStyle w:val="TableContents"/>
              <w:spacing w:before="0" w:after="0"/>
              <w:jc w:val="right"/>
              <w:rPr/>
            </w:pPr>
            <w:r>
              <w:rPr/>
              <w:t>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0"/>
              <w:rPr/>
            </w:pPr>
            <w:r>
              <w:rPr/>
              <w:t>$</w:t>
            </w:r>
          </w:p>
        </w:tc>
        <w:tc>
          <w:tcPr>
            <w:tcW w:w="616" w:type="dxa"/>
            <w:tcBorders>
              <w:bottom w:val="double" w:sz="8" w:space="0" w:color="000000"/>
            </w:tcBorders>
            <w:shd w:fill="CCEEFF" w:val="clear"/>
            <w:tcMar>
              <w:bottom w:w="28" w:type="dxa"/>
            </w:tcMar>
            <w:vAlign w:val="bottom"/>
          </w:tcPr>
          <w:p>
            <w:pPr>
              <w:pStyle w:val="TableContents"/>
              <w:spacing w:before="0" w:after="0"/>
              <w:jc w:val="right"/>
              <w:rPr/>
            </w:pPr>
            <w:r>
              <w:rPr/>
              <w:t>9,029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bottom w:val="double" w:sz="8" w:space="0" w:color="000000"/>
            </w:tcBorders>
            <w:shd w:fill="CCEEFF" w:val="clear"/>
            <w:tcMar>
              <w:bottom w:w="28" w:type="dxa"/>
            </w:tcMar>
            <w:vAlign w:val="bottom"/>
          </w:tcPr>
          <w:p>
            <w:pPr>
              <w:pStyle w:val="TableContents"/>
              <w:spacing w:before="0" w:after="0"/>
              <w:rPr/>
            </w:pPr>
            <w:r>
              <w:rPr/>
              <w:t>$</w:t>
            </w:r>
          </w:p>
        </w:tc>
        <w:tc>
          <w:tcPr>
            <w:tcW w:w="868" w:type="dxa"/>
            <w:tcBorders>
              <w:bottom w:val="double" w:sz="8" w:space="0" w:color="000000"/>
            </w:tcBorders>
            <w:shd w:fill="CCEEFF" w:val="clear"/>
            <w:tcMar>
              <w:bottom w:w="28" w:type="dxa"/>
            </w:tcMar>
            <w:vAlign w:val="bottom"/>
          </w:tcPr>
          <w:p>
            <w:pPr>
              <w:pStyle w:val="TableContents"/>
              <w:spacing w:before="0" w:after="0"/>
              <w:jc w:val="right"/>
              <w:rPr/>
            </w:pPr>
            <w:r>
              <w:rPr/>
              <w:t>9,034</w:t>
            </w:r>
          </w:p>
        </w:tc>
        <w:tc>
          <w:tcPr>
            <w:tcW w:w="75" w:type="dxa"/>
            <w:tcBorders/>
            <w:shd w:fill="CCEEFF" w:val="clear"/>
            <w:vAlign w:val="bottom"/>
          </w:tcPr>
          <w:p>
            <w:pPr>
              <w:pStyle w:val="TableContents"/>
              <w:spacing w:before="0" w:after="283"/>
              <w:rPr/>
            </w:pPr>
            <w:r>
              <w:rPr/>
              <w:t> </w:t>
            </w:r>
          </w:p>
        </w:tc>
      </w:tr>
      <w:tr>
        <w:trPr/>
        <w:tc>
          <w:tcPr>
            <w:tcW w:w="5075" w:type="dxa"/>
            <w:tcBorders/>
            <w:shd w:fill="FFFFFF" w:val="clear"/>
            <w:vAlign w:val="bottom"/>
          </w:tcPr>
          <w:p>
            <w:pPr>
              <w:pStyle w:val="TableContents"/>
              <w:spacing w:before="0" w:after="0"/>
              <w:ind w:left="324" w:right="0" w:hanging="144"/>
              <w:rPr/>
            </w:pPr>
            <w:r>
              <w:rPr/>
              <w:t>Accrued interest included in recorded investment</w:t>
            </w:r>
          </w:p>
        </w:tc>
        <w:tc>
          <w:tcPr>
            <w:tcW w:w="60" w:type="dxa"/>
            <w:tcBorders/>
            <w:shd w:fill="FFFFFF" w:val="clear"/>
            <w:vAlign w:val="bottom"/>
          </w:tcPr>
          <w:p>
            <w:pPr>
              <w:pStyle w:val="TableContents"/>
              <w:spacing w:before="0" w:after="283"/>
              <w:rPr/>
            </w:pPr>
            <w:r>
              <w:rPr/>
              <w:t> </w:t>
            </w:r>
          </w:p>
        </w:tc>
        <w:tc>
          <w:tcPr>
            <w:tcW w:w="452" w:type="dxa"/>
            <w:tcBorders>
              <w:bottom w:val="double" w:sz="8" w:space="0" w:color="000000"/>
            </w:tcBorders>
            <w:shd w:fill="FFFFFF" w:val="clear"/>
            <w:tcMar>
              <w:bottom w:w="28" w:type="dxa"/>
            </w:tcMar>
            <w:vAlign w:val="bottom"/>
          </w:tcPr>
          <w:p>
            <w:pPr>
              <w:pStyle w:val="TableContents"/>
              <w:spacing w:before="0" w:after="0"/>
              <w:rPr/>
            </w:pPr>
            <w:r>
              <w:rPr/>
              <w:t>$</w:t>
            </w:r>
          </w:p>
        </w:tc>
        <w:tc>
          <w:tcPr>
            <w:tcW w:w="453" w:type="dxa"/>
            <w:tcBorders>
              <w:bottom w:val="double" w:sz="8"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bottom w:val="double" w:sz="8" w:space="0" w:color="000000"/>
            </w:tcBorders>
            <w:shd w:fill="FFFFFF" w:val="clear"/>
            <w:tcMar>
              <w:bottom w:w="28" w:type="dxa"/>
            </w:tcMar>
            <w:vAlign w:val="bottom"/>
          </w:tcPr>
          <w:p>
            <w:pPr>
              <w:pStyle w:val="TableContents"/>
              <w:spacing w:before="0" w:after="0"/>
              <w:rPr/>
            </w:pPr>
            <w:r>
              <w:rPr/>
              <w:t>$</w:t>
            </w:r>
          </w:p>
        </w:tc>
        <w:tc>
          <w:tcPr>
            <w:tcW w:w="616" w:type="dxa"/>
            <w:tcBorders>
              <w:bottom w:val="double" w:sz="8"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7" w:type="dxa"/>
            <w:tcBorders>
              <w:bottom w:val="double" w:sz="8" w:space="0" w:color="000000"/>
            </w:tcBorders>
            <w:shd w:fill="FFFFFF" w:val="clear"/>
            <w:tcMar>
              <w:bottom w:w="28" w:type="dxa"/>
            </w:tcMar>
            <w:vAlign w:val="bottom"/>
          </w:tcPr>
          <w:p>
            <w:pPr>
              <w:pStyle w:val="TableContents"/>
              <w:spacing w:before="0" w:after="0"/>
              <w:rPr/>
            </w:pPr>
            <w:r>
              <w:rPr/>
              <w:t>$</w:t>
            </w:r>
          </w:p>
        </w:tc>
        <w:tc>
          <w:tcPr>
            <w:tcW w:w="868" w:type="dxa"/>
            <w:tcBorders>
              <w:bottom w:val="double" w:sz="8" w:space="0" w:color="000000"/>
            </w:tcBorders>
            <w:shd w:fill="FFFFFF" w:val="clear"/>
            <w:tcMar>
              <w:bottom w:w="28" w:type="dxa"/>
            </w:tcM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8" w:name="DSPFPageBreakArea17"/>
      <w:bookmarkStart w:id="199" w:name="DSPFPageBreakArea17"/>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00" w:name="DSPFPageNumber17"/>
      <w:bookmarkStart w:id="201" w:name="DSPFPageNumberArea16"/>
      <w:bookmarkEnd w:id="200"/>
      <w:bookmarkEnd w:id="201"/>
      <w:r>
        <w:rPr>
          <w:b w:val="false"/>
          <w:i w:val="false"/>
          <w:caps w:val="false"/>
          <w:smallCaps w:val="false"/>
          <w:sz w:val="13"/>
        </w:rPr>
        <w:t>18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2" w:name="DSPFPageBreak17"/>
      <w:bookmarkStart w:id="203" w:name="DSPFPageBreak17"/>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04" w:name="DSPFPageHeader16"/>
        <w:bookmarkEnd w:id="20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pPr>
      <w:r>
        <w:rPr/>
        <w:t>An aging analysis of loans by class follows:</w:t>
      </w:r>
    </w:p>
    <w:p>
      <w:pPr>
        <w:pStyle w:val="TextBody"/>
        <w:spacing w:before="0" w:after="0"/>
        <w:rPr/>
      </w:pPr>
      <w:r>
        <w:rPr/>
      </w:r>
    </w:p>
    <w:p>
      <w:pPr>
        <w:pStyle w:val="Normal"/>
        <w:spacing w:before="0" w:after="0"/>
        <w:rPr>
          <w:sz w:val="4"/>
          <w:szCs w:val="4"/>
        </w:rPr>
      </w:pPr>
      <w:r>
        <w:rPr>
          <w:sz w:val="4"/>
          <w:szCs w:val="4"/>
        </w:rPr>
      </w:r>
      <w:bookmarkStart w:id="205" w:name="z2d07ac3fc2514cb9ab7704184f426c80"/>
      <w:bookmarkStart w:id="206" w:name="z2d07ac3fc2514cb9ab7704184f426c80"/>
      <w:bookmarkEnd w:id="206"/>
    </w:p>
    <w:tbl>
      <w:tblPr>
        <w:tblW w:w="10205" w:type="dxa"/>
        <w:jc w:val="left"/>
        <w:tblInd w:w="0" w:type="dxa"/>
        <w:tblCellMar>
          <w:top w:w="0" w:type="dxa"/>
          <w:left w:w="0" w:type="dxa"/>
          <w:bottom w:w="0" w:type="dxa"/>
          <w:right w:w="0" w:type="dxa"/>
        </w:tblCellMar>
      </w:tblPr>
      <w:tblGrid>
        <w:gridCol w:w="3020"/>
        <w:gridCol w:w="120"/>
        <w:gridCol w:w="214"/>
        <w:gridCol w:w="856"/>
        <w:gridCol w:w="60"/>
        <w:gridCol w:w="60"/>
        <w:gridCol w:w="214"/>
        <w:gridCol w:w="856"/>
        <w:gridCol w:w="60"/>
        <w:gridCol w:w="60"/>
        <w:gridCol w:w="178"/>
        <w:gridCol w:w="712"/>
        <w:gridCol w:w="60"/>
        <w:gridCol w:w="60"/>
        <w:gridCol w:w="140"/>
        <w:gridCol w:w="680"/>
        <w:gridCol w:w="120"/>
        <w:gridCol w:w="120"/>
        <w:gridCol w:w="140"/>
        <w:gridCol w:w="980"/>
        <w:gridCol w:w="120"/>
        <w:gridCol w:w="120"/>
        <w:gridCol w:w="140"/>
        <w:gridCol w:w="980"/>
        <w:gridCol w:w="135"/>
      </w:tblGrid>
      <w:tr>
        <w:trPr/>
        <w:tc>
          <w:tcPr>
            <w:tcW w:w="3020" w:type="dxa"/>
            <w:vMerge w:val="restart"/>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4210" w:type="dxa"/>
            <w:gridSpan w:val="14"/>
            <w:tcBorders>
              <w:bottom w:val="single" w:sz="12" w:space="0" w:color="000000"/>
            </w:tcBorders>
            <w:shd w:fill="auto" w:val="clear"/>
            <w:tcMar>
              <w:bottom w:w="28" w:type="dxa"/>
            </w:tcMar>
            <w:vAlign w:val="bottom"/>
          </w:tcPr>
          <w:p>
            <w:pPr>
              <w:pStyle w:val="TableContents"/>
              <w:spacing w:before="0" w:after="0"/>
              <w:jc w:val="center"/>
              <w:rPr/>
            </w:pPr>
            <w:r>
              <w:rPr/>
              <w:t>Loans Past Due</w:t>
            </w:r>
          </w:p>
        </w:tc>
        <w:tc>
          <w:tcPr>
            <w:tcW w:w="120" w:type="dxa"/>
            <w:vMerge w:val="restart"/>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1120"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pPr>
            <w:r>
              <w:rPr/>
              <w:t>Loans not</w:t>
            </w:r>
          </w:p>
          <w:p>
            <w:pPr>
              <w:pStyle w:val="TableContents"/>
              <w:spacing w:before="0" w:after="0"/>
              <w:jc w:val="center"/>
              <w:rPr/>
            </w:pPr>
            <w:r>
              <w:rPr/>
              <w:t>Past Due</w:t>
            </w:r>
          </w:p>
        </w:tc>
        <w:tc>
          <w:tcPr>
            <w:tcW w:w="120" w:type="dxa"/>
            <w:vMerge w:val="restart"/>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1120" w:type="dxa"/>
            <w:gridSpan w:val="2"/>
            <w:vMerge w:val="restart"/>
            <w:tcBorders>
              <w:bottom w:val="single" w:sz="12" w:space="0" w:color="000000"/>
            </w:tcBorders>
            <w:shd w:fill="auto" w:val="clear"/>
            <w:tcMar>
              <w:bottom w:w="28" w:type="dxa"/>
            </w:tcMar>
            <w:vAlign w:val="bottom"/>
          </w:tcPr>
          <w:p>
            <w:pPr>
              <w:pStyle w:val="TableContents"/>
              <w:spacing w:before="0" w:after="0"/>
              <w:jc w:val="center"/>
              <w:rPr/>
            </w:pPr>
            <w:r>
              <w:rPr/>
              <w:t>Total</w:t>
            </w:r>
          </w:p>
          <w:p>
            <w:pPr>
              <w:pStyle w:val="TableContents"/>
              <w:spacing w:before="0" w:after="0"/>
              <w:jc w:val="center"/>
              <w:rPr/>
            </w:pPr>
            <w:r>
              <w:rPr/>
              <w:t>Loans</w:t>
            </w:r>
          </w:p>
        </w:tc>
        <w:tc>
          <w:tcPr>
            <w:tcW w:w="135" w:type="dxa"/>
            <w:vMerge w:val="restart"/>
            <w:tcBorders/>
            <w:shd w:fill="auto" w:val="clear"/>
            <w:vAlign w:val="bottom"/>
          </w:tcPr>
          <w:p>
            <w:pPr>
              <w:pStyle w:val="TableContents"/>
              <w:spacing w:before="0" w:after="283"/>
              <w:rPr/>
            </w:pPr>
            <w:r>
              <w:rPr/>
              <w:t>  </w:t>
            </w:r>
          </w:p>
        </w:tc>
      </w:tr>
      <w:tr>
        <w:trPr/>
        <w:tc>
          <w:tcPr>
            <w:tcW w:w="302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1070" w:type="dxa"/>
            <w:gridSpan w:val="2"/>
            <w:tcBorders>
              <w:bottom w:val="single" w:sz="12" w:space="0" w:color="000000"/>
            </w:tcBorders>
            <w:shd w:fill="auto" w:val="clear"/>
            <w:tcMar>
              <w:bottom w:w="28" w:type="dxa"/>
            </w:tcMar>
            <w:vAlign w:val="bottom"/>
          </w:tcPr>
          <w:p>
            <w:pPr>
              <w:pStyle w:val="TableContents"/>
              <w:spacing w:before="0" w:after="0"/>
              <w:jc w:val="center"/>
              <w:rPr/>
            </w:pPr>
            <w:r>
              <w:rPr/>
              <w:t>30-59 days</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070" w:type="dxa"/>
            <w:gridSpan w:val="2"/>
            <w:tcBorders>
              <w:bottom w:val="single" w:sz="12" w:space="0" w:color="000000"/>
            </w:tcBorders>
            <w:shd w:fill="auto" w:val="clear"/>
            <w:tcMar>
              <w:bottom w:w="28" w:type="dxa"/>
            </w:tcMar>
            <w:vAlign w:val="bottom"/>
          </w:tcPr>
          <w:p>
            <w:pPr>
              <w:pStyle w:val="TableContents"/>
              <w:spacing w:before="0" w:after="0"/>
              <w:jc w:val="center"/>
              <w:rPr/>
            </w:pPr>
            <w:r>
              <w:rPr/>
              <w:t>60-89 days</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bottom"/>
          </w:tcPr>
          <w:p>
            <w:pPr>
              <w:pStyle w:val="TableContents"/>
              <w:spacing w:before="0" w:after="0"/>
              <w:jc w:val="center"/>
              <w:rPr/>
            </w:pPr>
            <w:r>
              <w:rPr/>
              <w:t>90+ days</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12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1120" w:type="dxa"/>
            <w:gridSpan w:val="2"/>
            <w:vMerge w:val="continue"/>
            <w:tcBorders>
              <w:bottom w:val="single" w:sz="1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1120" w:type="dxa"/>
            <w:gridSpan w:val="2"/>
            <w:vMerge w:val="continue"/>
            <w:tcBorders>
              <w:bottom w:val="single" w:sz="12" w:space="0" w:color="000000"/>
            </w:tcBorders>
            <w:shd w:fill="auto" w:val="clear"/>
            <w:tcMar>
              <w:bottom w:w="28" w:type="dxa"/>
            </w:tcMar>
            <w:vAlign w:val="bottom"/>
          </w:tcPr>
          <w:p>
            <w:pPr>
              <w:pStyle w:val="Normal"/>
              <w:rPr/>
            </w:pPr>
            <w:r>
              <w:rPr/>
            </w:r>
          </w:p>
        </w:tc>
        <w:tc>
          <w:tcPr>
            <w:tcW w:w="135" w:type="dxa"/>
            <w:vMerge w:val="continue"/>
            <w:tcBorders/>
            <w:shd w:fill="auto" w:val="clear"/>
            <w:vAlign w:val="bottom"/>
          </w:tcPr>
          <w:p>
            <w:pPr>
              <w:pStyle w:val="Normal"/>
              <w:rPr/>
            </w:pPr>
            <w:r>
              <w:rPr/>
            </w:r>
          </w:p>
        </w:tc>
      </w:tr>
      <w:tr>
        <w:trPr/>
        <w:tc>
          <w:tcPr>
            <w:tcW w:w="30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930" w:type="dxa"/>
            <w:gridSpan w:val="22"/>
            <w:tcBorders/>
            <w:shd w:fill="auto" w:val="clear"/>
            <w:vAlign w:val="bottom"/>
          </w:tcPr>
          <w:p>
            <w:pPr>
              <w:pStyle w:val="TableContents"/>
              <w:spacing w:before="0" w:after="0"/>
              <w:jc w:val="center"/>
              <w:rPr/>
            </w:pPr>
            <w:r>
              <w:rPr/>
              <w:t>(In thousands)</w:t>
            </w:r>
          </w:p>
        </w:tc>
        <w:tc>
          <w:tcPr>
            <w:tcW w:w="135" w:type="dxa"/>
            <w:tcBorders/>
            <w:shd w:fill="auto" w:val="clear"/>
            <w:vAlign w:val="bottom"/>
          </w:tcPr>
          <w:p>
            <w:pPr>
              <w:pStyle w:val="TableContents"/>
              <w:spacing w:before="0" w:after="283"/>
              <w:rPr/>
            </w:pPr>
            <w:r>
              <w:rPr/>
              <w:t> </w:t>
            </w:r>
          </w:p>
        </w:tc>
      </w:tr>
      <w:tr>
        <w:trPr/>
        <w:tc>
          <w:tcPr>
            <w:tcW w:w="3020" w:type="dxa"/>
            <w:tcBorders/>
            <w:shd w:fill="auto" w:val="clear"/>
            <w:vAlign w:val="bottom"/>
          </w:tcPr>
          <w:p>
            <w:pPr>
              <w:pStyle w:val="TableContents"/>
              <w:spacing w:before="0" w:after="0"/>
              <w:ind w:left="144" w:right="0" w:hanging="144"/>
              <w:rPr/>
            </w:pPr>
            <w:r>
              <w:rPr/>
              <w:t>June 30, 2019</w:t>
            </w:r>
          </w:p>
        </w:tc>
        <w:tc>
          <w:tcPr>
            <w:tcW w:w="12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3020" w:type="dxa"/>
            <w:tcBorders/>
            <w:shd w:fill="auto" w:val="clear"/>
            <w:vAlign w:val="bottom"/>
          </w:tcPr>
          <w:p>
            <w:pPr>
              <w:pStyle w:val="TableContents"/>
              <w:spacing w:before="0" w:after="0"/>
              <w:ind w:left="324" w:right="0" w:hanging="144"/>
              <w:rPr/>
            </w:pPr>
            <w:r>
              <w:rPr/>
              <w:t>Commercial</w:t>
            </w:r>
          </w:p>
        </w:tc>
        <w:tc>
          <w:tcPr>
            <w:tcW w:w="12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Income producing - real estate</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0"/>
              <w:rPr/>
            </w:pPr>
            <w:r>
              <w:rPr/>
              <w:t>$</w:t>
            </w:r>
          </w:p>
        </w:tc>
        <w:tc>
          <w:tcPr>
            <w:tcW w:w="856" w:type="dxa"/>
            <w:tcBorders/>
            <w:shd w:fill="CCEEFF" w:val="clear"/>
            <w:vAlign w:val="bottom"/>
          </w:tcPr>
          <w:p>
            <w:pPr>
              <w:pStyle w:val="TableContents"/>
              <w:spacing w:before="0" w:after="0"/>
              <w:jc w:val="right"/>
              <w:rPr/>
            </w:pPr>
            <w:r>
              <w:rPr/>
              <w:t>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0"/>
              <w:rPr/>
            </w:pPr>
            <w:r>
              <w:rPr/>
              <w:t>$</w:t>
            </w:r>
          </w:p>
        </w:tc>
        <w:tc>
          <w:tcPr>
            <w:tcW w:w="85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0"/>
              <w:rPr/>
            </w:pPr>
            <w:r>
              <w:rPr/>
              <w:t>$</w:t>
            </w:r>
          </w:p>
        </w:tc>
        <w:tc>
          <w:tcPr>
            <w:tcW w:w="712"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50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398,697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398,747</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Land, land development and construction - real estate</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93,213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93,213</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Commercial and industrial</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132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705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874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686,530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687,404</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324" w:right="0" w:hanging="144"/>
              <w:rPr/>
            </w:pPr>
            <w:r>
              <w:rPr/>
              <w:t>Mortgage</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1-4 family</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4,488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1,663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1,734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7,885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851,775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859,660</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Resort lending</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484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238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0"/>
              <w:jc w:val="right"/>
              <w:rPr/>
            </w:pPr>
            <w:r>
              <w:rPr/>
              <w:t>433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1,155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73,578</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74,733</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Home equity - 1st lien</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178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325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36,201</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36,526</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Home equity - 2nd lien</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458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234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0"/>
              <w:jc w:val="right"/>
              <w:rPr/>
            </w:pPr>
            <w:r>
              <w:rPr/>
              <w:t>195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887</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119,053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119,940</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324" w:right="0" w:hanging="144"/>
              <w:rPr/>
            </w:pPr>
            <w:r>
              <w:rPr/>
              <w:t>Installment</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Home equity - 1st lien</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97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0"/>
              <w:jc w:val="right"/>
              <w:rPr/>
            </w:pPr>
            <w:r>
              <w:rPr/>
              <w:t>11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109</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6,320</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6,429</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Home equity - 2nd lien</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188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113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320</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5,431</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5,751</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Boat lending</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287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24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0"/>
              <w:jc w:val="right"/>
              <w:rPr/>
            </w:pPr>
            <w:r>
              <w:rPr/>
              <w:t>32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343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197,315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197,658</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Recreational vehicle lending</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77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144,403</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144,480</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Other</w:t>
            </w:r>
          </w:p>
        </w:tc>
        <w:tc>
          <w:tcPr>
            <w:tcW w:w="120" w:type="dxa"/>
            <w:tcBorders/>
            <w:shd w:fill="FFFFFF" w:val="clear"/>
            <w:vAlign w:val="bottom"/>
          </w:tcPr>
          <w:p>
            <w:pPr>
              <w:pStyle w:val="TableContents"/>
              <w:spacing w:before="0" w:after="283"/>
              <w:rPr/>
            </w:pPr>
            <w:r>
              <w:rPr/>
              <w:t> </w:t>
            </w:r>
          </w:p>
        </w:tc>
        <w:tc>
          <w:tcPr>
            <w:tcW w:w="21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56" w:type="dxa"/>
            <w:tcBorders>
              <w:bottom w:val="single" w:sz="12" w:space="0" w:color="000000"/>
            </w:tcBorders>
            <w:shd w:fill="FFFFFF" w:val="clear"/>
            <w:tcMar>
              <w:bottom w:w="28" w:type="dxa"/>
            </w:tcMar>
            <w:vAlign w:val="bottom"/>
          </w:tcPr>
          <w:p>
            <w:pPr>
              <w:pStyle w:val="TableContents"/>
              <w:spacing w:before="0" w:after="0"/>
              <w:jc w:val="right"/>
              <w:rPr/>
            </w:pPr>
            <w:r>
              <w:rPr/>
              <w:t>200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56" w:type="dxa"/>
            <w:tcBorders>
              <w:bottom w:val="single" w:sz="12" w:space="0" w:color="000000"/>
            </w:tcBorders>
            <w:shd w:fill="FFFFFF" w:val="clear"/>
            <w:tcMar>
              <w:bottom w:w="28" w:type="dxa"/>
            </w:tcMar>
            <w:vAlign w:val="bottom"/>
          </w:tcPr>
          <w:p>
            <w:pPr>
              <w:pStyle w:val="TableContents"/>
              <w:spacing w:before="0" w:after="0"/>
              <w:jc w:val="right"/>
              <w:rPr/>
            </w:pPr>
            <w:r>
              <w:rPr/>
              <w:t>46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2" w:type="dxa"/>
            <w:tcBorders>
              <w:bottom w:val="single" w:sz="12" w:space="0" w:color="000000"/>
            </w:tcBorders>
            <w:shd w:fill="FFFFFF" w:val="clear"/>
            <w:tcMar>
              <w:bottom w:w="28" w:type="dxa"/>
            </w:tcMar>
            <w:vAlign w:val="bottom"/>
          </w:tcPr>
          <w:p>
            <w:pPr>
              <w:pStyle w:val="TableContents"/>
              <w:spacing w:before="0" w:after="0"/>
              <w:jc w:val="right"/>
              <w:rPr/>
            </w:pPr>
            <w:r>
              <w:rPr/>
              <w:t>172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418</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90,705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91,123</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684" w:right="0" w:hanging="144"/>
              <w:rPr/>
            </w:pPr>
            <w:r>
              <w:rPr/>
              <w:t>Total recorded investment</w:t>
            </w:r>
          </w:p>
        </w:tc>
        <w:tc>
          <w:tcPr>
            <w:tcW w:w="120" w:type="dxa"/>
            <w:tcBorders/>
            <w:shd w:fill="CCEEFF" w:val="clear"/>
            <w:vAlign w:val="bottom"/>
          </w:tcPr>
          <w:p>
            <w:pPr>
              <w:pStyle w:val="TableContents"/>
              <w:spacing w:before="0" w:after="283"/>
              <w:rPr/>
            </w:pPr>
            <w:r>
              <w:rPr/>
              <w:t> </w:t>
            </w:r>
          </w:p>
        </w:tc>
        <w:tc>
          <w:tcPr>
            <w:tcW w:w="214" w:type="dxa"/>
            <w:tcBorders>
              <w:bottom w:val="double" w:sz="8" w:space="0" w:color="000000"/>
            </w:tcBorders>
            <w:shd w:fill="CCEEFF" w:val="clear"/>
            <w:tcMar>
              <w:bottom w:w="28" w:type="dxa"/>
            </w:tcMar>
            <w:vAlign w:val="bottom"/>
          </w:tcPr>
          <w:p>
            <w:pPr>
              <w:pStyle w:val="TableContents"/>
              <w:spacing w:before="0" w:after="0"/>
              <w:rPr/>
            </w:pPr>
            <w:r>
              <w:rPr/>
              <w:t>$</w:t>
            </w:r>
          </w:p>
        </w:tc>
        <w:tc>
          <w:tcPr>
            <w:tcW w:w="856" w:type="dxa"/>
            <w:tcBorders>
              <w:bottom w:val="double" w:sz="8" w:space="0" w:color="000000"/>
            </w:tcBorders>
            <w:shd w:fill="CCEEFF" w:val="clear"/>
            <w:tcMar>
              <w:bottom w:w="28" w:type="dxa"/>
            </w:tcMar>
            <w:vAlign w:val="bottom"/>
          </w:tcPr>
          <w:p>
            <w:pPr>
              <w:pStyle w:val="TableContents"/>
              <w:spacing w:before="0" w:after="0"/>
              <w:jc w:val="right"/>
              <w:rPr/>
            </w:pPr>
            <w:r>
              <w:rPr/>
              <w:t>6,634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bottom w:val="double" w:sz="8" w:space="0" w:color="000000"/>
            </w:tcBorders>
            <w:shd w:fill="CCEEFF" w:val="clear"/>
            <w:tcMar>
              <w:bottom w:w="28" w:type="dxa"/>
            </w:tcMar>
            <w:vAlign w:val="bottom"/>
          </w:tcPr>
          <w:p>
            <w:pPr>
              <w:pStyle w:val="TableContents"/>
              <w:spacing w:before="0" w:after="0"/>
              <w:rPr/>
            </w:pPr>
            <w:r>
              <w:rPr/>
              <w:t>$</w:t>
            </w:r>
          </w:p>
        </w:tc>
        <w:tc>
          <w:tcPr>
            <w:tcW w:w="856" w:type="dxa"/>
            <w:tcBorders>
              <w:bottom w:val="double" w:sz="8" w:space="0" w:color="000000"/>
            </w:tcBorders>
            <w:shd w:fill="CCEEFF" w:val="clear"/>
            <w:tcMar>
              <w:bottom w:w="28" w:type="dxa"/>
            </w:tcMar>
            <w:vAlign w:val="bottom"/>
          </w:tcPr>
          <w:p>
            <w:pPr>
              <w:pStyle w:val="TableContents"/>
              <w:spacing w:before="0" w:after="0"/>
              <w:jc w:val="right"/>
              <w:rPr/>
            </w:pPr>
            <w:r>
              <w:rPr/>
              <w:t>2,361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bottom w:val="double" w:sz="8" w:space="0" w:color="000000"/>
            </w:tcBorders>
            <w:shd w:fill="CCEEFF" w:val="clear"/>
            <w:tcMar>
              <w:bottom w:w="28" w:type="dxa"/>
            </w:tcMar>
            <w:vAlign w:val="bottom"/>
          </w:tcPr>
          <w:p>
            <w:pPr>
              <w:pStyle w:val="TableContents"/>
              <w:spacing w:before="0" w:after="0"/>
              <w:rPr/>
            </w:pPr>
            <w:r>
              <w:rPr/>
              <w:t>$</w:t>
            </w:r>
          </w:p>
        </w:tc>
        <w:tc>
          <w:tcPr>
            <w:tcW w:w="712" w:type="dxa"/>
            <w:tcBorders>
              <w:bottom w:val="double" w:sz="8" w:space="0" w:color="000000"/>
            </w:tcBorders>
            <w:shd w:fill="CCEEFF" w:val="clear"/>
            <w:tcMar>
              <w:bottom w:w="28" w:type="dxa"/>
            </w:tcMar>
            <w:vAlign w:val="bottom"/>
          </w:tcPr>
          <w:p>
            <w:pPr>
              <w:pStyle w:val="TableContents"/>
              <w:spacing w:before="0" w:after="0"/>
              <w:jc w:val="right"/>
              <w:rPr/>
            </w:pPr>
            <w:r>
              <w:rPr/>
              <w:t>3,448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12,443</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2,703,221</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2,715,664</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360" w:right="0" w:hanging="180"/>
              <w:rPr/>
            </w:pPr>
            <w:r>
              <w:rPr/>
              <w:t>Accrued interest included in recorded investment</w:t>
            </w:r>
          </w:p>
        </w:tc>
        <w:tc>
          <w:tcPr>
            <w:tcW w:w="120" w:type="dxa"/>
            <w:tcBorders/>
            <w:shd w:fill="FFFFFF" w:val="clear"/>
            <w:vAlign w:val="bottom"/>
          </w:tcPr>
          <w:p>
            <w:pPr>
              <w:pStyle w:val="TableContents"/>
              <w:spacing w:before="0" w:after="283"/>
              <w:rPr/>
            </w:pPr>
            <w:r>
              <w:rPr/>
              <w:t> </w:t>
            </w:r>
          </w:p>
        </w:tc>
        <w:tc>
          <w:tcPr>
            <w:tcW w:w="214" w:type="dxa"/>
            <w:tcBorders>
              <w:bottom w:val="double" w:sz="8" w:space="0" w:color="000000"/>
            </w:tcBorders>
            <w:shd w:fill="FFFFFF" w:val="clear"/>
            <w:tcMar>
              <w:bottom w:w="28" w:type="dxa"/>
            </w:tcMar>
            <w:vAlign w:val="bottom"/>
          </w:tcPr>
          <w:p>
            <w:pPr>
              <w:pStyle w:val="TableContents"/>
              <w:spacing w:before="0" w:after="0"/>
              <w:rPr/>
            </w:pPr>
            <w:r>
              <w:rPr/>
              <w:t>$</w:t>
            </w:r>
          </w:p>
        </w:tc>
        <w:tc>
          <w:tcPr>
            <w:tcW w:w="856" w:type="dxa"/>
            <w:tcBorders>
              <w:bottom w:val="double" w:sz="8" w:space="0" w:color="000000"/>
            </w:tcBorders>
            <w:shd w:fill="FFFFFF" w:val="clear"/>
            <w:tcMar>
              <w:bottom w:w="28" w:type="dxa"/>
            </w:tcMar>
            <w:vAlign w:val="bottom"/>
          </w:tcPr>
          <w:p>
            <w:pPr>
              <w:pStyle w:val="TableContents"/>
              <w:spacing w:before="0" w:after="0"/>
              <w:jc w:val="right"/>
              <w:rPr/>
            </w:pPr>
            <w:r>
              <w:rPr/>
              <w:t>66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bottom w:val="double" w:sz="8" w:space="0" w:color="000000"/>
            </w:tcBorders>
            <w:shd w:fill="FFFFFF" w:val="clear"/>
            <w:tcMar>
              <w:bottom w:w="28" w:type="dxa"/>
            </w:tcMar>
            <w:vAlign w:val="bottom"/>
          </w:tcPr>
          <w:p>
            <w:pPr>
              <w:pStyle w:val="TableContents"/>
              <w:spacing w:before="0" w:after="0"/>
              <w:rPr/>
            </w:pPr>
            <w:r>
              <w:rPr/>
              <w:t>$</w:t>
            </w:r>
          </w:p>
        </w:tc>
        <w:tc>
          <w:tcPr>
            <w:tcW w:w="856" w:type="dxa"/>
            <w:tcBorders>
              <w:bottom w:val="double" w:sz="8" w:space="0" w:color="000000"/>
            </w:tcBorders>
            <w:shd w:fill="FFFFFF" w:val="clear"/>
            <w:tcMar>
              <w:bottom w:w="28" w:type="dxa"/>
            </w:tcMar>
            <w:vAlign w:val="bottom"/>
          </w:tcPr>
          <w:p>
            <w:pPr>
              <w:pStyle w:val="TableContents"/>
              <w:spacing w:before="0" w:after="0"/>
              <w:jc w:val="right"/>
              <w:rPr/>
            </w:pPr>
            <w:r>
              <w:rPr/>
              <w:t>32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bottom w:val="double" w:sz="8" w:space="0" w:color="000000"/>
            </w:tcBorders>
            <w:shd w:fill="FFFFFF" w:val="clear"/>
            <w:tcMar>
              <w:bottom w:w="28" w:type="dxa"/>
            </w:tcMar>
            <w:vAlign w:val="bottom"/>
          </w:tcPr>
          <w:p>
            <w:pPr>
              <w:pStyle w:val="TableContents"/>
              <w:spacing w:before="0" w:after="0"/>
              <w:rPr/>
            </w:pPr>
            <w:r>
              <w:rPr/>
              <w:t>$</w:t>
            </w:r>
          </w:p>
        </w:tc>
        <w:tc>
          <w:tcPr>
            <w:tcW w:w="712" w:type="dxa"/>
            <w:tcBorders>
              <w:bottom w:val="double" w:sz="8"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98</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9,040</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9,138</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144" w:right="0" w:hanging="144"/>
              <w:rPr/>
            </w:pPr>
            <w:r>
              <w:rPr/>
              <w:t>December 31, 2018</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360" w:right="0" w:hanging="180"/>
              <w:rPr/>
            </w:pPr>
            <w:r>
              <w:rPr/>
              <w:t>Commercial</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Income producing - real estate</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0"/>
              <w:rPr/>
            </w:pPr>
            <w:r>
              <w:rPr/>
              <w:t>$</w:t>
            </w:r>
          </w:p>
        </w:tc>
        <w:tc>
          <w:tcPr>
            <w:tcW w:w="856" w:type="dxa"/>
            <w:tcBorders/>
            <w:shd w:fill="FFFFFF" w:val="clear"/>
            <w:vAlign w:val="bottom"/>
          </w:tcPr>
          <w:p>
            <w:pPr>
              <w:pStyle w:val="TableContents"/>
              <w:spacing w:before="0" w:after="0"/>
              <w:jc w:val="right"/>
              <w:rPr/>
            </w:pPr>
            <w:r>
              <w:rPr/>
              <w:t>44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0"/>
              <w:rPr/>
            </w:pPr>
            <w:r>
              <w:rPr/>
              <w:t>$</w:t>
            </w:r>
          </w:p>
        </w:tc>
        <w:tc>
          <w:tcPr>
            <w:tcW w:w="85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0"/>
              <w:rPr/>
            </w:pPr>
            <w:r>
              <w:rPr/>
              <w:t>$</w:t>
            </w:r>
          </w:p>
        </w:tc>
        <w:tc>
          <w:tcPr>
            <w:tcW w:w="712"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680" w:type="dxa"/>
            <w:tcBorders/>
            <w:shd w:fill="FFFFFF" w:val="clear"/>
            <w:vAlign w:val="bottom"/>
          </w:tcPr>
          <w:p>
            <w:pPr>
              <w:pStyle w:val="TableContents"/>
              <w:spacing w:before="0" w:after="0"/>
              <w:jc w:val="right"/>
              <w:rPr/>
            </w:pPr>
            <w:r>
              <w:rPr/>
              <w:t>44</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980" w:type="dxa"/>
            <w:tcBorders/>
            <w:shd w:fill="FFFFFF" w:val="clear"/>
            <w:vAlign w:val="bottom"/>
          </w:tcPr>
          <w:p>
            <w:pPr>
              <w:pStyle w:val="TableContents"/>
              <w:spacing w:before="0" w:after="0"/>
              <w:jc w:val="right"/>
              <w:rPr/>
            </w:pPr>
            <w:r>
              <w:rPr/>
              <w:t>388,729</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980" w:type="dxa"/>
            <w:tcBorders/>
            <w:shd w:fill="FFFFFF" w:val="clear"/>
            <w:vAlign w:val="bottom"/>
          </w:tcPr>
          <w:p>
            <w:pPr>
              <w:pStyle w:val="TableContents"/>
              <w:spacing w:before="0" w:after="0"/>
              <w:jc w:val="right"/>
              <w:rPr/>
            </w:pPr>
            <w:r>
              <w:rPr/>
              <w:t>388,773</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Land, land development and construction - real estate</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84,458</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84,458</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Commercial and industrial</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1,538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1,538</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673,123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674,661</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360" w:right="0" w:hanging="180"/>
              <w:rPr/>
            </w:pPr>
            <w:r>
              <w:rPr/>
              <w:t>Mortgage</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1-4 family</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1,608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194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0"/>
              <w:jc w:val="right"/>
              <w:rPr/>
            </w:pPr>
            <w:r>
              <w:rPr/>
              <w:t>4,882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6,684</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833,760</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840,444</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Resort lending</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252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755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1,007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80,774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81,781</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Home equity - 1st lien</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176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0"/>
              <w:jc w:val="right"/>
              <w:rPr/>
            </w:pPr>
            <w:r>
              <w:rPr/>
              <w:t>159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335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38,909</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39,244</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Home equity - 2nd lien</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446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100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419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965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84,553</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85,518</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360" w:right="0" w:hanging="180"/>
              <w:rPr/>
            </w:pPr>
            <w:r>
              <w:rPr/>
              <w:t>Installment</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Home equity - 1st lien</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200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197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452</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6,985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7,437</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Home equity - 2nd lien</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111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24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0"/>
              <w:jc w:val="right"/>
              <w:rPr/>
            </w:pPr>
            <w:r>
              <w:rPr/>
              <w:t>226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361</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6,683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7,044</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Boat lending</w:t>
            </w:r>
          </w:p>
        </w:tc>
        <w:tc>
          <w:tcPr>
            <w:tcW w:w="12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316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295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0"/>
              <w:jc w:val="right"/>
              <w:rPr/>
            </w:pPr>
            <w:r>
              <w:rPr/>
              <w:t>166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777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169,117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169,894</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504" w:right="0" w:hanging="144"/>
              <w:rPr/>
            </w:pPr>
            <w:r>
              <w:rPr/>
              <w:t>Recreational vehicle lending</w:t>
            </w:r>
          </w:p>
        </w:tc>
        <w:tc>
          <w:tcPr>
            <w:tcW w:w="12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28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712" w:type="dxa"/>
            <w:tcBorders/>
            <w:shd w:fill="FFFFFF" w:val="clear"/>
            <w:vAlign w:val="bottom"/>
          </w:tcPr>
          <w:p>
            <w:pPr>
              <w:pStyle w:val="TableContents"/>
              <w:spacing w:before="0" w:after="0"/>
              <w:jc w:val="right"/>
              <w:rPr/>
            </w:pPr>
            <w:r>
              <w:rPr/>
              <w:t>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56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125,780</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125,836</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504" w:right="0" w:hanging="144"/>
              <w:rPr/>
            </w:pPr>
            <w:r>
              <w:rPr/>
              <w:t>Other</w:t>
            </w:r>
          </w:p>
        </w:tc>
        <w:tc>
          <w:tcPr>
            <w:tcW w:w="120" w:type="dxa"/>
            <w:tcBorders/>
            <w:shd w:fill="CCEEFF" w:val="clear"/>
            <w:vAlign w:val="bottom"/>
          </w:tcPr>
          <w:p>
            <w:pPr>
              <w:pStyle w:val="TableContents"/>
              <w:spacing w:before="0" w:after="283"/>
              <w:rPr/>
            </w:pPr>
            <w:r>
              <w:rPr/>
              <w:t> </w:t>
            </w:r>
          </w:p>
        </w:tc>
        <w:tc>
          <w:tcPr>
            <w:tcW w:w="21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56" w:type="dxa"/>
            <w:tcBorders>
              <w:bottom w:val="single" w:sz="12" w:space="0" w:color="000000"/>
            </w:tcBorders>
            <w:shd w:fill="CCEEFF" w:val="clear"/>
            <w:tcMar>
              <w:bottom w:w="28" w:type="dxa"/>
            </w:tcMar>
            <w:vAlign w:val="bottom"/>
          </w:tcPr>
          <w:p>
            <w:pPr>
              <w:pStyle w:val="TableContents"/>
              <w:spacing w:before="0" w:after="0"/>
              <w:jc w:val="right"/>
              <w:rPr/>
            </w:pPr>
            <w:r>
              <w:rPr/>
              <w:t>241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56" w:type="dxa"/>
            <w:tcBorders>
              <w:bottom w:val="single" w:sz="12" w:space="0" w:color="000000"/>
            </w:tcBorders>
            <w:shd w:fill="CCEEFF" w:val="clear"/>
            <w:tcMar>
              <w:bottom w:w="28" w:type="dxa"/>
            </w:tcMar>
            <w:vAlign w:val="bottom"/>
          </w:tcPr>
          <w:p>
            <w:pPr>
              <w:pStyle w:val="TableContents"/>
              <w:spacing w:before="0" w:after="0"/>
              <w:jc w:val="right"/>
              <w:rPr/>
            </w:pPr>
            <w:r>
              <w:rPr/>
              <w:t>131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12" w:type="dxa"/>
            <w:tcBorders>
              <w:bottom w:val="single" w:sz="12" w:space="0" w:color="000000"/>
            </w:tcBorders>
            <w:shd w:fill="CCEEFF" w:val="clear"/>
            <w:tcMar>
              <w:bottom w:w="28" w:type="dxa"/>
            </w:tcMar>
            <w:vAlign w:val="bottom"/>
          </w:tcPr>
          <w:p>
            <w:pPr>
              <w:pStyle w:val="TableContents"/>
              <w:spacing w:before="0" w:after="0"/>
              <w:jc w:val="right"/>
              <w:rPr/>
            </w:pPr>
            <w:r>
              <w:rPr/>
              <w:t>204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576</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85,392</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85,968</w:t>
            </w:r>
          </w:p>
        </w:tc>
        <w:tc>
          <w:tcPr>
            <w:tcW w:w="135" w:type="dxa"/>
            <w:tcBorders/>
            <w:shd w:fill="CCEEFF" w:val="clear"/>
            <w:vAlign w:val="bottom"/>
          </w:tcPr>
          <w:p>
            <w:pPr>
              <w:pStyle w:val="TableContents"/>
              <w:spacing w:before="0" w:after="283"/>
              <w:rPr/>
            </w:pPr>
            <w:r>
              <w:rPr/>
              <w:t> </w:t>
            </w:r>
          </w:p>
        </w:tc>
      </w:tr>
      <w:tr>
        <w:trPr/>
        <w:tc>
          <w:tcPr>
            <w:tcW w:w="3020" w:type="dxa"/>
            <w:tcBorders/>
            <w:shd w:fill="FFFFFF" w:val="clear"/>
            <w:vAlign w:val="bottom"/>
          </w:tcPr>
          <w:p>
            <w:pPr>
              <w:pStyle w:val="TableContents"/>
              <w:spacing w:before="0" w:after="0"/>
              <w:ind w:left="684" w:right="0" w:hanging="144"/>
              <w:rPr/>
            </w:pPr>
            <w:r>
              <w:rPr/>
              <w:t>Total recorded investment</w:t>
            </w:r>
          </w:p>
        </w:tc>
        <w:tc>
          <w:tcPr>
            <w:tcW w:w="120" w:type="dxa"/>
            <w:tcBorders/>
            <w:shd w:fill="FFFFFF" w:val="clear"/>
            <w:vAlign w:val="bottom"/>
          </w:tcPr>
          <w:p>
            <w:pPr>
              <w:pStyle w:val="TableContents"/>
              <w:spacing w:before="0" w:after="283"/>
              <w:rPr/>
            </w:pPr>
            <w:r>
              <w:rPr/>
              <w:t> </w:t>
            </w:r>
          </w:p>
        </w:tc>
        <w:tc>
          <w:tcPr>
            <w:tcW w:w="214" w:type="dxa"/>
            <w:tcBorders>
              <w:bottom w:val="double" w:sz="8" w:space="0" w:color="000000"/>
            </w:tcBorders>
            <w:shd w:fill="FFFFFF" w:val="clear"/>
            <w:tcMar>
              <w:bottom w:w="28" w:type="dxa"/>
            </w:tcMar>
            <w:vAlign w:val="bottom"/>
          </w:tcPr>
          <w:p>
            <w:pPr>
              <w:pStyle w:val="TableContents"/>
              <w:spacing w:before="0" w:after="0"/>
              <w:rPr/>
            </w:pPr>
            <w:r>
              <w:rPr/>
              <w:t>$</w:t>
            </w:r>
          </w:p>
        </w:tc>
        <w:tc>
          <w:tcPr>
            <w:tcW w:w="856" w:type="dxa"/>
            <w:tcBorders>
              <w:bottom w:val="double" w:sz="8" w:space="0" w:color="000000"/>
            </w:tcBorders>
            <w:shd w:fill="FFFFFF" w:val="clear"/>
            <w:tcMar>
              <w:bottom w:w="28" w:type="dxa"/>
            </w:tcMar>
            <w:vAlign w:val="bottom"/>
          </w:tcPr>
          <w:p>
            <w:pPr>
              <w:pStyle w:val="TableContents"/>
              <w:spacing w:before="0" w:after="0"/>
              <w:jc w:val="right"/>
              <w:rPr/>
            </w:pPr>
            <w:r>
              <w:rPr/>
              <w:t>4,960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bottom w:val="double" w:sz="8" w:space="0" w:color="000000"/>
            </w:tcBorders>
            <w:shd w:fill="FFFFFF" w:val="clear"/>
            <w:tcMar>
              <w:bottom w:w="28" w:type="dxa"/>
            </w:tcMar>
            <w:vAlign w:val="bottom"/>
          </w:tcPr>
          <w:p>
            <w:pPr>
              <w:pStyle w:val="TableContents"/>
              <w:spacing w:before="0" w:after="0"/>
              <w:rPr/>
            </w:pPr>
            <w:r>
              <w:rPr/>
              <w:t>$</w:t>
            </w:r>
          </w:p>
        </w:tc>
        <w:tc>
          <w:tcPr>
            <w:tcW w:w="856" w:type="dxa"/>
            <w:tcBorders>
              <w:bottom w:val="double" w:sz="8" w:space="0" w:color="000000"/>
            </w:tcBorders>
            <w:shd w:fill="FFFFFF" w:val="clear"/>
            <w:tcMar>
              <w:bottom w:w="28" w:type="dxa"/>
            </w:tcMar>
            <w:vAlign w:val="bottom"/>
          </w:tcPr>
          <w:p>
            <w:pPr>
              <w:pStyle w:val="TableContents"/>
              <w:spacing w:before="0" w:after="0"/>
              <w:jc w:val="right"/>
              <w:rPr/>
            </w:pPr>
            <w:r>
              <w:rPr/>
              <w:t>820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8" w:type="dxa"/>
            <w:tcBorders>
              <w:bottom w:val="double" w:sz="8" w:space="0" w:color="000000"/>
            </w:tcBorders>
            <w:shd w:fill="FFFFFF" w:val="clear"/>
            <w:tcMar>
              <w:bottom w:w="28" w:type="dxa"/>
            </w:tcMar>
            <w:vAlign w:val="bottom"/>
          </w:tcPr>
          <w:p>
            <w:pPr>
              <w:pStyle w:val="TableContents"/>
              <w:spacing w:before="0" w:after="0"/>
              <w:rPr/>
            </w:pPr>
            <w:r>
              <w:rPr/>
              <w:t>$</w:t>
            </w:r>
          </w:p>
        </w:tc>
        <w:tc>
          <w:tcPr>
            <w:tcW w:w="712" w:type="dxa"/>
            <w:tcBorders>
              <w:bottom w:val="double" w:sz="8" w:space="0" w:color="000000"/>
            </w:tcBorders>
            <w:shd w:fill="FFFFFF" w:val="clear"/>
            <w:tcMar>
              <w:bottom w:w="28" w:type="dxa"/>
            </w:tcMar>
            <w:vAlign w:val="bottom"/>
          </w:tcPr>
          <w:p>
            <w:pPr>
              <w:pStyle w:val="TableContents"/>
              <w:spacing w:before="0" w:after="0"/>
              <w:jc w:val="right"/>
              <w:rPr/>
            </w:pPr>
            <w:r>
              <w:rPr/>
              <w:t>7,015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12,795</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2,578,263</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2,591,058</w:t>
            </w:r>
          </w:p>
        </w:tc>
        <w:tc>
          <w:tcPr>
            <w:tcW w:w="135" w:type="dxa"/>
            <w:tcBorders/>
            <w:shd w:fill="FFFFFF" w:val="clear"/>
            <w:vAlign w:val="bottom"/>
          </w:tcPr>
          <w:p>
            <w:pPr>
              <w:pStyle w:val="TableContents"/>
              <w:spacing w:before="0" w:after="283"/>
              <w:rPr/>
            </w:pPr>
            <w:r>
              <w:rPr/>
              <w:t> </w:t>
            </w:r>
          </w:p>
        </w:tc>
      </w:tr>
      <w:tr>
        <w:trPr/>
        <w:tc>
          <w:tcPr>
            <w:tcW w:w="3020" w:type="dxa"/>
            <w:tcBorders/>
            <w:shd w:fill="CCEEFF" w:val="clear"/>
            <w:vAlign w:val="bottom"/>
          </w:tcPr>
          <w:p>
            <w:pPr>
              <w:pStyle w:val="TableContents"/>
              <w:spacing w:before="0" w:after="0"/>
              <w:ind w:left="324" w:right="0" w:hanging="144"/>
              <w:rPr/>
            </w:pPr>
            <w:r>
              <w:rPr/>
              <w:t>Accrued interest included in recorded investment</w:t>
            </w:r>
          </w:p>
        </w:tc>
        <w:tc>
          <w:tcPr>
            <w:tcW w:w="120" w:type="dxa"/>
            <w:tcBorders/>
            <w:shd w:fill="CCEEFF" w:val="clear"/>
            <w:vAlign w:val="bottom"/>
          </w:tcPr>
          <w:p>
            <w:pPr>
              <w:pStyle w:val="TableContents"/>
              <w:spacing w:before="0" w:after="283"/>
              <w:rPr/>
            </w:pPr>
            <w:r>
              <w:rPr/>
              <w:t> </w:t>
            </w:r>
          </w:p>
        </w:tc>
        <w:tc>
          <w:tcPr>
            <w:tcW w:w="214" w:type="dxa"/>
            <w:tcBorders>
              <w:bottom w:val="double" w:sz="8" w:space="0" w:color="000000"/>
            </w:tcBorders>
            <w:shd w:fill="CCEEFF" w:val="clear"/>
            <w:tcMar>
              <w:bottom w:w="28" w:type="dxa"/>
            </w:tcMar>
            <w:vAlign w:val="bottom"/>
          </w:tcPr>
          <w:p>
            <w:pPr>
              <w:pStyle w:val="TableContents"/>
              <w:spacing w:before="0" w:after="0"/>
              <w:rPr/>
            </w:pPr>
            <w:r>
              <w:rPr/>
              <w:t>$</w:t>
            </w:r>
          </w:p>
        </w:tc>
        <w:tc>
          <w:tcPr>
            <w:tcW w:w="856" w:type="dxa"/>
            <w:tcBorders>
              <w:bottom w:val="double" w:sz="8" w:space="0" w:color="000000"/>
            </w:tcBorders>
            <w:shd w:fill="CCEEFF" w:val="clear"/>
            <w:tcMar>
              <w:bottom w:w="28" w:type="dxa"/>
            </w:tcMar>
            <w:vAlign w:val="bottom"/>
          </w:tcPr>
          <w:p>
            <w:pPr>
              <w:pStyle w:val="TableContents"/>
              <w:spacing w:before="0" w:after="0"/>
              <w:jc w:val="right"/>
              <w:rPr/>
            </w:pPr>
            <w:r>
              <w:rPr/>
              <w:t>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bottom w:val="double" w:sz="8" w:space="0" w:color="000000"/>
            </w:tcBorders>
            <w:shd w:fill="CCEEFF" w:val="clear"/>
            <w:tcMar>
              <w:bottom w:w="28" w:type="dxa"/>
            </w:tcMar>
            <w:vAlign w:val="bottom"/>
          </w:tcPr>
          <w:p>
            <w:pPr>
              <w:pStyle w:val="TableContents"/>
              <w:spacing w:before="0" w:after="0"/>
              <w:rPr/>
            </w:pPr>
            <w:r>
              <w:rPr/>
              <w:t>$</w:t>
            </w:r>
          </w:p>
        </w:tc>
        <w:tc>
          <w:tcPr>
            <w:tcW w:w="856" w:type="dxa"/>
            <w:tcBorders>
              <w:bottom w:val="double" w:sz="8" w:space="0" w:color="000000"/>
            </w:tcBorders>
            <w:shd w:fill="CCEEFF" w:val="clear"/>
            <w:tcMar>
              <w:bottom w:w="28" w:type="dxa"/>
            </w:tcMar>
            <w:vAlign w:val="bottom"/>
          </w:tcPr>
          <w:p>
            <w:pPr>
              <w:pStyle w:val="TableContents"/>
              <w:spacing w:before="0" w:after="0"/>
              <w:jc w:val="right"/>
              <w:rPr/>
            </w:pPr>
            <w:r>
              <w:rPr/>
              <w:t>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8" w:type="dxa"/>
            <w:tcBorders>
              <w:bottom w:val="double" w:sz="8" w:space="0" w:color="000000"/>
            </w:tcBorders>
            <w:shd w:fill="CCEEFF" w:val="clear"/>
            <w:tcMar>
              <w:bottom w:w="28" w:type="dxa"/>
            </w:tcMar>
            <w:vAlign w:val="bottom"/>
          </w:tcPr>
          <w:p>
            <w:pPr>
              <w:pStyle w:val="TableContents"/>
              <w:spacing w:before="0" w:after="0"/>
              <w:rPr/>
            </w:pPr>
            <w:r>
              <w:rPr/>
              <w:t>$</w:t>
            </w:r>
          </w:p>
        </w:tc>
        <w:tc>
          <w:tcPr>
            <w:tcW w:w="712" w:type="dxa"/>
            <w:tcBorders>
              <w:bottom w:val="double" w:sz="8"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55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8,483</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8,538</w:t>
            </w:r>
          </w:p>
        </w:tc>
        <w:tc>
          <w:tcPr>
            <w:tcW w:w="135" w:type="dxa"/>
            <w:tcBorders/>
            <w:shd w:fill="CCEE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7" w:name="DSPFPageBreakArea18"/>
      <w:bookmarkStart w:id="208" w:name="DSPFPageBreakArea18"/>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09" w:name="DSPFPageNumber18"/>
      <w:bookmarkStart w:id="210" w:name="DSPFPageNumberArea17"/>
      <w:bookmarkEnd w:id="209"/>
      <w:bookmarkEnd w:id="210"/>
      <w:r>
        <w:rPr>
          <w:b w:val="false"/>
          <w:i w:val="false"/>
          <w:caps w:val="false"/>
          <w:smallCaps w:val="false"/>
          <w:sz w:val="13"/>
        </w:rPr>
        <w:t>19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1" w:name="DSPFPageBreak18"/>
      <w:bookmarkStart w:id="212" w:name="DSPFPageBreak18"/>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13" w:name="DSPFPageHeader17"/>
        <w:bookmarkEnd w:id="213"/>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color w:val="000000"/>
        </w:rPr>
      </w:pPr>
      <w:r>
        <w:rPr>
          <w:color w:val="000000"/>
        </w:rPr>
        <w:t>Impaired loans are as follows:</w:t>
      </w:r>
    </w:p>
    <w:p>
      <w:pPr>
        <w:pStyle w:val="TextBody"/>
        <w:spacing w:before="0" w:after="0"/>
        <w:rPr/>
      </w:pPr>
      <w:r>
        <w:rPr/>
      </w:r>
    </w:p>
    <w:p>
      <w:pPr>
        <w:pStyle w:val="Normal"/>
        <w:spacing w:before="0" w:after="0"/>
        <w:rPr>
          <w:sz w:val="4"/>
          <w:szCs w:val="4"/>
        </w:rPr>
      </w:pPr>
      <w:r>
        <w:rPr>
          <w:sz w:val="4"/>
          <w:szCs w:val="4"/>
        </w:rPr>
      </w:r>
      <w:bookmarkStart w:id="214" w:name="zfbec9a0d2ef44cd397b1993b281ac5b2"/>
      <w:bookmarkStart w:id="215" w:name="zfbec9a0d2ef44cd397b1993b281ac5b2"/>
      <w:bookmarkEnd w:id="215"/>
    </w:p>
    <w:tbl>
      <w:tblPr>
        <w:tblW w:w="8210" w:type="dxa"/>
        <w:jc w:val="left"/>
        <w:tblInd w:w="0" w:type="dxa"/>
        <w:tblCellMar>
          <w:top w:w="0" w:type="dxa"/>
          <w:left w:w="0" w:type="dxa"/>
          <w:bottom w:w="0" w:type="dxa"/>
          <w:right w:w="0" w:type="dxa"/>
        </w:tblCellMar>
      </w:tblPr>
      <w:tblGrid>
        <w:gridCol w:w="5540"/>
        <w:gridCol w:w="120"/>
        <w:gridCol w:w="140"/>
        <w:gridCol w:w="680"/>
        <w:gridCol w:w="120"/>
        <w:gridCol w:w="120"/>
        <w:gridCol w:w="231"/>
        <w:gridCol w:w="1124"/>
        <w:gridCol w:w="135"/>
      </w:tblGrid>
      <w:tr>
        <w:trPr/>
        <w:tc>
          <w:tcPr>
            <w:tcW w:w="5540" w:type="dxa"/>
            <w:tcBorders/>
            <w:shd w:fill="auto" w:val="clear"/>
            <w:vAlign w:val="bottom"/>
          </w:tcPr>
          <w:p>
            <w:pPr>
              <w:pStyle w:val="TableContents"/>
              <w:spacing w:before="0" w:after="283"/>
              <w:rPr/>
            </w:pPr>
            <w:r>
              <w:rPr/>
            </w:r>
          </w:p>
        </w:tc>
        <w:tc>
          <w:tcPr>
            <w:tcW w:w="12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June 30,</w:t>
            </w:r>
          </w:p>
          <w:p>
            <w:pPr>
              <w:pStyle w:val="TableContents"/>
              <w:spacing w:before="0" w:after="0"/>
              <w:jc w:val="center"/>
              <w:rPr/>
            </w:pPr>
            <w:r>
              <w:rPr/>
              <w:t>2019</w:t>
            </w:r>
          </w:p>
        </w:tc>
        <w:tc>
          <w:tcPr>
            <w:tcW w:w="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bottom"/>
          </w:tcPr>
          <w:p>
            <w:pPr>
              <w:pStyle w:val="TableContents"/>
              <w:spacing w:before="0" w:after="0"/>
              <w:jc w:val="center"/>
              <w:rPr/>
            </w:pPr>
            <w:r>
              <w:rPr/>
              <w:t>December 31,</w:t>
            </w:r>
          </w:p>
          <w:p>
            <w:pPr>
              <w:pStyle w:val="TableContents"/>
              <w:spacing w:before="0" w:after="0"/>
              <w:jc w:val="center"/>
              <w:rPr/>
            </w:pPr>
            <w:r>
              <w:rPr/>
              <w:t>2018</w:t>
            </w:r>
          </w:p>
        </w:tc>
        <w:tc>
          <w:tcPr>
            <w:tcW w:w="135" w:type="dxa"/>
            <w:tcBorders/>
            <w:shd w:fill="auto" w:val="clear"/>
            <w:vAlign w:val="bottom"/>
          </w:tcPr>
          <w:p>
            <w:pPr>
              <w:pStyle w:val="TableContents"/>
              <w:spacing w:before="0" w:after="283"/>
              <w:rPr/>
            </w:pPr>
            <w:r>
              <w:rPr/>
              <w:t>  </w:t>
            </w:r>
          </w:p>
        </w:tc>
      </w:tr>
      <w:tr>
        <w:trPr/>
        <w:tc>
          <w:tcPr>
            <w:tcW w:w="5540" w:type="dxa"/>
            <w:tcBorders/>
            <w:shd w:fill="auto" w:val="clear"/>
            <w:vAlign w:val="bottom"/>
          </w:tcPr>
          <w:p>
            <w:pPr>
              <w:pStyle w:val="TableContents"/>
              <w:spacing w:before="0" w:after="0"/>
              <w:ind w:left="144" w:right="0" w:hanging="144"/>
              <w:rPr/>
            </w:pPr>
            <w:r>
              <w:rPr/>
              <w:t>Impaired loans with no allocated allowance for loan losses</w:t>
            </w:r>
          </w:p>
        </w:tc>
        <w:tc>
          <w:tcPr>
            <w:tcW w:w="120" w:type="dxa"/>
            <w:tcBorders/>
            <w:shd w:fill="auto" w:val="clear"/>
            <w:vAlign w:val="bottom"/>
          </w:tcPr>
          <w:p>
            <w:pPr>
              <w:pStyle w:val="TableContents"/>
              <w:spacing w:before="0" w:after="283"/>
              <w:rPr/>
            </w:pPr>
            <w:r>
              <w:rPr/>
              <w:t> </w:t>
            </w:r>
          </w:p>
        </w:tc>
        <w:tc>
          <w:tcPr>
            <w:tcW w:w="2415" w:type="dxa"/>
            <w:gridSpan w:val="6"/>
            <w:tcBorders/>
            <w:shd w:fill="auto" w:val="clear"/>
            <w:vAlign w:val="bottom"/>
          </w:tcPr>
          <w:p>
            <w:pPr>
              <w:pStyle w:val="TableContents"/>
              <w:spacing w:before="0" w:after="0"/>
              <w:jc w:val="center"/>
              <w:rPr>
                <w:color w:val="000000"/>
              </w:rPr>
            </w:pPr>
            <w:r>
              <w:rPr>
                <w:color w:val="000000"/>
              </w:rPr>
              <w:t>(In thousands)</w:t>
            </w:r>
          </w:p>
        </w:tc>
        <w:tc>
          <w:tcPr>
            <w:tcW w:w="135" w:type="dxa"/>
            <w:tcBorders/>
            <w:shd w:fill="auto"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324" w:right="0" w:hanging="144"/>
              <w:rPr>
                <w:color w:val="000000"/>
              </w:rPr>
            </w:pPr>
            <w:r>
              <w:rPr>
                <w:color w:val="000000"/>
              </w:rPr>
              <w:t>Troubled debt restructurings (“TDR”)</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266</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0"/>
              <w:rPr/>
            </w:pPr>
            <w:r>
              <w:rPr/>
              <w:t>$</w:t>
            </w:r>
          </w:p>
        </w:tc>
        <w:tc>
          <w:tcPr>
            <w:tcW w:w="1124" w:type="dxa"/>
            <w:tcBorders/>
            <w:shd w:fill="CCEEFF" w:val="clear"/>
            <w:vAlign w:val="bottom"/>
          </w:tcPr>
          <w:p>
            <w:pPr>
              <w:pStyle w:val="TableContents"/>
              <w:spacing w:before="0" w:after="0"/>
              <w:jc w:val="right"/>
              <w:rPr/>
            </w:pPr>
            <w:r>
              <w:rPr/>
              <w:t>-</w:t>
            </w:r>
          </w:p>
        </w:tc>
        <w:tc>
          <w:tcPr>
            <w:tcW w:w="135" w:type="dxa"/>
            <w:tcBorders/>
            <w:shd w:fill="CCEEFF" w:val="clear"/>
            <w:vAlign w:val="bottom"/>
          </w:tcPr>
          <w:p>
            <w:pPr>
              <w:pStyle w:val="TableContents"/>
              <w:spacing w:before="0" w:after="283"/>
              <w:rPr/>
            </w:pPr>
            <w:r>
              <w:rPr/>
              <w:t> </w:t>
            </w:r>
          </w:p>
        </w:tc>
      </w:tr>
      <w:tr>
        <w:trPr/>
        <w:tc>
          <w:tcPr>
            <w:tcW w:w="5540" w:type="dxa"/>
            <w:tcBorders/>
            <w:shd w:fill="FFFFFF" w:val="clear"/>
            <w:vAlign w:val="bottom"/>
          </w:tcPr>
          <w:p>
            <w:pPr>
              <w:pStyle w:val="TableContents"/>
              <w:spacing w:before="0" w:after="0"/>
              <w:ind w:left="324" w:right="0" w:hanging="144"/>
              <w:rPr>
                <w:color w:val="000000"/>
              </w:rPr>
            </w:pPr>
            <w:r>
              <w:rPr>
                <w:color w:val="000000"/>
              </w:rPr>
              <w:t>Non - TDR</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500</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rPr/>
            </w:pPr>
            <w:r>
              <w:rPr/>
              <w:t> </w:t>
            </w:r>
          </w:p>
        </w:tc>
        <w:tc>
          <w:tcPr>
            <w:tcW w:w="1124" w:type="dxa"/>
            <w:tcBorders/>
            <w:shd w:fill="FFFFFF" w:val="clear"/>
            <w:vAlign w:val="bottom"/>
          </w:tcPr>
          <w:p>
            <w:pPr>
              <w:pStyle w:val="TableContents"/>
              <w:spacing w:before="0" w:after="0"/>
              <w:jc w:val="right"/>
              <w:rPr/>
            </w:pPr>
            <w:r>
              <w:rPr/>
              <w:t>-</w:t>
            </w:r>
          </w:p>
        </w:tc>
        <w:tc>
          <w:tcPr>
            <w:tcW w:w="135" w:type="dxa"/>
            <w:tcBorders/>
            <w:shd w:fill="FFFFFF"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144" w:right="0" w:hanging="144"/>
              <w:rPr>
                <w:color w:val="000000"/>
              </w:rPr>
            </w:pPr>
            <w:r>
              <w:rPr>
                <w:color w:val="000000"/>
              </w:rPr>
              <w:t>Impaired loans with an allocated allowance for loan losses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5540" w:type="dxa"/>
            <w:tcBorders/>
            <w:shd w:fill="FFFFFF" w:val="clear"/>
            <w:vAlign w:val="bottom"/>
          </w:tcPr>
          <w:p>
            <w:pPr>
              <w:pStyle w:val="TableContents"/>
              <w:spacing w:before="0" w:after="0"/>
              <w:ind w:left="324" w:right="0" w:hanging="144"/>
              <w:rPr>
                <w:color w:val="000000"/>
              </w:rPr>
            </w:pPr>
            <w:r>
              <w:rPr>
                <w:color w:val="000000"/>
              </w:rPr>
              <w:t>TDR - allowance based on collateral</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1,611</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rPr/>
            </w:pPr>
            <w:r>
              <w:rPr/>
              <w:t> </w:t>
            </w:r>
          </w:p>
        </w:tc>
        <w:tc>
          <w:tcPr>
            <w:tcW w:w="1124" w:type="dxa"/>
            <w:tcBorders/>
            <w:shd w:fill="FFFFFF" w:val="clear"/>
            <w:vAlign w:val="bottom"/>
          </w:tcPr>
          <w:p>
            <w:pPr>
              <w:pStyle w:val="TableContents"/>
              <w:spacing w:before="0" w:after="0"/>
              <w:jc w:val="right"/>
              <w:rPr/>
            </w:pPr>
            <w:r>
              <w:rPr/>
              <w:t>2,787</w:t>
            </w:r>
          </w:p>
        </w:tc>
        <w:tc>
          <w:tcPr>
            <w:tcW w:w="135" w:type="dxa"/>
            <w:tcBorders/>
            <w:shd w:fill="FFFFFF"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324" w:right="0" w:hanging="144"/>
              <w:rPr>
                <w:color w:val="000000"/>
              </w:rPr>
            </w:pPr>
            <w:r>
              <w:rPr>
                <w:color w:val="000000"/>
              </w:rPr>
              <w:t>TDR - allowance based on present value cash flow</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50,262</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0"/>
              <w:jc w:val="right"/>
              <w:rPr/>
            </w:pPr>
            <w:r>
              <w:rPr/>
              <w:t>53,258</w:t>
            </w:r>
          </w:p>
        </w:tc>
        <w:tc>
          <w:tcPr>
            <w:tcW w:w="135" w:type="dxa"/>
            <w:tcBorders/>
            <w:shd w:fill="CCEEFF" w:val="clear"/>
            <w:vAlign w:val="bottom"/>
          </w:tcPr>
          <w:p>
            <w:pPr>
              <w:pStyle w:val="TableContents"/>
              <w:spacing w:before="0" w:after="283"/>
              <w:rPr/>
            </w:pPr>
            <w:r>
              <w:rPr/>
              <w:t> </w:t>
            </w:r>
          </w:p>
        </w:tc>
      </w:tr>
      <w:tr>
        <w:trPr/>
        <w:tc>
          <w:tcPr>
            <w:tcW w:w="5540" w:type="dxa"/>
            <w:tcBorders/>
            <w:shd w:fill="FFFFFF" w:val="clear"/>
            <w:vAlign w:val="bottom"/>
          </w:tcPr>
          <w:p>
            <w:pPr>
              <w:pStyle w:val="TableContents"/>
              <w:spacing w:before="0" w:after="0"/>
              <w:ind w:left="324" w:right="0" w:hanging="144"/>
              <w:rPr>
                <w:color w:val="000000"/>
              </w:rPr>
            </w:pPr>
            <w:r>
              <w:rPr>
                <w:color w:val="000000"/>
              </w:rPr>
              <w:t>Non - TDR - allowance based on collateral</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2,536</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23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24" w:type="dxa"/>
            <w:tcBorders>
              <w:bottom w:val="single" w:sz="12" w:space="0" w:color="000000"/>
            </w:tcBorders>
            <w:shd w:fill="FFFFFF" w:val="clear"/>
            <w:tcMar>
              <w:bottom w:w="28" w:type="dxa"/>
            </w:tcMar>
            <w:vAlign w:val="bottom"/>
          </w:tcPr>
          <w:p>
            <w:pPr>
              <w:pStyle w:val="TableContents"/>
              <w:spacing w:before="0" w:after="0"/>
              <w:jc w:val="right"/>
              <w:rPr/>
            </w:pPr>
            <w:r>
              <w:rPr/>
              <w:t>2,145</w:t>
            </w:r>
          </w:p>
        </w:tc>
        <w:tc>
          <w:tcPr>
            <w:tcW w:w="135" w:type="dxa"/>
            <w:tcBorders/>
            <w:shd w:fill="FFFFFF"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504" w:right="0" w:hanging="144"/>
              <w:rPr>
                <w:color w:val="000000"/>
              </w:rPr>
            </w:pPr>
            <w:r>
              <w:rPr>
                <w:color w:val="000000"/>
              </w:rPr>
              <w:t>Total impaired loans</w:t>
            </w:r>
          </w:p>
        </w:tc>
        <w:tc>
          <w:tcPr>
            <w:tcW w:w="12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55,175</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1" w:type="dxa"/>
            <w:tcBorders>
              <w:bottom w:val="double" w:sz="8" w:space="0" w:color="000000"/>
            </w:tcBorders>
            <w:shd w:fill="CCEEFF" w:val="clear"/>
            <w:tcMar>
              <w:bottom w:w="28" w:type="dxa"/>
            </w:tcMar>
            <w:vAlign w:val="bottom"/>
          </w:tcPr>
          <w:p>
            <w:pPr>
              <w:pStyle w:val="TableContents"/>
              <w:spacing w:before="0" w:after="0"/>
              <w:rPr/>
            </w:pPr>
            <w:r>
              <w:rPr/>
              <w:t>$</w:t>
            </w:r>
          </w:p>
        </w:tc>
        <w:tc>
          <w:tcPr>
            <w:tcW w:w="1124" w:type="dxa"/>
            <w:tcBorders>
              <w:bottom w:val="double" w:sz="8" w:space="0" w:color="000000"/>
            </w:tcBorders>
            <w:shd w:fill="CCEEFF" w:val="clear"/>
            <w:tcMar>
              <w:bottom w:w="28" w:type="dxa"/>
            </w:tcMar>
            <w:vAlign w:val="bottom"/>
          </w:tcPr>
          <w:p>
            <w:pPr>
              <w:pStyle w:val="TableContents"/>
              <w:spacing w:before="0" w:after="0"/>
              <w:jc w:val="right"/>
              <w:rPr/>
            </w:pPr>
            <w:r>
              <w:rPr/>
              <w:t>58,190</w:t>
            </w:r>
          </w:p>
        </w:tc>
        <w:tc>
          <w:tcPr>
            <w:tcW w:w="135" w:type="dxa"/>
            <w:tcBorders/>
            <w:shd w:fill="CCEEFF" w:val="clear"/>
            <w:vAlign w:val="bottom"/>
          </w:tcPr>
          <w:p>
            <w:pPr>
              <w:pStyle w:val="TableContents"/>
              <w:spacing w:before="0" w:after="283"/>
              <w:rPr/>
            </w:pPr>
            <w:r>
              <w:rPr/>
              <w:t> </w:t>
            </w:r>
          </w:p>
        </w:tc>
      </w:tr>
      <w:tr>
        <w:trPr/>
        <w:tc>
          <w:tcPr>
            <w:tcW w:w="554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rPr/>
            </w:pPr>
            <w:r>
              <w:rPr/>
              <w:t> </w:t>
            </w:r>
          </w:p>
        </w:tc>
        <w:tc>
          <w:tcPr>
            <w:tcW w:w="1124"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144" w:right="0" w:hanging="144"/>
              <w:rPr/>
            </w:pPr>
            <w:r>
              <w:rPr/>
              <w:t>Amount of allowance for loan losses allocated</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rPr/>
            </w:pPr>
            <w:r>
              <w:rPr/>
              <w:t> </w:t>
            </w:r>
          </w:p>
        </w:tc>
      </w:tr>
      <w:tr>
        <w:trPr/>
        <w:tc>
          <w:tcPr>
            <w:tcW w:w="5540" w:type="dxa"/>
            <w:tcBorders/>
            <w:shd w:fill="FFFFFF" w:val="clear"/>
            <w:vAlign w:val="bottom"/>
          </w:tcPr>
          <w:p>
            <w:pPr>
              <w:pStyle w:val="TableContents"/>
              <w:spacing w:before="0" w:after="0"/>
              <w:ind w:left="324" w:right="0" w:hanging="144"/>
              <w:rPr/>
            </w:pPr>
            <w:r>
              <w:rPr/>
              <w:t>TDR - allowance based on collateral</w:t>
            </w:r>
          </w:p>
        </w:tc>
        <w:tc>
          <w:tcPr>
            <w:tcW w:w="12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680" w:type="dxa"/>
            <w:tcBorders/>
            <w:shd w:fill="FFFFFF" w:val="clear"/>
            <w:vAlign w:val="bottom"/>
          </w:tcPr>
          <w:p>
            <w:pPr>
              <w:pStyle w:val="TableContents"/>
              <w:spacing w:before="0" w:after="0"/>
              <w:jc w:val="right"/>
              <w:rPr/>
            </w:pPr>
            <w:r>
              <w:rPr/>
              <w:t>272</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0"/>
              <w:rPr/>
            </w:pPr>
            <w:r>
              <w:rPr/>
              <w:t>$</w:t>
            </w:r>
          </w:p>
        </w:tc>
        <w:tc>
          <w:tcPr>
            <w:tcW w:w="1124" w:type="dxa"/>
            <w:tcBorders/>
            <w:shd w:fill="FFFFFF" w:val="clear"/>
            <w:vAlign w:val="bottom"/>
          </w:tcPr>
          <w:p>
            <w:pPr>
              <w:pStyle w:val="TableContents"/>
              <w:spacing w:before="0" w:after="0"/>
              <w:jc w:val="right"/>
              <w:rPr/>
            </w:pPr>
            <w:r>
              <w:rPr/>
              <w:t>769</w:t>
            </w:r>
          </w:p>
        </w:tc>
        <w:tc>
          <w:tcPr>
            <w:tcW w:w="135" w:type="dxa"/>
            <w:tcBorders/>
            <w:shd w:fill="FFFFFF"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324" w:right="0" w:hanging="144"/>
              <w:rPr>
                <w:color w:val="000000"/>
              </w:rPr>
            </w:pPr>
            <w:r>
              <w:rPr>
                <w:color w:val="000000"/>
              </w:rPr>
              <w:t>TDR - allowance based on present value cash flow</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4,874</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0"/>
              <w:jc w:val="right"/>
              <w:rPr/>
            </w:pPr>
            <w:r>
              <w:rPr/>
              <w:t>4,849</w:t>
            </w:r>
          </w:p>
        </w:tc>
        <w:tc>
          <w:tcPr>
            <w:tcW w:w="135" w:type="dxa"/>
            <w:tcBorders/>
            <w:shd w:fill="CCEEFF" w:val="clear"/>
            <w:vAlign w:val="bottom"/>
          </w:tcPr>
          <w:p>
            <w:pPr>
              <w:pStyle w:val="TableContents"/>
              <w:spacing w:before="0" w:after="283"/>
              <w:rPr/>
            </w:pPr>
            <w:r>
              <w:rPr/>
              <w:t> </w:t>
            </w:r>
          </w:p>
        </w:tc>
      </w:tr>
      <w:tr>
        <w:trPr/>
        <w:tc>
          <w:tcPr>
            <w:tcW w:w="5540" w:type="dxa"/>
            <w:tcBorders/>
            <w:shd w:fill="FFFFFF" w:val="clear"/>
            <w:vAlign w:val="bottom"/>
          </w:tcPr>
          <w:p>
            <w:pPr>
              <w:pStyle w:val="TableContents"/>
              <w:spacing w:before="0" w:after="0"/>
              <w:ind w:left="324" w:right="0" w:hanging="144"/>
              <w:rPr>
                <w:color w:val="000000"/>
              </w:rPr>
            </w:pPr>
            <w:r>
              <w:rPr>
                <w:color w:val="000000"/>
              </w:rPr>
              <w:t>Non - TDR - allowance based on collateral</w:t>
            </w:r>
          </w:p>
        </w:tc>
        <w:tc>
          <w:tcPr>
            <w:tcW w:w="12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881</w:t>
            </w:r>
          </w:p>
        </w:tc>
        <w:tc>
          <w:tcPr>
            <w:tcW w:w="120" w:type="dxa"/>
            <w:tcBorders/>
            <w:shd w:fill="FFFFFF" w:val="clear"/>
            <w:vAlign w:val="bottom"/>
          </w:tcPr>
          <w:p>
            <w:pPr>
              <w:pStyle w:val="TableContents"/>
              <w:spacing w:before="0" w:after="283"/>
              <w:rPr/>
            </w:pPr>
            <w:r>
              <w:rPr/>
              <w:t> </w:t>
            </w:r>
          </w:p>
        </w:tc>
        <w:tc>
          <w:tcPr>
            <w:tcW w:w="120" w:type="dxa"/>
            <w:tcBorders/>
            <w:shd w:fill="FFFFFF" w:val="clear"/>
            <w:vAlign w:val="bottom"/>
          </w:tcPr>
          <w:p>
            <w:pPr>
              <w:pStyle w:val="TableContents"/>
              <w:spacing w:before="0" w:after="283"/>
              <w:rPr/>
            </w:pPr>
            <w:r>
              <w:rPr/>
              <w:t> </w:t>
            </w:r>
          </w:p>
        </w:tc>
        <w:tc>
          <w:tcPr>
            <w:tcW w:w="23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24" w:type="dxa"/>
            <w:tcBorders>
              <w:bottom w:val="single" w:sz="12" w:space="0" w:color="000000"/>
            </w:tcBorders>
            <w:shd w:fill="FFFFFF" w:val="clear"/>
            <w:tcMar>
              <w:bottom w:w="28" w:type="dxa"/>
            </w:tcMar>
            <w:vAlign w:val="bottom"/>
          </w:tcPr>
          <w:p>
            <w:pPr>
              <w:pStyle w:val="TableContents"/>
              <w:spacing w:before="0" w:after="0"/>
              <w:jc w:val="right"/>
              <w:rPr/>
            </w:pPr>
            <w:r>
              <w:rPr/>
              <w:t>692</w:t>
            </w:r>
          </w:p>
        </w:tc>
        <w:tc>
          <w:tcPr>
            <w:tcW w:w="135" w:type="dxa"/>
            <w:tcBorders/>
            <w:shd w:fill="FFFFFF" w:val="clear"/>
            <w:vAlign w:val="bottom"/>
          </w:tcPr>
          <w:p>
            <w:pPr>
              <w:pStyle w:val="TableContents"/>
              <w:spacing w:before="0" w:after="283"/>
              <w:rPr/>
            </w:pPr>
            <w:r>
              <w:rPr/>
              <w:t> </w:t>
            </w:r>
          </w:p>
        </w:tc>
      </w:tr>
      <w:tr>
        <w:trPr/>
        <w:tc>
          <w:tcPr>
            <w:tcW w:w="5540" w:type="dxa"/>
            <w:tcBorders/>
            <w:shd w:fill="CCEEFF" w:val="clear"/>
            <w:vAlign w:val="bottom"/>
          </w:tcPr>
          <w:p>
            <w:pPr>
              <w:pStyle w:val="TableContents"/>
              <w:spacing w:before="0" w:after="0"/>
              <w:ind w:left="504" w:right="0" w:hanging="144"/>
              <w:rPr/>
            </w:pPr>
            <w:r>
              <w:rPr/>
              <w:t>Total amount of allowance for loan losses allocated</w:t>
            </w:r>
          </w:p>
        </w:tc>
        <w:tc>
          <w:tcPr>
            <w:tcW w:w="12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6,027</w:t>
            </w:r>
          </w:p>
        </w:tc>
        <w:tc>
          <w:tcPr>
            <w:tcW w:w="12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31" w:type="dxa"/>
            <w:tcBorders>
              <w:bottom w:val="double" w:sz="8" w:space="0" w:color="000000"/>
            </w:tcBorders>
            <w:shd w:fill="CCEEFF" w:val="clear"/>
            <w:tcMar>
              <w:bottom w:w="28" w:type="dxa"/>
            </w:tcMar>
            <w:vAlign w:val="bottom"/>
          </w:tcPr>
          <w:p>
            <w:pPr>
              <w:pStyle w:val="TableContents"/>
              <w:spacing w:before="0" w:after="0"/>
              <w:rPr/>
            </w:pPr>
            <w:r>
              <w:rPr/>
              <w:t>$</w:t>
            </w:r>
          </w:p>
        </w:tc>
        <w:tc>
          <w:tcPr>
            <w:tcW w:w="1124" w:type="dxa"/>
            <w:tcBorders>
              <w:bottom w:val="double" w:sz="8" w:space="0" w:color="000000"/>
            </w:tcBorders>
            <w:shd w:fill="CCEEFF" w:val="clear"/>
            <w:tcMar>
              <w:bottom w:w="28" w:type="dxa"/>
            </w:tcMar>
            <w:vAlign w:val="bottom"/>
          </w:tcPr>
          <w:p>
            <w:pPr>
              <w:pStyle w:val="TableContents"/>
              <w:spacing w:before="0" w:after="0"/>
              <w:jc w:val="right"/>
              <w:rPr/>
            </w:pPr>
            <w:r>
              <w:rPr/>
              <w:t>6,310</w:t>
            </w:r>
          </w:p>
        </w:tc>
        <w:tc>
          <w:tcPr>
            <w:tcW w:w="135" w:type="dxa"/>
            <w:tcBorders/>
            <w:shd w:fill="CCEE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6" w:name="DSPFPageBreakArea19"/>
      <w:bookmarkStart w:id="217" w:name="DSPFPageBreakArea19"/>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18" w:name="DSPFPageNumber19"/>
      <w:bookmarkStart w:id="219" w:name="DSPFPageNumberArea18"/>
      <w:bookmarkEnd w:id="218"/>
      <w:bookmarkEnd w:id="219"/>
      <w:r>
        <w:rPr>
          <w:b w:val="false"/>
          <w:i w:val="false"/>
          <w:caps w:val="false"/>
          <w:smallCaps w:val="false"/>
          <w:sz w:val="13"/>
        </w:rPr>
        <w:t>20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0" w:name="DSPFPageBreak19"/>
      <w:bookmarkStart w:id="221" w:name="DSPFPageBreak19"/>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22" w:name="DSPFPageHeader18"/>
        <w:bookmarkEnd w:id="222"/>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pPr>
      <w:r>
        <w:rPr/>
        <w:t>Impaired loans by class are as follows:</w:t>
      </w:r>
    </w:p>
    <w:p>
      <w:pPr>
        <w:pStyle w:val="TextBody"/>
        <w:spacing w:before="0" w:after="0"/>
        <w:rPr/>
      </w:pPr>
      <w:r>
        <w:rPr/>
      </w:r>
    </w:p>
    <w:p>
      <w:pPr>
        <w:pStyle w:val="Normal"/>
        <w:spacing w:before="0" w:after="0"/>
        <w:rPr>
          <w:sz w:val="4"/>
          <w:szCs w:val="4"/>
        </w:rPr>
      </w:pPr>
      <w:r>
        <w:rPr>
          <w:sz w:val="4"/>
          <w:szCs w:val="4"/>
        </w:rPr>
      </w:r>
      <w:bookmarkStart w:id="223" w:name="zc3bd15db602e43659afc2da862858bf0"/>
      <w:bookmarkStart w:id="224" w:name="zc3bd15db602e43659afc2da862858bf0"/>
      <w:bookmarkEnd w:id="224"/>
    </w:p>
    <w:tbl>
      <w:tblPr>
        <w:tblW w:w="11885" w:type="dxa"/>
        <w:jc w:val="left"/>
        <w:tblInd w:w="0" w:type="dxa"/>
        <w:tblCellMar>
          <w:top w:w="0" w:type="dxa"/>
          <w:left w:w="0" w:type="dxa"/>
          <w:bottom w:w="0" w:type="dxa"/>
          <w:right w:w="0" w:type="dxa"/>
        </w:tblCellMar>
      </w:tblPr>
      <w:tblGrid>
        <w:gridCol w:w="5210"/>
        <w:gridCol w:w="60"/>
        <w:gridCol w:w="180"/>
        <w:gridCol w:w="875"/>
        <w:gridCol w:w="60"/>
        <w:gridCol w:w="60"/>
        <w:gridCol w:w="146"/>
        <w:gridCol w:w="714"/>
        <w:gridCol w:w="60"/>
        <w:gridCol w:w="60"/>
        <w:gridCol w:w="211"/>
        <w:gridCol w:w="844"/>
        <w:gridCol w:w="60"/>
        <w:gridCol w:w="60"/>
        <w:gridCol w:w="180"/>
        <w:gridCol w:w="875"/>
        <w:gridCol w:w="60"/>
        <w:gridCol w:w="60"/>
        <w:gridCol w:w="146"/>
        <w:gridCol w:w="714"/>
        <w:gridCol w:w="60"/>
        <w:gridCol w:w="60"/>
        <w:gridCol w:w="211"/>
        <w:gridCol w:w="844"/>
        <w:gridCol w:w="75"/>
      </w:tblGrid>
      <w:tr>
        <w:trPr/>
        <w:tc>
          <w:tcPr>
            <w:tcW w:w="5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10" w:type="dxa"/>
            <w:gridSpan w:val="10"/>
            <w:tcBorders>
              <w:bottom w:val="single" w:sz="12" w:space="0" w:color="000000"/>
            </w:tcBorders>
            <w:shd w:fill="auto" w:val="clear"/>
            <w:tcMar>
              <w:bottom w:w="28" w:type="dxa"/>
            </w:tcMar>
            <w:vAlign w:val="bottom"/>
          </w:tcPr>
          <w:p>
            <w:pPr>
              <w:pStyle w:val="TableContents"/>
              <w:spacing w:before="0" w:after="0"/>
              <w:jc w:val="center"/>
              <w:rPr/>
            </w:pPr>
            <w:r>
              <w:rPr/>
              <w:t>June 30, 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10" w:type="dxa"/>
            <w:gridSpan w:val="10"/>
            <w:tcBorders>
              <w:bottom w:val="single" w:sz="12" w:space="0" w:color="000000"/>
            </w:tcBorders>
            <w:shd w:fill="auto" w:val="clear"/>
            <w:tcMar>
              <w:bottom w:w="28" w:type="dxa"/>
            </w:tcMar>
            <w:vAlign w:val="bottom"/>
          </w:tcPr>
          <w:p>
            <w:pPr>
              <w:pStyle w:val="TableContents"/>
              <w:spacing w:before="0" w:after="0"/>
              <w:jc w:val="center"/>
              <w:rPr/>
            </w:pPr>
            <w:r>
              <w:rPr/>
              <w:t>December 31, 2018</w:t>
            </w:r>
          </w:p>
        </w:tc>
        <w:tc>
          <w:tcPr>
            <w:tcW w:w="75"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Recorded</w:t>
            </w:r>
          </w:p>
          <w:p>
            <w:pPr>
              <w:pStyle w:val="TableContents"/>
              <w:spacing w:before="0" w:after="0"/>
              <w:jc w:val="center"/>
              <w:rPr/>
            </w:pPr>
            <w:r>
              <w:rPr/>
              <w:t>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pPr>
            <w:r>
              <w:rPr/>
              <w:t>Unpaid</w:t>
            </w:r>
          </w:p>
          <w:p>
            <w:pPr>
              <w:pStyle w:val="TableContents"/>
              <w:spacing w:before="0" w:after="0"/>
              <w:jc w:val="center"/>
              <w:rPr/>
            </w:pPr>
            <w:r>
              <w:rPr/>
              <w:t>Principal</w:t>
            </w:r>
          </w:p>
          <w:p>
            <w:pPr>
              <w:pStyle w:val="TableContents"/>
              <w:spacing w:before="0" w:after="0"/>
              <w:jc w:val="center"/>
              <w:rPr/>
            </w:pPr>
            <w:r>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Related</w:t>
            </w:r>
          </w:p>
          <w:p>
            <w:pPr>
              <w:pStyle w:val="TableContents"/>
              <w:spacing w:before="0" w:after="0"/>
              <w:jc w:val="center"/>
              <w:rPr/>
            </w:pPr>
            <w:r>
              <w:rPr/>
              <w:t>Allowance</w:t>
            </w:r>
          </w:p>
          <w:p>
            <w:pPr>
              <w:pStyle w:val="TableContents"/>
              <w:spacing w:before="0" w:after="0"/>
              <w:jc w:val="center"/>
              <w:rPr/>
            </w:pPr>
            <w:r>
              <w:rPr/>
              <w:t>For Loan</w:t>
            </w:r>
          </w:p>
          <w:p>
            <w:pPr>
              <w:pStyle w:val="TableContents"/>
              <w:spacing w:before="0" w:after="0"/>
              <w:jc w:val="center"/>
              <w:rPr/>
            </w:pPr>
            <w:r>
              <w:rPr/>
              <w:t>Losses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Recorded</w:t>
            </w:r>
          </w:p>
          <w:p>
            <w:pPr>
              <w:pStyle w:val="TableContents"/>
              <w:spacing w:before="0" w:after="0"/>
              <w:jc w:val="center"/>
              <w:rPr/>
            </w:pPr>
            <w:r>
              <w:rPr/>
              <w:t>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pPr>
            <w:r>
              <w:rPr/>
              <w:t>Unpaid</w:t>
            </w:r>
          </w:p>
          <w:p>
            <w:pPr>
              <w:pStyle w:val="TableContents"/>
              <w:spacing w:before="0" w:after="0"/>
              <w:jc w:val="center"/>
              <w:rPr/>
            </w:pPr>
            <w:r>
              <w:rPr/>
              <w:t>Principal</w:t>
            </w:r>
          </w:p>
          <w:p>
            <w:pPr>
              <w:pStyle w:val="TableContents"/>
              <w:spacing w:before="0" w:after="0"/>
              <w:jc w:val="center"/>
              <w:rPr/>
            </w:pPr>
            <w:r>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Related</w:t>
            </w:r>
          </w:p>
          <w:p>
            <w:pPr>
              <w:pStyle w:val="TableContents"/>
              <w:spacing w:before="0" w:after="0"/>
              <w:jc w:val="center"/>
              <w:rPr/>
            </w:pPr>
            <w:r>
              <w:rPr/>
              <w:t>Allowance</w:t>
            </w:r>
          </w:p>
          <w:p>
            <w:pPr>
              <w:pStyle w:val="TableContents"/>
              <w:spacing w:before="0" w:after="0"/>
              <w:jc w:val="center"/>
              <w:rPr/>
            </w:pPr>
            <w:r>
              <w:rPr/>
              <w:t>For Loan</w:t>
            </w:r>
          </w:p>
          <w:p>
            <w:pPr>
              <w:pStyle w:val="TableContents"/>
              <w:spacing w:before="0" w:after="0"/>
              <w:jc w:val="center"/>
              <w:rPr/>
            </w:pPr>
            <w:r>
              <w:rPr/>
              <w:t>Losses</w:t>
            </w:r>
          </w:p>
        </w:tc>
        <w:tc>
          <w:tcPr>
            <w:tcW w:w="75"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0"/>
              <w:ind w:left="144" w:right="0" w:hanging="144"/>
              <w:rPr>
                <w:b/>
              </w:rPr>
            </w:pPr>
            <w:r>
              <w:rPr>
                <w:b/>
              </w:rPr>
              <w:t>With no related allowance for loan losses recorded:</w:t>
            </w:r>
          </w:p>
        </w:tc>
        <w:tc>
          <w:tcPr>
            <w:tcW w:w="60" w:type="dxa"/>
            <w:tcBorders/>
            <w:shd w:fill="auto" w:val="clear"/>
            <w:vAlign w:val="bottom"/>
          </w:tcPr>
          <w:p>
            <w:pPr>
              <w:pStyle w:val="TableContents"/>
              <w:spacing w:before="0" w:after="283"/>
              <w:rPr/>
            </w:pPr>
            <w:r>
              <w:rPr/>
              <w:t> </w:t>
            </w:r>
          </w:p>
        </w:tc>
        <w:tc>
          <w:tcPr>
            <w:tcW w:w="5365" w:type="dxa"/>
            <w:gridSpan w:val="18"/>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0"/>
              <w:ind w:left="324" w:right="0" w:hanging="144"/>
              <w:rPr/>
            </w:pPr>
            <w:r>
              <w:rPr/>
              <w:t>Commercial</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0"/>
              <w:rPr/>
            </w:pPr>
            <w:r>
              <w:rPr/>
              <w:t>$</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0"/>
              <w:rPr/>
            </w:pPr>
            <w:r>
              <w:rPr/>
              <w:t>$</w:t>
            </w:r>
          </w:p>
        </w:tc>
        <w:tc>
          <w:tcPr>
            <w:tcW w:w="71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rPr/>
            </w:pPr>
            <w:r>
              <w:rPr/>
              <w:t>$</w:t>
            </w:r>
          </w:p>
        </w:tc>
        <w:tc>
          <w:tcPr>
            <w:tcW w:w="84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0"/>
              <w:rPr/>
            </w:pPr>
            <w:r>
              <w:rPr/>
              <w:t>$</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0"/>
              <w:rPr/>
            </w:pPr>
            <w:r>
              <w:rPr/>
              <w:t>$</w:t>
            </w:r>
          </w:p>
        </w:tc>
        <w:tc>
          <w:tcPr>
            <w:tcW w:w="71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rPr/>
            </w:pPr>
            <w:r>
              <w:rPr/>
              <w:t>$</w:t>
            </w:r>
          </w:p>
        </w:tc>
        <w:tc>
          <w:tcPr>
            <w:tcW w:w="8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613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800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474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122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4" w:type="dxa"/>
            <w:tcBorders>
              <w:bottom w:val="single" w:sz="12" w:space="0" w:color="000000"/>
            </w:tcBorders>
            <w:shd w:fill="FFFFFF" w:val="clear"/>
            <w:tcMar>
              <w:bottom w:w="28" w:type="dxa"/>
            </w:tcMar>
            <w:vAlign w:val="bottom"/>
          </w:tcPr>
          <w:p>
            <w:pPr>
              <w:pStyle w:val="TableContents"/>
              <w:spacing w:before="0" w:after="0"/>
              <w:jc w:val="right"/>
              <w:rPr/>
            </w:pPr>
            <w:r>
              <w:rPr/>
              <w:t>15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44"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4" w:type="dxa"/>
            <w:tcBorders>
              <w:bottom w:val="single" w:sz="12" w:space="0" w:color="000000"/>
            </w:tcBorders>
            <w:shd w:fill="FFFFFF" w:val="clear"/>
            <w:tcMar>
              <w:bottom w:w="28" w:type="dxa"/>
            </w:tcMar>
            <w:vAlign w:val="bottom"/>
          </w:tcPr>
          <w:p>
            <w:pPr>
              <w:pStyle w:val="TableContents"/>
              <w:spacing w:before="0" w:after="0"/>
              <w:jc w:val="right"/>
              <w:rPr/>
            </w:pPr>
            <w:r>
              <w:rPr/>
              <w:t>15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44"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613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pPr>
            <w:r>
              <w:rPr/>
              <w:t>836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pPr>
            <w:r>
              <w:rPr/>
              <w:t>616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144" w:right="0" w:hanging="144"/>
              <w:rPr>
                <w:b/>
              </w:rPr>
            </w:pPr>
            <w:r>
              <w:rPr>
                <w:b/>
              </w:rPr>
              <w:t>With an allowance for loan losses recorded:</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Commercial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Income producing - real estate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0"/>
              <w:rPr/>
            </w:pPr>
            <w:r>
              <w:rPr/>
              <w:t>$</w:t>
            </w:r>
          </w:p>
        </w:tc>
        <w:tc>
          <w:tcPr>
            <w:tcW w:w="875" w:type="dxa"/>
            <w:tcBorders/>
            <w:shd w:fill="FFFFFF" w:val="clear"/>
            <w:vAlign w:val="bottom"/>
          </w:tcPr>
          <w:p>
            <w:pPr>
              <w:pStyle w:val="TableContents"/>
              <w:spacing w:before="0" w:after="0"/>
              <w:jc w:val="right"/>
              <w:rPr/>
            </w:pPr>
            <w:r>
              <w:rPr/>
              <w:t>5,874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0"/>
              <w:rPr/>
            </w:pPr>
            <w:r>
              <w:rPr/>
              <w:t>$</w:t>
            </w:r>
          </w:p>
        </w:tc>
        <w:tc>
          <w:tcPr>
            <w:tcW w:w="714" w:type="dxa"/>
            <w:tcBorders/>
            <w:shd w:fill="FFFFFF" w:val="clear"/>
            <w:vAlign w:val="bottom"/>
          </w:tcPr>
          <w:p>
            <w:pPr>
              <w:pStyle w:val="TableContents"/>
              <w:spacing w:before="0" w:after="0"/>
              <w:jc w:val="right"/>
              <w:rPr/>
            </w:pPr>
            <w:r>
              <w:rPr/>
              <w:t>5,863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518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4,770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4,758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303</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Land, land development &amp; construction-real estate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290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288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290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289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35</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Commercial and industrial</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1,918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2,184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498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3,637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3,735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967</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Mortgage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1-4 family</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30,411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32,568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3,171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32,842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34,427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2,859</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Resort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12,392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12,704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1,397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13,328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13,354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1,927</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125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187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65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64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4</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554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564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121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155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9</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Installment</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1,264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1,440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1,440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1,524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89</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1,434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1,442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100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1,471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1,491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92</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Boat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Recreational vehicle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51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51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79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79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4</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Other</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477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pPr>
            <w:r>
              <w:rPr/>
              <w:t>553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73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379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pPr>
            <w:r>
              <w:rPr/>
              <w:t>406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0"/>
              <w:jc w:val="right"/>
              <w:rPr/>
            </w:pPr>
            <w:r>
              <w:rPr/>
              <w:t>21</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54,822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4" w:type="dxa"/>
            <w:tcBorders>
              <w:bottom w:val="single" w:sz="12" w:space="0" w:color="000000"/>
            </w:tcBorders>
            <w:shd w:fill="FFFFFF" w:val="clear"/>
            <w:tcMar>
              <w:bottom w:w="28" w:type="dxa"/>
            </w:tcMar>
            <w:vAlign w:val="bottom"/>
          </w:tcPr>
          <w:p>
            <w:pPr>
              <w:pStyle w:val="TableContents"/>
              <w:spacing w:before="0" w:after="0"/>
              <w:jc w:val="right"/>
              <w:rPr/>
            </w:pPr>
            <w:r>
              <w:rPr/>
              <w:t>57,892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44" w:type="dxa"/>
            <w:tcBorders>
              <w:bottom w:val="single" w:sz="12" w:space="0" w:color="000000"/>
            </w:tcBorders>
            <w:shd w:fill="FFFFFF" w:val="clear"/>
            <w:tcMar>
              <w:bottom w:w="28" w:type="dxa"/>
            </w:tcMar>
            <w:vAlign w:val="bottom"/>
          </w:tcPr>
          <w:p>
            <w:pPr>
              <w:pStyle w:val="TableContents"/>
              <w:spacing w:before="0" w:after="0"/>
              <w:jc w:val="right"/>
              <w:rPr/>
            </w:pPr>
            <w:r>
              <w:rPr/>
              <w:t>6,027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58,457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4" w:type="dxa"/>
            <w:tcBorders>
              <w:bottom w:val="single" w:sz="12" w:space="0" w:color="000000"/>
            </w:tcBorders>
            <w:shd w:fill="FFFFFF" w:val="clear"/>
            <w:tcMar>
              <w:bottom w:w="28" w:type="dxa"/>
            </w:tcMar>
            <w:vAlign w:val="bottom"/>
          </w:tcPr>
          <w:p>
            <w:pPr>
              <w:pStyle w:val="TableContents"/>
              <w:spacing w:before="0" w:after="0"/>
              <w:jc w:val="right"/>
              <w:rPr/>
            </w:pPr>
            <w:r>
              <w:rPr/>
              <w:t>60,282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44" w:type="dxa"/>
            <w:tcBorders>
              <w:bottom w:val="single" w:sz="12" w:space="0" w:color="000000"/>
            </w:tcBorders>
            <w:shd w:fill="FFFFFF" w:val="clear"/>
            <w:tcMar>
              <w:bottom w:w="28" w:type="dxa"/>
            </w:tcMar>
            <w:vAlign w:val="bottom"/>
          </w:tcPr>
          <w:p>
            <w:pPr>
              <w:pStyle w:val="TableContents"/>
              <w:spacing w:before="0" w:after="0"/>
              <w:jc w:val="right"/>
              <w:rPr/>
            </w:pPr>
            <w:r>
              <w:rPr/>
              <w:t>6,310</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144" w:right="0" w:hanging="144"/>
              <w:rPr>
                <w:b/>
              </w:rPr>
            </w:pPr>
            <w:r>
              <w:rPr>
                <w:b/>
              </w:rPr>
              <w:t>Total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Commercial</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5,874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5,863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518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4,770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4,758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303</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290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288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31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290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289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35</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1,918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2,184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498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3,637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3,735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967</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31,024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33,368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3,171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32,845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34,901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2,859</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12,392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12,704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1,397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13,328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13,354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1,927</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187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65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4</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554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564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121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156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155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9</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1,264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1,440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77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1,441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1,646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89</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1,434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1,458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100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1,471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1,491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92</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32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53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11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0"/>
              <w:jc w:val="right"/>
              <w:rPr/>
            </w:pPr>
            <w:r>
              <w:rPr/>
              <w:t>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pPr>
            <w:r>
              <w:rPr/>
              <w:t>4</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477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4" w:type="dxa"/>
            <w:tcBorders>
              <w:bottom w:val="single" w:sz="12" w:space="0" w:color="000000"/>
            </w:tcBorders>
            <w:shd w:fill="FFFFFF" w:val="clear"/>
            <w:tcMar>
              <w:bottom w:w="28" w:type="dxa"/>
            </w:tcMar>
            <w:vAlign w:val="bottom"/>
          </w:tcPr>
          <w:p>
            <w:pPr>
              <w:pStyle w:val="TableContents"/>
              <w:spacing w:before="0" w:after="0"/>
              <w:jc w:val="right"/>
              <w:rPr/>
            </w:pPr>
            <w:r>
              <w:rPr/>
              <w:t>568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44" w:type="dxa"/>
            <w:tcBorders>
              <w:bottom w:val="single" w:sz="12" w:space="0" w:color="000000"/>
            </w:tcBorders>
            <w:shd w:fill="FFFFFF" w:val="clear"/>
            <w:tcMar>
              <w:bottom w:w="28" w:type="dxa"/>
            </w:tcMar>
            <w:vAlign w:val="bottom"/>
          </w:tcPr>
          <w:p>
            <w:pPr>
              <w:pStyle w:val="TableContents"/>
              <w:spacing w:before="0" w:after="0"/>
              <w:jc w:val="right"/>
              <w:rPr/>
            </w:pPr>
            <w:r>
              <w:rPr/>
              <w:t>73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379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14" w:type="dxa"/>
            <w:tcBorders>
              <w:bottom w:val="single" w:sz="12" w:space="0" w:color="000000"/>
            </w:tcBorders>
            <w:shd w:fill="FFFFFF" w:val="clear"/>
            <w:tcMar>
              <w:bottom w:w="28" w:type="dxa"/>
            </w:tcMar>
            <w:vAlign w:val="bottom"/>
          </w:tcPr>
          <w:p>
            <w:pPr>
              <w:pStyle w:val="TableContents"/>
              <w:spacing w:before="0" w:after="0"/>
              <w:jc w:val="right"/>
              <w:rPr/>
            </w:pPr>
            <w:r>
              <w:rPr/>
              <w:t>421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44" w:type="dxa"/>
            <w:tcBorders>
              <w:bottom w:val="single" w:sz="12" w:space="0" w:color="000000"/>
            </w:tcBorders>
            <w:shd w:fill="FFFFFF" w:val="clear"/>
            <w:tcMar>
              <w:bottom w:w="28" w:type="dxa"/>
            </w:tcMar>
            <w:vAlign w:val="bottom"/>
          </w:tcPr>
          <w:p>
            <w:pPr>
              <w:pStyle w:val="TableContents"/>
              <w:spacing w:before="0" w:after="0"/>
              <w:jc w:val="right"/>
              <w:rPr/>
            </w:pPr>
            <w:r>
              <w:rPr/>
              <w:t>21</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684" w:right="0" w:hanging="144"/>
              <w:rPr/>
            </w:pPr>
            <w:r>
              <w:rPr/>
              <w:t>Total</w:t>
            </w:r>
          </w:p>
        </w:tc>
        <w:tc>
          <w:tcPr>
            <w:tcW w:w="60" w:type="dxa"/>
            <w:tcBorders/>
            <w:shd w:fill="CCEEFF" w:val="clear"/>
            <w:vAlign w:val="bottom"/>
          </w:tcPr>
          <w:p>
            <w:pPr>
              <w:pStyle w:val="TableContents"/>
              <w:spacing w:before="0" w:after="283"/>
              <w:rPr/>
            </w:pPr>
            <w:r>
              <w:rPr/>
              <w:t> </w:t>
            </w:r>
          </w:p>
        </w:tc>
        <w:tc>
          <w:tcPr>
            <w:tcW w:w="180" w:type="dxa"/>
            <w:tcBorders>
              <w:bottom w:val="double" w:sz="8" w:space="0" w:color="000000"/>
            </w:tcBorders>
            <w:shd w:fill="CCEEFF" w:val="clear"/>
            <w:tcMar>
              <w:bottom w:w="28" w:type="dxa"/>
            </w:tcMar>
            <w:vAlign w:val="bottom"/>
          </w:tcPr>
          <w:p>
            <w:pPr>
              <w:pStyle w:val="TableContents"/>
              <w:spacing w:before="0" w:after="0"/>
              <w:rPr/>
            </w:pPr>
            <w:r>
              <w:rPr/>
              <w:t>$</w:t>
            </w:r>
          </w:p>
        </w:tc>
        <w:tc>
          <w:tcPr>
            <w:tcW w:w="875" w:type="dxa"/>
            <w:tcBorders>
              <w:bottom w:val="double" w:sz="8" w:space="0" w:color="000000"/>
            </w:tcBorders>
            <w:shd w:fill="CCEEFF" w:val="clear"/>
            <w:tcMar>
              <w:bottom w:w="28" w:type="dxa"/>
            </w:tcMar>
            <w:vAlign w:val="bottom"/>
          </w:tcPr>
          <w:p>
            <w:pPr>
              <w:pStyle w:val="TableContents"/>
              <w:spacing w:before="0" w:after="0"/>
              <w:jc w:val="right"/>
              <w:rPr/>
            </w:pPr>
            <w:r>
              <w:rPr/>
              <w:t>55,435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bottom w:val="double" w:sz="8" w:space="0" w:color="000000"/>
            </w:tcBorders>
            <w:shd w:fill="CCEEFF" w:val="clear"/>
            <w:tcMar>
              <w:bottom w:w="28" w:type="dxa"/>
            </w:tcMar>
            <w:vAlign w:val="bottom"/>
          </w:tcPr>
          <w:p>
            <w:pPr>
              <w:pStyle w:val="TableContents"/>
              <w:spacing w:before="0" w:after="0"/>
              <w:rPr/>
            </w:pPr>
            <w:r>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pPr>
            <w:r>
              <w:rPr/>
              <w:t>58,728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bottom w:val="double" w:sz="8" w:space="0" w:color="000000"/>
            </w:tcBorders>
            <w:shd w:fill="CCEEFF" w:val="clear"/>
            <w:tcMar>
              <w:bottom w:w="28" w:type="dxa"/>
            </w:tcMar>
            <w:vAlign w:val="bottom"/>
          </w:tcPr>
          <w:p>
            <w:pPr>
              <w:pStyle w:val="TableContents"/>
              <w:spacing w:before="0" w:after="0"/>
              <w:rPr/>
            </w:pPr>
            <w:r>
              <w:rPr/>
              <w:t>$</w:t>
            </w:r>
          </w:p>
        </w:tc>
        <w:tc>
          <w:tcPr>
            <w:tcW w:w="844" w:type="dxa"/>
            <w:tcBorders>
              <w:bottom w:val="double" w:sz="8" w:space="0" w:color="000000"/>
            </w:tcBorders>
            <w:shd w:fill="CCEEFF" w:val="clear"/>
            <w:tcMar>
              <w:bottom w:w="28" w:type="dxa"/>
            </w:tcMar>
            <w:vAlign w:val="bottom"/>
          </w:tcPr>
          <w:p>
            <w:pPr>
              <w:pStyle w:val="TableContents"/>
              <w:spacing w:before="0" w:after="0"/>
              <w:jc w:val="right"/>
              <w:rPr/>
            </w:pPr>
            <w:r>
              <w:rPr/>
              <w:t>6,027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double" w:sz="8" w:space="0" w:color="000000"/>
            </w:tcBorders>
            <w:shd w:fill="CCEEFF" w:val="clear"/>
            <w:tcMar>
              <w:bottom w:w="28" w:type="dxa"/>
            </w:tcMar>
            <w:vAlign w:val="bottom"/>
          </w:tcPr>
          <w:p>
            <w:pPr>
              <w:pStyle w:val="TableContents"/>
              <w:spacing w:before="0" w:after="0"/>
              <w:rPr/>
            </w:pPr>
            <w:r>
              <w:rPr/>
              <w:t>$</w:t>
            </w:r>
          </w:p>
        </w:tc>
        <w:tc>
          <w:tcPr>
            <w:tcW w:w="875" w:type="dxa"/>
            <w:tcBorders>
              <w:bottom w:val="double" w:sz="8" w:space="0" w:color="000000"/>
            </w:tcBorders>
            <w:shd w:fill="CCEEFF" w:val="clear"/>
            <w:tcMar>
              <w:bottom w:w="28" w:type="dxa"/>
            </w:tcMar>
            <w:vAlign w:val="bottom"/>
          </w:tcPr>
          <w:p>
            <w:pPr>
              <w:pStyle w:val="TableContents"/>
              <w:spacing w:before="0" w:after="0"/>
              <w:jc w:val="right"/>
              <w:rPr/>
            </w:pPr>
            <w:r>
              <w:rPr/>
              <w:t>58,461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bottom w:val="double" w:sz="8" w:space="0" w:color="000000"/>
            </w:tcBorders>
            <w:shd w:fill="CCEEFF" w:val="clear"/>
            <w:tcMar>
              <w:bottom w:w="28" w:type="dxa"/>
            </w:tcMar>
            <w:vAlign w:val="bottom"/>
          </w:tcPr>
          <w:p>
            <w:pPr>
              <w:pStyle w:val="TableContents"/>
              <w:spacing w:before="0" w:after="0"/>
              <w:rPr/>
            </w:pPr>
            <w:r>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pPr>
            <w:r>
              <w:rPr/>
              <w:t>60,898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bottom w:val="double" w:sz="8" w:space="0" w:color="000000"/>
            </w:tcBorders>
            <w:shd w:fill="CCEEFF" w:val="clear"/>
            <w:tcMar>
              <w:bottom w:w="28" w:type="dxa"/>
            </w:tcMar>
            <w:vAlign w:val="bottom"/>
          </w:tcPr>
          <w:p>
            <w:pPr>
              <w:pStyle w:val="TableContents"/>
              <w:spacing w:before="0" w:after="0"/>
              <w:rPr/>
            </w:pPr>
            <w:r>
              <w:rPr/>
              <w:t>$</w:t>
            </w:r>
          </w:p>
        </w:tc>
        <w:tc>
          <w:tcPr>
            <w:tcW w:w="844" w:type="dxa"/>
            <w:tcBorders>
              <w:bottom w:val="double" w:sz="8" w:space="0" w:color="000000"/>
            </w:tcBorders>
            <w:shd w:fill="CCEEFF" w:val="clear"/>
            <w:tcMar>
              <w:bottom w:w="28" w:type="dxa"/>
            </w:tcMar>
            <w:vAlign w:val="bottom"/>
          </w:tcPr>
          <w:p>
            <w:pPr>
              <w:pStyle w:val="TableContents"/>
              <w:spacing w:before="0" w:after="0"/>
              <w:jc w:val="right"/>
              <w:rPr/>
            </w:pPr>
            <w:r>
              <w:rPr/>
              <w:t>6,310</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144" w:right="0" w:hanging="144"/>
              <w:rPr/>
            </w:pPr>
            <w:r>
              <w:rPr/>
              <w:t>Accrued interest included in recorded investment</w:t>
            </w:r>
          </w:p>
        </w:tc>
        <w:tc>
          <w:tcPr>
            <w:tcW w:w="60" w:type="dxa"/>
            <w:tcBorders/>
            <w:shd w:fill="CCEEFF" w:val="clear"/>
            <w:vAlign w:val="bottom"/>
          </w:tcPr>
          <w:p>
            <w:pPr>
              <w:pStyle w:val="TableContents"/>
              <w:spacing w:before="0" w:after="283"/>
              <w:rPr/>
            </w:pPr>
            <w:r>
              <w:rPr/>
              <w:t> </w:t>
            </w:r>
          </w:p>
        </w:tc>
        <w:tc>
          <w:tcPr>
            <w:tcW w:w="180" w:type="dxa"/>
            <w:tcBorders>
              <w:bottom w:val="double" w:sz="8" w:space="0" w:color="000000"/>
            </w:tcBorders>
            <w:shd w:fill="CCEEFF" w:val="clear"/>
            <w:tcMar>
              <w:bottom w:w="28" w:type="dxa"/>
            </w:tcMar>
            <w:vAlign w:val="bottom"/>
          </w:tcPr>
          <w:p>
            <w:pPr>
              <w:pStyle w:val="TableContents"/>
              <w:spacing w:before="0" w:after="0"/>
              <w:rPr/>
            </w:pPr>
            <w:r>
              <w:rPr/>
              <w:t>$</w:t>
            </w:r>
          </w:p>
        </w:tc>
        <w:tc>
          <w:tcPr>
            <w:tcW w:w="875" w:type="dxa"/>
            <w:tcBorders>
              <w:bottom w:val="double" w:sz="8" w:space="0" w:color="000000"/>
            </w:tcBorders>
            <w:shd w:fill="CCEEFF" w:val="clear"/>
            <w:tcMar>
              <w:bottom w:w="28" w:type="dxa"/>
            </w:tcMar>
            <w:vAlign w:val="bottom"/>
          </w:tcPr>
          <w:p>
            <w:pPr>
              <w:pStyle w:val="TableContents"/>
              <w:spacing w:before="0" w:after="0"/>
              <w:jc w:val="right"/>
              <w:rPr/>
            </w:pPr>
            <w:r>
              <w:rPr/>
              <w:t>260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double" w:sz="8" w:space="0" w:color="000000"/>
            </w:tcBorders>
            <w:shd w:fill="CCEEFF" w:val="clear"/>
            <w:tcMar>
              <w:bottom w:w="28" w:type="dxa"/>
            </w:tcMar>
            <w:vAlign w:val="bottom"/>
          </w:tcPr>
          <w:p>
            <w:pPr>
              <w:pStyle w:val="TableContents"/>
              <w:spacing w:before="0" w:after="0"/>
              <w:rPr/>
            </w:pPr>
            <w:r>
              <w:rPr/>
              <w:t>$</w:t>
            </w:r>
          </w:p>
        </w:tc>
        <w:tc>
          <w:tcPr>
            <w:tcW w:w="875" w:type="dxa"/>
            <w:tcBorders>
              <w:bottom w:val="double" w:sz="8" w:space="0" w:color="000000"/>
            </w:tcBorders>
            <w:shd w:fill="CCEEFF" w:val="clear"/>
            <w:tcMar>
              <w:bottom w:w="28" w:type="dxa"/>
            </w:tcMar>
            <w:vAlign w:val="bottom"/>
          </w:tcPr>
          <w:p>
            <w:pPr>
              <w:pStyle w:val="TableContents"/>
              <w:spacing w:before="0" w:after="0"/>
              <w:jc w:val="right"/>
              <w:rPr/>
            </w:pPr>
            <w:r>
              <w:rPr/>
              <w:t>271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5" w:name="DSPFPageBreakArea20"/>
      <w:bookmarkStart w:id="226" w:name="DSPFPageBreakArea20"/>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27" w:name="DSPFPageNumber20"/>
      <w:bookmarkStart w:id="228" w:name="DSPFPageNumberArea19"/>
      <w:bookmarkEnd w:id="227"/>
      <w:bookmarkEnd w:id="228"/>
      <w:r>
        <w:rPr>
          <w:b w:val="false"/>
          <w:i w:val="false"/>
          <w:caps w:val="false"/>
          <w:smallCaps w:val="false"/>
          <w:sz w:val="13"/>
        </w:rPr>
        <w:t>21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9" w:name="DSPFPageBreak20"/>
      <w:bookmarkStart w:id="230" w:name="DSPFPageBreak20"/>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31" w:name="DSPFPageHeader19"/>
        <w:bookmarkEnd w:id="231"/>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pPr>
      <w:r>
        <w:rPr/>
        <w:t>Average recorded investment in and interest income earned on impaired loans by class for the three month periods ending June 30, follows:</w:t>
      </w:r>
    </w:p>
    <w:p>
      <w:pPr>
        <w:pStyle w:val="TextBody"/>
        <w:spacing w:before="0" w:after="0"/>
        <w:rPr/>
      </w:pPr>
      <w:r>
        <w:rPr/>
      </w:r>
    </w:p>
    <w:p>
      <w:pPr>
        <w:pStyle w:val="Normal"/>
        <w:spacing w:before="0" w:after="0"/>
        <w:rPr>
          <w:sz w:val="4"/>
          <w:szCs w:val="4"/>
        </w:rPr>
      </w:pPr>
      <w:r>
        <w:rPr>
          <w:sz w:val="4"/>
          <w:szCs w:val="4"/>
        </w:rPr>
      </w:r>
      <w:bookmarkStart w:id="232" w:name="zca8520a2f2f146048fb4b58190355d91"/>
      <w:bookmarkStart w:id="233" w:name="zca8520a2f2f146048fb4b58190355d91"/>
      <w:bookmarkEnd w:id="233"/>
    </w:p>
    <w:tbl>
      <w:tblPr>
        <w:tblW w:w="10105" w:type="dxa"/>
        <w:jc w:val="left"/>
        <w:tblInd w:w="0" w:type="dxa"/>
        <w:tblCellMar>
          <w:top w:w="0" w:type="dxa"/>
          <w:left w:w="0" w:type="dxa"/>
          <w:bottom w:w="0" w:type="dxa"/>
          <w:right w:w="0" w:type="dxa"/>
        </w:tblCellMar>
      </w:tblPr>
      <w:tblGrid>
        <w:gridCol w:w="5210"/>
        <w:gridCol w:w="60"/>
        <w:gridCol w:w="180"/>
        <w:gridCol w:w="875"/>
        <w:gridCol w:w="60"/>
        <w:gridCol w:w="60"/>
        <w:gridCol w:w="308"/>
        <w:gridCol w:w="837"/>
        <w:gridCol w:w="60"/>
        <w:gridCol w:w="60"/>
        <w:gridCol w:w="180"/>
        <w:gridCol w:w="875"/>
        <w:gridCol w:w="60"/>
        <w:gridCol w:w="60"/>
        <w:gridCol w:w="308"/>
        <w:gridCol w:w="837"/>
        <w:gridCol w:w="75"/>
      </w:tblGrid>
      <w:tr>
        <w:trPr/>
        <w:tc>
          <w:tcPr>
            <w:tcW w:w="5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0" w:type="dxa"/>
            <w:gridSpan w:val="6"/>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0" w:type="dxa"/>
            <w:gridSpan w:val="6"/>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75"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Average</w:t>
            </w:r>
          </w:p>
          <w:p>
            <w:pPr>
              <w:pStyle w:val="TableContents"/>
              <w:spacing w:before="0" w:after="0"/>
              <w:jc w:val="center"/>
              <w:rPr/>
            </w:pPr>
            <w:r>
              <w:rPr/>
              <w:t>Recorded</w:t>
            </w:r>
          </w:p>
          <w:p>
            <w:pPr>
              <w:pStyle w:val="TableContents"/>
              <w:spacing w:before="0" w:after="0"/>
              <w:jc w:val="center"/>
              <w:rPr/>
            </w:pPr>
            <w:r>
              <w:rPr/>
              <w:t>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center"/>
              <w:rPr/>
            </w:pPr>
            <w:r>
              <w:rPr/>
              <w:t>Interest</w:t>
            </w:r>
          </w:p>
          <w:p>
            <w:pPr>
              <w:pStyle w:val="TableContents"/>
              <w:spacing w:before="0" w:after="0"/>
              <w:jc w:val="center"/>
              <w:rPr/>
            </w:pPr>
            <w:r>
              <w:rPr/>
              <w:t>Income</w:t>
            </w:r>
          </w:p>
          <w:p>
            <w:pPr>
              <w:pStyle w:val="TableContents"/>
              <w:spacing w:before="0" w:after="0"/>
              <w:jc w:val="center"/>
              <w:rPr/>
            </w:pPr>
            <w:r>
              <w:rPr/>
              <w:t>Recognized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Average</w:t>
            </w:r>
          </w:p>
          <w:p>
            <w:pPr>
              <w:pStyle w:val="TableContents"/>
              <w:spacing w:before="0" w:after="0"/>
              <w:jc w:val="center"/>
              <w:rPr/>
            </w:pPr>
            <w:r>
              <w:rPr/>
              <w:t>Recorded</w:t>
            </w:r>
          </w:p>
          <w:p>
            <w:pPr>
              <w:pStyle w:val="TableContents"/>
              <w:spacing w:before="0" w:after="0"/>
              <w:jc w:val="center"/>
              <w:rPr/>
            </w:pPr>
            <w:r>
              <w:rPr/>
              <w:t>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center"/>
              <w:rPr/>
            </w:pPr>
            <w:r>
              <w:rPr/>
              <w:t>Interest</w:t>
            </w:r>
          </w:p>
          <w:p>
            <w:pPr>
              <w:pStyle w:val="TableContents"/>
              <w:spacing w:before="0" w:after="0"/>
              <w:jc w:val="center"/>
              <w:rPr/>
            </w:pPr>
            <w:r>
              <w:rPr/>
              <w:t>Income</w:t>
            </w:r>
          </w:p>
          <w:p>
            <w:pPr>
              <w:pStyle w:val="TableContents"/>
              <w:spacing w:before="0" w:after="0"/>
              <w:jc w:val="center"/>
              <w:rPr/>
            </w:pPr>
            <w:r>
              <w:rPr/>
              <w:t>Recognized</w:t>
            </w:r>
          </w:p>
        </w:tc>
        <w:tc>
          <w:tcPr>
            <w:tcW w:w="75"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0"/>
              <w:ind w:left="144" w:right="0" w:hanging="144"/>
              <w:rPr>
                <w:b/>
              </w:rPr>
            </w:pPr>
            <w:r>
              <w:rPr>
                <w:b/>
              </w:rPr>
              <w:t>With no related allowance for loan losses recorded:</w:t>
            </w:r>
          </w:p>
        </w:tc>
        <w:tc>
          <w:tcPr>
            <w:tcW w:w="60" w:type="dxa"/>
            <w:tcBorders/>
            <w:shd w:fill="auto" w:val="clear"/>
            <w:vAlign w:val="bottom"/>
          </w:tcPr>
          <w:p>
            <w:pPr>
              <w:pStyle w:val="TableContents"/>
              <w:spacing w:before="0" w:after="283"/>
              <w:rPr/>
            </w:pPr>
            <w:r>
              <w:rPr/>
              <w:t> </w:t>
            </w:r>
          </w:p>
        </w:tc>
        <w:tc>
          <w:tcPr>
            <w:tcW w:w="4760" w:type="dxa"/>
            <w:gridSpan w:val="14"/>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0"/>
              <w:ind w:left="324" w:right="0" w:hanging="144"/>
              <w:rPr/>
            </w:pPr>
            <w:r>
              <w:rPr/>
              <w:t>Commercial</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0"/>
              <w:rPr/>
            </w:pPr>
            <w:r>
              <w:rPr/>
              <w:t>$</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0"/>
              <w:rPr/>
            </w:pPr>
            <w:r>
              <w:rPr/>
              <w:t>$</w:t>
            </w:r>
          </w:p>
        </w:tc>
        <w:tc>
          <w:tcPr>
            <w:tcW w:w="8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0"/>
              <w:rPr/>
            </w:pPr>
            <w:r>
              <w:rPr/>
              <w:t>$</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0"/>
              <w:rPr/>
            </w:pPr>
            <w:r>
              <w:rPr/>
              <w:t>$</w:t>
            </w:r>
          </w:p>
        </w:tc>
        <w:tc>
          <w:tcPr>
            <w:tcW w:w="837"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1,201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509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9</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484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3</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2</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37"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37" w:type="dxa"/>
            <w:tcBorders>
              <w:bottom w:val="single" w:sz="12" w:space="0" w:color="000000"/>
            </w:tcBorders>
            <w:shd w:fill="FFFFFF" w:val="clear"/>
            <w:tcMar>
              <w:bottom w:w="28" w:type="dxa"/>
            </w:tcMar>
            <w:vAlign w:val="bottom"/>
          </w:tcPr>
          <w:p>
            <w:pPr>
              <w:pStyle w:val="TableContents"/>
              <w:spacing w:before="0" w:after="0"/>
              <w:jc w:val="right"/>
              <w:rPr/>
            </w:pPr>
            <w:r>
              <w:rPr/>
              <w:t>1</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484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37" w:type="dxa"/>
            <w:tcBorders>
              <w:bottom w:val="single" w:sz="12" w:space="0" w:color="000000"/>
            </w:tcBorders>
            <w:shd w:fill="CCEEFF" w:val="clear"/>
            <w:tcMar>
              <w:bottom w:w="28" w:type="dxa"/>
            </w:tcM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1,849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37" w:type="dxa"/>
            <w:tcBorders>
              <w:bottom w:val="single" w:sz="12" w:space="0" w:color="000000"/>
            </w:tcBorders>
            <w:shd w:fill="CCEEFF" w:val="clear"/>
            <w:tcMar>
              <w:bottom w:w="28" w:type="dxa"/>
            </w:tcMar>
            <w:vAlign w:val="bottom"/>
          </w:tcPr>
          <w:p>
            <w:pPr>
              <w:pStyle w:val="TableContents"/>
              <w:spacing w:before="0" w:after="0"/>
              <w:jc w:val="right"/>
              <w:rPr/>
            </w:pPr>
            <w:r>
              <w:rPr/>
              <w:t>15</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144" w:right="0" w:hanging="144"/>
              <w:rPr>
                <w:b/>
              </w:rPr>
            </w:pPr>
            <w:r>
              <w:rPr>
                <w:b/>
              </w:rPr>
              <w:t>With an allowance for loan losses recorded:</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Commercial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Income producing - real estate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5,297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81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5,142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70</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Land, land development &amp; construction-real estate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290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2</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Commercial and industrial</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2,418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16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2,522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34</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Mortgage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1-4 family</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31,364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414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35,345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431</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Resort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12,680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147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15,098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150</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122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111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1</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556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1</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Installment</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1,326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1,596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25</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1,453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1,746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25</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Boat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Recreational vehicle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67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86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1</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Other</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479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37" w:type="dxa"/>
            <w:tcBorders>
              <w:bottom w:val="single" w:sz="12" w:space="0" w:color="000000"/>
            </w:tcBorders>
            <w:shd w:fill="CCEEFF" w:val="clear"/>
            <w:tcMar>
              <w:bottom w:w="28" w:type="dxa"/>
            </w:tcMar>
            <w:vAlign w:val="bottom"/>
          </w:tcPr>
          <w:p>
            <w:pPr>
              <w:pStyle w:val="TableContents"/>
              <w:spacing w:before="0" w:after="0"/>
              <w:jc w:val="right"/>
              <w:rPr/>
            </w:pPr>
            <w:r>
              <w:rPr/>
              <w:t>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414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37" w:type="dxa"/>
            <w:tcBorders>
              <w:bottom w:val="single" w:sz="12" w:space="0" w:color="000000"/>
            </w:tcBorders>
            <w:shd w:fill="CCEEFF" w:val="clear"/>
            <w:tcMar>
              <w:bottom w:w="28" w:type="dxa"/>
            </w:tcMar>
            <w:vAlign w:val="bottom"/>
          </w:tcPr>
          <w:p>
            <w:pPr>
              <w:pStyle w:val="TableContents"/>
              <w:spacing w:before="0" w:after="0"/>
              <w:jc w:val="right"/>
              <w:rPr/>
            </w:pPr>
            <w:r>
              <w:rPr/>
              <w:t>7</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56,119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37" w:type="dxa"/>
            <w:tcBorders>
              <w:bottom w:val="single" w:sz="12" w:space="0" w:color="000000"/>
            </w:tcBorders>
            <w:shd w:fill="FFFFFF" w:val="clear"/>
            <w:tcMar>
              <w:bottom w:w="28" w:type="dxa"/>
            </w:tcMar>
            <w:vAlign w:val="bottom"/>
          </w:tcPr>
          <w:p>
            <w:pPr>
              <w:pStyle w:val="TableContents"/>
              <w:spacing w:before="0" w:after="0"/>
              <w:jc w:val="right"/>
              <w:rPr/>
            </w:pPr>
            <w:r>
              <w:rPr/>
              <w:t>708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62,383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37" w:type="dxa"/>
            <w:tcBorders>
              <w:bottom w:val="single" w:sz="12" w:space="0" w:color="000000"/>
            </w:tcBorders>
            <w:shd w:fill="FFFFFF" w:val="clear"/>
            <w:tcMar>
              <w:bottom w:w="28" w:type="dxa"/>
            </w:tcMar>
            <w:vAlign w:val="bottom"/>
          </w:tcPr>
          <w:p>
            <w:pPr>
              <w:pStyle w:val="TableContents"/>
              <w:spacing w:before="0" w:after="0"/>
              <w:jc w:val="right"/>
              <w:rPr/>
            </w:pPr>
            <w:r>
              <w:rPr/>
              <w:t>747</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144" w:right="0" w:hanging="144"/>
              <w:rPr>
                <w:b/>
              </w:rPr>
            </w:pPr>
            <w:r>
              <w:rPr>
                <w:b/>
              </w:rPr>
              <w:t>Total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Commercial</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5,297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5,142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70</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290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1,356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2</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2,418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3,031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43</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31,848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416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35,483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434</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12,680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147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15,098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150</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1</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556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167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1</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1,326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1,597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27</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1,453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1,746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25</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67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shd w:fill="FFFFFF" w:val="clear"/>
            <w:vAlign w:val="bottom"/>
          </w:tcPr>
          <w:p>
            <w:pPr>
              <w:pStyle w:val="TableContents"/>
              <w:spacing w:before="0" w:after="283"/>
              <w:rPr/>
            </w:pPr>
            <w:r>
              <w:rPr/>
              <w:t> </w:t>
            </w:r>
          </w:p>
        </w:tc>
        <w:tc>
          <w:tcPr>
            <w:tcW w:w="837"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86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0"/>
              <w:jc w:val="right"/>
              <w:rPr/>
            </w:pPr>
            <w:r>
              <w:rPr/>
              <w:t>1</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479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37" w:type="dxa"/>
            <w:tcBorders>
              <w:bottom w:val="single" w:sz="12" w:space="0" w:color="000000"/>
            </w:tcBorders>
            <w:shd w:fill="FFFFFF" w:val="clear"/>
            <w:tcMar>
              <w:bottom w:w="28" w:type="dxa"/>
            </w:tcMar>
            <w:vAlign w:val="bottom"/>
          </w:tcPr>
          <w:p>
            <w:pPr>
              <w:pStyle w:val="TableContents"/>
              <w:spacing w:before="0" w:after="0"/>
              <w:jc w:val="right"/>
              <w:rPr/>
            </w:pPr>
            <w:r>
              <w:rPr/>
              <w:t>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414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0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37" w:type="dxa"/>
            <w:tcBorders>
              <w:bottom w:val="single" w:sz="12" w:space="0" w:color="000000"/>
            </w:tcBorders>
            <w:shd w:fill="FFFFFF" w:val="clear"/>
            <w:tcMar>
              <w:bottom w:w="28" w:type="dxa"/>
            </w:tcMar>
            <w:vAlign w:val="bottom"/>
          </w:tcPr>
          <w:p>
            <w:pPr>
              <w:pStyle w:val="TableContents"/>
              <w:spacing w:before="0" w:after="0"/>
              <w:jc w:val="right"/>
              <w:rPr/>
            </w:pPr>
            <w:r>
              <w:rPr/>
              <w:t>8</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684" w:right="0" w:hanging="144"/>
              <w:rPr/>
            </w:pPr>
            <w:r>
              <w:rPr/>
              <w:t>Total</w:t>
            </w:r>
          </w:p>
        </w:tc>
        <w:tc>
          <w:tcPr>
            <w:tcW w:w="60" w:type="dxa"/>
            <w:tcBorders/>
            <w:shd w:fill="CCEEFF" w:val="clear"/>
            <w:vAlign w:val="bottom"/>
          </w:tcPr>
          <w:p>
            <w:pPr>
              <w:pStyle w:val="TableContents"/>
              <w:spacing w:before="0" w:after="283"/>
              <w:rPr/>
            </w:pPr>
            <w:r>
              <w:rPr/>
              <w:t> </w:t>
            </w:r>
          </w:p>
        </w:tc>
        <w:tc>
          <w:tcPr>
            <w:tcW w:w="180" w:type="dxa"/>
            <w:tcBorders>
              <w:bottom w:val="double" w:sz="8" w:space="0" w:color="000000"/>
            </w:tcBorders>
            <w:shd w:fill="CCEEFF" w:val="clear"/>
            <w:tcMar>
              <w:bottom w:w="28" w:type="dxa"/>
            </w:tcMar>
            <w:vAlign w:val="bottom"/>
          </w:tcPr>
          <w:p>
            <w:pPr>
              <w:pStyle w:val="TableContents"/>
              <w:spacing w:before="0" w:after="0"/>
              <w:rPr/>
            </w:pPr>
            <w:r>
              <w:rPr/>
              <w:t>$</w:t>
            </w:r>
          </w:p>
        </w:tc>
        <w:tc>
          <w:tcPr>
            <w:tcW w:w="875" w:type="dxa"/>
            <w:tcBorders>
              <w:bottom w:val="double" w:sz="8" w:space="0" w:color="000000"/>
            </w:tcBorders>
            <w:shd w:fill="CCEEFF" w:val="clear"/>
            <w:tcMar>
              <w:bottom w:w="28" w:type="dxa"/>
            </w:tcMar>
            <w:vAlign w:val="bottom"/>
          </w:tcPr>
          <w:p>
            <w:pPr>
              <w:pStyle w:val="TableContents"/>
              <w:spacing w:before="0" w:after="0"/>
              <w:jc w:val="right"/>
              <w:rPr/>
            </w:pPr>
            <w:r>
              <w:rPr/>
              <w:t>56,603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bottom w:val="double" w:sz="8" w:space="0" w:color="000000"/>
            </w:tcBorders>
            <w:shd w:fill="CCEEFF" w:val="clear"/>
            <w:tcMar>
              <w:bottom w:w="28" w:type="dxa"/>
            </w:tcMar>
            <w:vAlign w:val="bottom"/>
          </w:tcPr>
          <w:p>
            <w:pPr>
              <w:pStyle w:val="TableContents"/>
              <w:spacing w:before="0" w:after="0"/>
              <w:rPr/>
            </w:pPr>
            <w:r>
              <w:rPr/>
              <w:t>$</w:t>
            </w:r>
          </w:p>
        </w:tc>
        <w:tc>
          <w:tcPr>
            <w:tcW w:w="837" w:type="dxa"/>
            <w:tcBorders>
              <w:bottom w:val="double" w:sz="8" w:space="0" w:color="000000"/>
            </w:tcBorders>
            <w:shd w:fill="CCEEFF" w:val="clear"/>
            <w:tcMar>
              <w:bottom w:w="28" w:type="dxa"/>
            </w:tcMar>
            <w:vAlign w:val="bottom"/>
          </w:tcPr>
          <w:p>
            <w:pPr>
              <w:pStyle w:val="TableContents"/>
              <w:spacing w:before="0" w:after="0"/>
              <w:jc w:val="right"/>
              <w:rPr/>
            </w:pPr>
            <w:r>
              <w:rPr/>
              <w:t>710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double" w:sz="8" w:space="0" w:color="000000"/>
            </w:tcBorders>
            <w:shd w:fill="CCEEFF" w:val="clear"/>
            <w:tcMar>
              <w:bottom w:w="28" w:type="dxa"/>
            </w:tcMar>
            <w:vAlign w:val="bottom"/>
          </w:tcPr>
          <w:p>
            <w:pPr>
              <w:pStyle w:val="TableContents"/>
              <w:spacing w:before="0" w:after="0"/>
              <w:rPr/>
            </w:pPr>
            <w:r>
              <w:rPr/>
              <w:t>$</w:t>
            </w:r>
          </w:p>
        </w:tc>
        <w:tc>
          <w:tcPr>
            <w:tcW w:w="875" w:type="dxa"/>
            <w:tcBorders>
              <w:bottom w:val="double" w:sz="8" w:space="0" w:color="000000"/>
            </w:tcBorders>
            <w:shd w:fill="CCEEFF" w:val="clear"/>
            <w:tcMar>
              <w:bottom w:w="28" w:type="dxa"/>
            </w:tcMar>
            <w:vAlign w:val="bottom"/>
          </w:tcPr>
          <w:p>
            <w:pPr>
              <w:pStyle w:val="TableContents"/>
              <w:spacing w:before="0" w:after="0"/>
              <w:jc w:val="right"/>
              <w:rPr/>
            </w:pPr>
            <w:r>
              <w:rPr/>
              <w:t>64,232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bottom w:val="double" w:sz="8" w:space="0" w:color="000000"/>
            </w:tcBorders>
            <w:shd w:fill="CCEEFF" w:val="clear"/>
            <w:tcMar>
              <w:bottom w:w="28" w:type="dxa"/>
            </w:tcMar>
            <w:vAlign w:val="bottom"/>
          </w:tcPr>
          <w:p>
            <w:pPr>
              <w:pStyle w:val="TableContents"/>
              <w:spacing w:before="0" w:after="0"/>
              <w:rPr/>
            </w:pPr>
            <w:r>
              <w:rPr/>
              <w:t>$</w:t>
            </w:r>
          </w:p>
        </w:tc>
        <w:tc>
          <w:tcPr>
            <w:tcW w:w="837" w:type="dxa"/>
            <w:tcBorders>
              <w:bottom w:val="double" w:sz="8" w:space="0" w:color="000000"/>
            </w:tcBorders>
            <w:shd w:fill="CCEEFF" w:val="clear"/>
            <w:tcMar>
              <w:bottom w:w="28" w:type="dxa"/>
            </w:tcMar>
            <w:vAlign w:val="bottom"/>
          </w:tcPr>
          <w:p>
            <w:pPr>
              <w:pStyle w:val="TableContents"/>
              <w:spacing w:before="0" w:after="0"/>
              <w:jc w:val="right"/>
              <w:rPr/>
            </w:pPr>
            <w:r>
              <w:rPr/>
              <w:t>762</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4" w:name="DSPFPageBreakArea21"/>
      <w:bookmarkStart w:id="235" w:name="DSPFPageBreakArea21"/>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36" w:name="DSPFPageNumber21"/>
      <w:bookmarkStart w:id="237" w:name="DSPFPageNumberArea20"/>
      <w:bookmarkEnd w:id="236"/>
      <w:bookmarkEnd w:id="237"/>
      <w:r>
        <w:rPr>
          <w:b w:val="false"/>
          <w:i w:val="false"/>
          <w:caps w:val="false"/>
          <w:smallCaps w:val="false"/>
          <w:sz w:val="13"/>
        </w:rPr>
        <w:t>22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8" w:name="DSPFPageBreak21"/>
      <w:bookmarkStart w:id="239" w:name="DSPFPageBreak21"/>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40" w:name="DSPFPageHeader20"/>
        <w:bookmarkEnd w:id="240"/>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pPr>
      <w:r>
        <w:rPr/>
        <w:t>Average recorded investment in and interest income earned on impaired loans by class for the six month periods ending June 30, follows:</w:t>
      </w:r>
    </w:p>
    <w:p>
      <w:pPr>
        <w:pStyle w:val="TextBody"/>
        <w:spacing w:before="0" w:after="0"/>
        <w:rPr/>
      </w:pPr>
      <w:r>
        <w:rPr/>
      </w:r>
    </w:p>
    <w:p>
      <w:pPr>
        <w:pStyle w:val="Normal"/>
        <w:spacing w:before="0" w:after="0"/>
        <w:rPr>
          <w:sz w:val="4"/>
          <w:szCs w:val="4"/>
        </w:rPr>
      </w:pPr>
      <w:r>
        <w:rPr>
          <w:sz w:val="4"/>
          <w:szCs w:val="4"/>
        </w:rPr>
      </w:r>
      <w:bookmarkStart w:id="241" w:name="z5c68dff908fc493c9ce31a8e36adff8a"/>
      <w:bookmarkStart w:id="242" w:name="z5c68dff908fc493c9ce31a8e36adff8a"/>
      <w:bookmarkEnd w:id="242"/>
    </w:p>
    <w:tbl>
      <w:tblPr>
        <w:tblW w:w="10105" w:type="dxa"/>
        <w:jc w:val="left"/>
        <w:tblInd w:w="0" w:type="dxa"/>
        <w:tblCellMar>
          <w:top w:w="0" w:type="dxa"/>
          <w:left w:w="0" w:type="dxa"/>
          <w:bottom w:w="0" w:type="dxa"/>
          <w:right w:w="0" w:type="dxa"/>
        </w:tblCellMar>
      </w:tblPr>
      <w:tblGrid>
        <w:gridCol w:w="5210"/>
        <w:gridCol w:w="60"/>
        <w:gridCol w:w="180"/>
        <w:gridCol w:w="875"/>
        <w:gridCol w:w="60"/>
        <w:gridCol w:w="60"/>
        <w:gridCol w:w="229"/>
        <w:gridCol w:w="916"/>
        <w:gridCol w:w="60"/>
        <w:gridCol w:w="60"/>
        <w:gridCol w:w="180"/>
        <w:gridCol w:w="875"/>
        <w:gridCol w:w="60"/>
        <w:gridCol w:w="60"/>
        <w:gridCol w:w="229"/>
        <w:gridCol w:w="916"/>
        <w:gridCol w:w="75"/>
      </w:tblGrid>
      <w:tr>
        <w:trPr/>
        <w:tc>
          <w:tcPr>
            <w:tcW w:w="5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0" w:type="dxa"/>
            <w:gridSpan w:val="6"/>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0" w:type="dxa"/>
            <w:gridSpan w:val="6"/>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75"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Average</w:t>
            </w:r>
          </w:p>
          <w:p>
            <w:pPr>
              <w:pStyle w:val="TableContents"/>
              <w:spacing w:before="0" w:after="0"/>
              <w:jc w:val="center"/>
              <w:rPr/>
            </w:pPr>
            <w:r>
              <w:rPr/>
              <w:t>Recorded</w:t>
            </w:r>
          </w:p>
          <w:p>
            <w:pPr>
              <w:pStyle w:val="TableContents"/>
              <w:spacing w:before="0" w:after="0"/>
              <w:jc w:val="center"/>
              <w:rPr/>
            </w:pPr>
            <w:r>
              <w:rPr/>
              <w:t>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center"/>
              <w:rPr/>
            </w:pPr>
            <w:r>
              <w:rPr/>
              <w:t>Interest</w:t>
            </w:r>
          </w:p>
          <w:p>
            <w:pPr>
              <w:pStyle w:val="TableContents"/>
              <w:spacing w:before="0" w:after="0"/>
              <w:jc w:val="center"/>
              <w:rPr/>
            </w:pPr>
            <w:r>
              <w:rPr/>
              <w:t>Income</w:t>
            </w:r>
          </w:p>
          <w:p>
            <w:pPr>
              <w:pStyle w:val="TableContents"/>
              <w:spacing w:before="0" w:after="0"/>
              <w:jc w:val="center"/>
              <w:rPr/>
            </w:pPr>
            <w:r>
              <w:rPr/>
              <w:t>Recognized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Average</w:t>
            </w:r>
          </w:p>
          <w:p>
            <w:pPr>
              <w:pStyle w:val="TableContents"/>
              <w:spacing w:before="0" w:after="0"/>
              <w:jc w:val="center"/>
              <w:rPr/>
            </w:pPr>
            <w:r>
              <w:rPr/>
              <w:t>Recorded</w:t>
            </w:r>
          </w:p>
          <w:p>
            <w:pPr>
              <w:pStyle w:val="TableContents"/>
              <w:spacing w:before="0" w:after="0"/>
              <w:jc w:val="center"/>
              <w:rPr/>
            </w:pPr>
            <w:r>
              <w:rPr/>
              <w:t>Investment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jc w:val="center"/>
              <w:rPr/>
            </w:pPr>
            <w:r>
              <w:rPr/>
              <w:t>Interest</w:t>
            </w:r>
          </w:p>
          <w:p>
            <w:pPr>
              <w:pStyle w:val="TableContents"/>
              <w:spacing w:before="0" w:after="0"/>
              <w:jc w:val="center"/>
              <w:rPr/>
            </w:pPr>
            <w:r>
              <w:rPr/>
              <w:t>Income</w:t>
            </w:r>
          </w:p>
          <w:p>
            <w:pPr>
              <w:pStyle w:val="TableContents"/>
              <w:spacing w:before="0" w:after="0"/>
              <w:jc w:val="center"/>
              <w:rPr/>
            </w:pPr>
            <w:r>
              <w:rPr/>
              <w:t>Recognized</w:t>
            </w:r>
          </w:p>
        </w:tc>
        <w:tc>
          <w:tcPr>
            <w:tcW w:w="75"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0"/>
              <w:ind w:left="144" w:right="0" w:hanging="144"/>
              <w:rPr>
                <w:b/>
              </w:rPr>
            </w:pPr>
            <w:r>
              <w:rPr>
                <w:b/>
              </w:rPr>
              <w:t>With no related allowance for loan losses recorded:</w:t>
            </w:r>
          </w:p>
        </w:tc>
        <w:tc>
          <w:tcPr>
            <w:tcW w:w="60" w:type="dxa"/>
            <w:tcBorders/>
            <w:shd w:fill="auto" w:val="clear"/>
            <w:vAlign w:val="bottom"/>
          </w:tcPr>
          <w:p>
            <w:pPr>
              <w:pStyle w:val="TableContents"/>
              <w:spacing w:before="0" w:after="283"/>
              <w:rPr/>
            </w:pPr>
            <w:r>
              <w:rPr/>
              <w:t> </w:t>
            </w:r>
          </w:p>
        </w:tc>
        <w:tc>
          <w:tcPr>
            <w:tcW w:w="4760" w:type="dxa"/>
            <w:gridSpan w:val="14"/>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5210" w:type="dxa"/>
            <w:tcBorders/>
            <w:shd w:fill="auto" w:val="clear"/>
            <w:vAlign w:val="bottom"/>
          </w:tcPr>
          <w:p>
            <w:pPr>
              <w:pStyle w:val="TableContents"/>
              <w:spacing w:before="0" w:after="0"/>
              <w:ind w:left="324" w:right="0" w:hanging="144"/>
              <w:rPr/>
            </w:pPr>
            <w:r>
              <w:rPr/>
              <w:t>Commercial</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0"/>
              <w:rPr/>
            </w:pPr>
            <w:r>
              <w:rPr/>
              <w:t>$</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0"/>
              <w:rPr/>
            </w:pPr>
            <w:r>
              <w:rPr/>
              <w:t>$</w:t>
            </w:r>
          </w:p>
        </w:tc>
        <w:tc>
          <w:tcPr>
            <w:tcW w:w="91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0"/>
              <w:rPr/>
            </w:pPr>
            <w:r>
              <w:rPr/>
              <w:t>$</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0"/>
              <w:rPr/>
            </w:pPr>
            <w:r>
              <w:rPr/>
              <w:t>$</w:t>
            </w:r>
          </w:p>
        </w:tc>
        <w:tc>
          <w:tcPr>
            <w:tcW w:w="916"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801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514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13</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92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9</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4</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6"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6" w:type="dxa"/>
            <w:tcBorders>
              <w:bottom w:val="single" w:sz="12" w:space="0" w:color="000000"/>
            </w:tcBorders>
            <w:shd w:fill="FFFFFF" w:val="clear"/>
            <w:tcMar>
              <w:bottom w:w="28" w:type="dxa"/>
            </w:tcMar>
            <w:vAlign w:val="bottom"/>
          </w:tcPr>
          <w:p>
            <w:pPr>
              <w:pStyle w:val="TableContents"/>
              <w:spacing w:before="0" w:after="0"/>
              <w:jc w:val="right"/>
              <w:rPr/>
            </w:pPr>
            <w:r>
              <w:rPr/>
              <w:t>1</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324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6" w:type="dxa"/>
            <w:tcBorders>
              <w:bottom w:val="single" w:sz="12" w:space="0" w:color="000000"/>
            </w:tcBorders>
            <w:shd w:fill="CCEEFF" w:val="clear"/>
            <w:tcMar>
              <w:bottom w:w="28" w:type="dxa"/>
            </w:tcM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1,408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6" w:type="dxa"/>
            <w:tcBorders>
              <w:bottom w:val="single" w:sz="12" w:space="0" w:color="000000"/>
            </w:tcBorders>
            <w:shd w:fill="CCEEFF" w:val="clear"/>
            <w:tcMar>
              <w:bottom w:w="28" w:type="dxa"/>
            </w:tcMar>
            <w:vAlign w:val="bottom"/>
          </w:tcPr>
          <w:p>
            <w:pPr>
              <w:pStyle w:val="TableContents"/>
              <w:spacing w:before="0" w:after="0"/>
              <w:jc w:val="right"/>
              <w:rPr/>
            </w:pPr>
            <w:r>
              <w:rPr/>
              <w:t>27</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144" w:right="0" w:hanging="144"/>
              <w:rPr>
                <w:b/>
              </w:rPr>
            </w:pPr>
            <w:r>
              <w:rPr>
                <w:b/>
              </w:rPr>
              <w:t>With an allowance for loan losses recorded:</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Commercial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Income producing - real estate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5,121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146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5,160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138</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Land, land development &amp; construction-real estate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290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4</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Commercial and industrial</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2,824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36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2,526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66</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Mortgage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1-4 family</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31,857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860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35,846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889</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Resort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12,896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322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15,391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314</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103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131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3</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423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171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3</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Installment</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1,364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1,619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54</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1,459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41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1,762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52</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Boat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Recreational vehicle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71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87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2</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Other</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446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6" w:type="dxa"/>
            <w:tcBorders>
              <w:bottom w:val="single" w:sz="12" w:space="0" w:color="000000"/>
            </w:tcBorders>
            <w:shd w:fill="CCEEFF" w:val="clear"/>
            <w:tcMar>
              <w:bottom w:w="28" w:type="dxa"/>
            </w:tcMar>
            <w:vAlign w:val="bottom"/>
          </w:tcPr>
          <w:p>
            <w:pPr>
              <w:pStyle w:val="TableContents"/>
              <w:spacing w:before="0" w:after="0"/>
              <w:jc w:val="right"/>
              <w:rPr/>
            </w:pPr>
            <w:r>
              <w:rPr/>
              <w:t>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5" w:type="dxa"/>
            <w:tcBorders>
              <w:bottom w:val="single" w:sz="12" w:space="0" w:color="000000"/>
            </w:tcBorders>
            <w:shd w:fill="CCEEFF" w:val="clear"/>
            <w:tcMar>
              <w:bottom w:w="28" w:type="dxa"/>
            </w:tcMar>
            <w:vAlign w:val="bottom"/>
          </w:tcPr>
          <w:p>
            <w:pPr>
              <w:pStyle w:val="TableContents"/>
              <w:spacing w:before="0" w:after="0"/>
              <w:jc w:val="right"/>
              <w:rPr/>
            </w:pPr>
            <w:r>
              <w:rPr/>
              <w:t>407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6" w:type="dxa"/>
            <w:tcBorders>
              <w:bottom w:val="single" w:sz="12" w:space="0" w:color="000000"/>
            </w:tcBorders>
            <w:shd w:fill="CCEEFF" w:val="clear"/>
            <w:tcMar>
              <w:bottom w:w="28" w:type="dxa"/>
            </w:tcMar>
            <w:vAlign w:val="bottom"/>
          </w:tcPr>
          <w:p>
            <w:pPr>
              <w:pStyle w:val="TableContents"/>
              <w:spacing w:before="0" w:after="0"/>
              <w:jc w:val="right"/>
              <w:rPr/>
            </w:pPr>
            <w:r>
              <w:rPr/>
              <w:t>13</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56,898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6" w:type="dxa"/>
            <w:tcBorders>
              <w:bottom w:val="single" w:sz="12" w:space="0" w:color="000000"/>
            </w:tcBorders>
            <w:shd w:fill="FFFFFF" w:val="clear"/>
            <w:tcMar>
              <w:bottom w:w="28" w:type="dxa"/>
            </w:tcMar>
            <w:vAlign w:val="bottom"/>
          </w:tcPr>
          <w:p>
            <w:pPr>
              <w:pStyle w:val="TableContents"/>
              <w:spacing w:before="0" w:after="0"/>
              <w:jc w:val="right"/>
              <w:rPr/>
            </w:pPr>
            <w:r>
              <w:rPr/>
              <w:t>1,473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63,260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6" w:type="dxa"/>
            <w:tcBorders>
              <w:bottom w:val="single" w:sz="12" w:space="0" w:color="000000"/>
            </w:tcBorders>
            <w:shd w:fill="FFFFFF" w:val="clear"/>
            <w:tcMar>
              <w:bottom w:w="28" w:type="dxa"/>
            </w:tcMar>
            <w:vAlign w:val="bottom"/>
          </w:tcPr>
          <w:p>
            <w:pPr>
              <w:pStyle w:val="TableContents"/>
              <w:spacing w:before="0" w:after="0"/>
              <w:jc w:val="right"/>
              <w:rPr/>
            </w:pPr>
            <w:r>
              <w:rPr/>
              <w:t>1,538</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144" w:right="0" w:hanging="144"/>
              <w:rPr>
                <w:b/>
              </w:rPr>
            </w:pPr>
            <w:r>
              <w:rPr>
                <w:b/>
              </w:rPr>
              <w:t>Total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Commercial</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5,121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146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5,160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138</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290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960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4</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2,824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3,040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79</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32,181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862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35,938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898</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12,896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322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15,391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314</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3</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423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171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3</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1,364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43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1,620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58</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1,459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41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1,762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52</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44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75" w:type="dxa"/>
            <w:tcBorders/>
            <w:shd w:fill="FFFFFF" w:val="clear"/>
            <w:vAlign w:val="bottom"/>
          </w:tcPr>
          <w:p>
            <w:pPr>
              <w:pStyle w:val="TableContents"/>
              <w:spacing w:before="0" w:after="0"/>
              <w:jc w:val="right"/>
              <w:rPr/>
            </w:pPr>
            <w:r>
              <w:rPr/>
              <w:t>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916"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71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0"/>
              <w:jc w:val="right"/>
              <w:rPr/>
            </w:pPr>
            <w:r>
              <w:rPr/>
              <w:t>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2</w:t>
            </w:r>
          </w:p>
        </w:tc>
        <w:tc>
          <w:tcPr>
            <w:tcW w:w="75" w:type="dxa"/>
            <w:tcBorders/>
            <w:shd w:fill="CCEEFF" w:val="clear"/>
            <w:vAlign w:val="bottom"/>
          </w:tcPr>
          <w:p>
            <w:pPr>
              <w:pStyle w:val="TableContents"/>
              <w:spacing w:before="0" w:after="283"/>
              <w:rPr/>
            </w:pPr>
            <w:r>
              <w:rPr/>
              <w:t> </w:t>
            </w:r>
          </w:p>
        </w:tc>
      </w:tr>
      <w:tr>
        <w:trPr/>
        <w:tc>
          <w:tcPr>
            <w:tcW w:w="5210"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446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6" w:type="dxa"/>
            <w:tcBorders>
              <w:bottom w:val="single" w:sz="12" w:space="0" w:color="000000"/>
            </w:tcBorders>
            <w:shd w:fill="FFFFFF" w:val="clear"/>
            <w:tcMar>
              <w:bottom w:w="28" w:type="dxa"/>
            </w:tcMar>
            <w:vAlign w:val="bottom"/>
          </w:tcPr>
          <w:p>
            <w:pPr>
              <w:pStyle w:val="TableContents"/>
              <w:spacing w:before="0" w:after="0"/>
              <w:jc w:val="right"/>
              <w:rPr/>
            </w:pPr>
            <w:r>
              <w:rPr/>
              <w:t>11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75" w:type="dxa"/>
            <w:tcBorders>
              <w:bottom w:val="single" w:sz="12" w:space="0" w:color="000000"/>
            </w:tcBorders>
            <w:shd w:fill="FFFFFF" w:val="clear"/>
            <w:tcMar>
              <w:bottom w:w="28" w:type="dxa"/>
            </w:tcMar>
            <w:vAlign w:val="bottom"/>
          </w:tcPr>
          <w:p>
            <w:pPr>
              <w:pStyle w:val="TableContents"/>
              <w:spacing w:before="0" w:after="0"/>
              <w:jc w:val="right"/>
              <w:rPr/>
            </w:pPr>
            <w:r>
              <w:rPr/>
              <w:t>407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6" w:type="dxa"/>
            <w:tcBorders>
              <w:bottom w:val="single" w:sz="12" w:space="0" w:color="000000"/>
            </w:tcBorders>
            <w:shd w:fill="FFFFFF" w:val="clear"/>
            <w:tcMar>
              <w:bottom w:w="28" w:type="dxa"/>
            </w:tcMar>
            <w:vAlign w:val="bottom"/>
          </w:tcPr>
          <w:p>
            <w:pPr>
              <w:pStyle w:val="TableContents"/>
              <w:spacing w:before="0" w:after="0"/>
              <w:jc w:val="right"/>
              <w:rPr/>
            </w:pPr>
            <w:r>
              <w:rPr/>
              <w:t>14</w:t>
            </w:r>
          </w:p>
        </w:tc>
        <w:tc>
          <w:tcPr>
            <w:tcW w:w="75" w:type="dxa"/>
            <w:tcBorders/>
            <w:shd w:fill="FFFFFF" w:val="clear"/>
            <w:vAlign w:val="bottom"/>
          </w:tcPr>
          <w:p>
            <w:pPr>
              <w:pStyle w:val="TableContents"/>
              <w:spacing w:before="0" w:after="283"/>
              <w:rPr/>
            </w:pPr>
            <w:r>
              <w:rPr/>
              <w:t> </w:t>
            </w:r>
          </w:p>
        </w:tc>
      </w:tr>
      <w:tr>
        <w:trPr/>
        <w:tc>
          <w:tcPr>
            <w:tcW w:w="5210" w:type="dxa"/>
            <w:tcBorders/>
            <w:shd w:fill="CCEEFF" w:val="clear"/>
            <w:vAlign w:val="bottom"/>
          </w:tcPr>
          <w:p>
            <w:pPr>
              <w:pStyle w:val="TableContents"/>
              <w:spacing w:before="0" w:after="0"/>
              <w:ind w:left="684" w:right="0" w:hanging="144"/>
              <w:rPr/>
            </w:pPr>
            <w:r>
              <w:rPr/>
              <w:t>Total</w:t>
            </w:r>
          </w:p>
        </w:tc>
        <w:tc>
          <w:tcPr>
            <w:tcW w:w="60" w:type="dxa"/>
            <w:tcBorders/>
            <w:shd w:fill="CCEEFF" w:val="clear"/>
            <w:vAlign w:val="bottom"/>
          </w:tcPr>
          <w:p>
            <w:pPr>
              <w:pStyle w:val="TableContents"/>
              <w:spacing w:before="0" w:after="283"/>
              <w:rPr/>
            </w:pPr>
            <w:r>
              <w:rPr/>
              <w:t> </w:t>
            </w:r>
          </w:p>
        </w:tc>
        <w:tc>
          <w:tcPr>
            <w:tcW w:w="180" w:type="dxa"/>
            <w:tcBorders>
              <w:bottom w:val="double" w:sz="8" w:space="0" w:color="000000"/>
            </w:tcBorders>
            <w:shd w:fill="CCEEFF" w:val="clear"/>
            <w:tcMar>
              <w:bottom w:w="28" w:type="dxa"/>
            </w:tcMar>
            <w:vAlign w:val="bottom"/>
          </w:tcPr>
          <w:p>
            <w:pPr>
              <w:pStyle w:val="TableContents"/>
              <w:spacing w:before="0" w:after="0"/>
              <w:rPr/>
            </w:pPr>
            <w:r>
              <w:rPr/>
              <w:t>$</w:t>
            </w:r>
          </w:p>
        </w:tc>
        <w:tc>
          <w:tcPr>
            <w:tcW w:w="875" w:type="dxa"/>
            <w:tcBorders>
              <w:bottom w:val="double" w:sz="8" w:space="0" w:color="000000"/>
            </w:tcBorders>
            <w:shd w:fill="CCEEFF" w:val="clear"/>
            <w:tcMar>
              <w:bottom w:w="28" w:type="dxa"/>
            </w:tcMar>
            <w:vAlign w:val="bottom"/>
          </w:tcPr>
          <w:p>
            <w:pPr>
              <w:pStyle w:val="TableContents"/>
              <w:spacing w:before="0" w:after="0"/>
              <w:jc w:val="right"/>
              <w:rPr/>
            </w:pPr>
            <w:r>
              <w:rPr/>
              <w:t>57,222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bottom w:val="double" w:sz="8" w:space="0" w:color="000000"/>
            </w:tcBorders>
            <w:shd w:fill="CCEEFF" w:val="clear"/>
            <w:tcMar>
              <w:bottom w:w="28" w:type="dxa"/>
            </w:tcMar>
            <w:vAlign w:val="bottom"/>
          </w:tcPr>
          <w:p>
            <w:pPr>
              <w:pStyle w:val="TableContents"/>
              <w:spacing w:before="0" w:after="0"/>
              <w:rPr/>
            </w:pPr>
            <w:r>
              <w:rPr/>
              <w:t>$</w:t>
            </w:r>
          </w:p>
        </w:tc>
        <w:tc>
          <w:tcPr>
            <w:tcW w:w="916" w:type="dxa"/>
            <w:tcBorders>
              <w:bottom w:val="double" w:sz="8" w:space="0" w:color="000000"/>
            </w:tcBorders>
            <w:shd w:fill="CCEEFF" w:val="clear"/>
            <w:tcMar>
              <w:bottom w:w="28" w:type="dxa"/>
            </w:tcMar>
            <w:vAlign w:val="bottom"/>
          </w:tcPr>
          <w:p>
            <w:pPr>
              <w:pStyle w:val="TableContents"/>
              <w:spacing w:before="0" w:after="0"/>
              <w:jc w:val="right"/>
              <w:rPr/>
            </w:pPr>
            <w:r>
              <w:rPr/>
              <w:t>1,475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bottom w:val="double" w:sz="8" w:space="0" w:color="000000"/>
            </w:tcBorders>
            <w:shd w:fill="CCEEFF" w:val="clear"/>
            <w:tcMar>
              <w:bottom w:w="28" w:type="dxa"/>
            </w:tcMar>
            <w:vAlign w:val="bottom"/>
          </w:tcPr>
          <w:p>
            <w:pPr>
              <w:pStyle w:val="TableContents"/>
              <w:spacing w:before="0" w:after="0"/>
              <w:rPr/>
            </w:pPr>
            <w:r>
              <w:rPr/>
              <w:t>$</w:t>
            </w:r>
          </w:p>
        </w:tc>
        <w:tc>
          <w:tcPr>
            <w:tcW w:w="875" w:type="dxa"/>
            <w:tcBorders>
              <w:bottom w:val="double" w:sz="8" w:space="0" w:color="000000"/>
            </w:tcBorders>
            <w:shd w:fill="CCEEFF" w:val="clear"/>
            <w:tcMar>
              <w:bottom w:w="28" w:type="dxa"/>
            </w:tcMar>
            <w:vAlign w:val="bottom"/>
          </w:tcPr>
          <w:p>
            <w:pPr>
              <w:pStyle w:val="TableContents"/>
              <w:spacing w:before="0" w:after="0"/>
              <w:jc w:val="right"/>
              <w:rPr/>
            </w:pPr>
            <w:r>
              <w:rPr/>
              <w:t>64,668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bottom w:val="double" w:sz="8" w:space="0" w:color="000000"/>
            </w:tcBorders>
            <w:shd w:fill="CCEEFF" w:val="clear"/>
            <w:tcMar>
              <w:bottom w:w="28" w:type="dxa"/>
            </w:tcMar>
            <w:vAlign w:val="bottom"/>
          </w:tcPr>
          <w:p>
            <w:pPr>
              <w:pStyle w:val="TableContents"/>
              <w:spacing w:before="0" w:after="0"/>
              <w:rPr/>
            </w:pPr>
            <w:r>
              <w:rPr/>
              <w:t>$</w:t>
            </w:r>
          </w:p>
        </w:tc>
        <w:tc>
          <w:tcPr>
            <w:tcW w:w="916" w:type="dxa"/>
            <w:tcBorders>
              <w:bottom w:val="double" w:sz="8" w:space="0" w:color="000000"/>
            </w:tcBorders>
            <w:shd w:fill="CCEEFF" w:val="clear"/>
            <w:tcMar>
              <w:bottom w:w="28" w:type="dxa"/>
            </w:tcMar>
            <w:vAlign w:val="bottom"/>
          </w:tcPr>
          <w:p>
            <w:pPr>
              <w:pStyle w:val="TableContents"/>
              <w:spacing w:before="0" w:after="0"/>
              <w:jc w:val="right"/>
              <w:rPr/>
            </w:pPr>
            <w:r>
              <w:rPr/>
              <w:t>1,565</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3" w:name="DSPFPageBreakArea22"/>
      <w:bookmarkStart w:id="244" w:name="DSPFPageBreakArea22"/>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45" w:name="DSPFPageNumber22"/>
      <w:bookmarkStart w:id="246" w:name="DSPFPageNumberArea21"/>
      <w:bookmarkEnd w:id="245"/>
      <w:bookmarkEnd w:id="246"/>
      <w:r>
        <w:rPr>
          <w:b w:val="false"/>
          <w:i w:val="false"/>
          <w:caps w:val="false"/>
          <w:smallCaps w:val="false"/>
          <w:sz w:val="13"/>
        </w:rPr>
        <w:t>23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7" w:name="DSPFPageBreak22"/>
      <w:bookmarkStart w:id="248" w:name="DSPFPageBreak22"/>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49" w:name="DSPFPageHeader21"/>
        <w:bookmarkEnd w:id="249"/>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Cash receipts on impaired loans on non-accrual status are generally applied to the principal balance.</w:t>
      </w:r>
    </w:p>
    <w:p>
      <w:pPr>
        <w:pStyle w:val="TextBody"/>
        <w:spacing w:before="0" w:after="0"/>
        <w:rPr/>
      </w:pPr>
      <w:r>
        <w:rPr/>
      </w:r>
    </w:p>
    <w:p>
      <w:pPr>
        <w:pStyle w:val="TextBody"/>
        <w:spacing w:before="0" w:after="0"/>
        <w:jc w:val="both"/>
        <w:rPr/>
      </w:pPr>
      <w:r>
        <w:rPr/>
        <w:t>TDRs follow:</w:t>
      </w:r>
    </w:p>
    <w:p>
      <w:pPr>
        <w:pStyle w:val="TextBody"/>
        <w:spacing w:before="0" w:after="0"/>
        <w:rPr/>
      </w:pPr>
      <w:r>
        <w:rPr/>
      </w:r>
    </w:p>
    <w:p>
      <w:pPr>
        <w:pStyle w:val="Normal"/>
        <w:spacing w:before="0" w:after="0"/>
        <w:rPr>
          <w:sz w:val="4"/>
          <w:szCs w:val="4"/>
        </w:rPr>
      </w:pPr>
      <w:r>
        <w:rPr>
          <w:sz w:val="4"/>
          <w:szCs w:val="4"/>
        </w:rPr>
      </w:r>
      <w:bookmarkStart w:id="250" w:name="zab16acd4c80941c2adad96e52bbaffa2"/>
      <w:bookmarkStart w:id="251" w:name="zab16acd4c80941c2adad96e52bbaffa2"/>
      <w:bookmarkEnd w:id="251"/>
    </w:p>
    <w:tbl>
      <w:tblPr>
        <w:tblW w:w="6735" w:type="dxa"/>
        <w:jc w:val="left"/>
        <w:tblInd w:w="0" w:type="dxa"/>
        <w:tblCellMar>
          <w:top w:w="0" w:type="dxa"/>
          <w:left w:w="0" w:type="dxa"/>
          <w:bottom w:w="0" w:type="dxa"/>
          <w:right w:w="0" w:type="dxa"/>
        </w:tblCellMar>
      </w:tblPr>
      <w:tblGrid>
        <w:gridCol w:w="2540"/>
        <w:gridCol w:w="60"/>
        <w:gridCol w:w="235"/>
        <w:gridCol w:w="940"/>
        <w:gridCol w:w="60"/>
        <w:gridCol w:w="60"/>
        <w:gridCol w:w="243"/>
        <w:gridCol w:w="1187"/>
        <w:gridCol w:w="60"/>
        <w:gridCol w:w="60"/>
        <w:gridCol w:w="350"/>
        <w:gridCol w:w="60"/>
        <w:gridCol w:w="140"/>
        <w:gridCol w:w="680"/>
        <w:gridCol w:w="60"/>
      </w:tblGrid>
      <w:tr>
        <w:trPr/>
        <w:tc>
          <w:tcPr>
            <w:tcW w:w="254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4075" w:type="dxa"/>
            <w:gridSpan w:val="12"/>
            <w:tcBorders>
              <w:bottom w:val="single" w:sz="12" w:space="0" w:color="000000"/>
            </w:tcBorders>
            <w:shd w:fill="auto" w:val="clear"/>
            <w:tcMar>
              <w:bottom w:w="28" w:type="dxa"/>
            </w:tcMar>
            <w:vAlign w:val="bottom"/>
          </w:tcPr>
          <w:p>
            <w:pPr>
              <w:pStyle w:val="TableContents"/>
              <w:spacing w:before="0" w:after="0"/>
              <w:jc w:val="center"/>
              <w:rPr/>
            </w:pPr>
            <w:r>
              <w:rPr/>
              <w:t>June 30, 2019</w:t>
            </w:r>
          </w:p>
        </w:tc>
        <w:tc>
          <w:tcPr>
            <w:tcW w:w="60" w:type="dxa"/>
            <w:tcBorders/>
            <w:shd w:fill="auto" w:val="clear"/>
            <w:vAlign w:val="bottom"/>
          </w:tcPr>
          <w:p>
            <w:pPr>
              <w:pStyle w:val="TableContents"/>
              <w:spacing w:before="0" w:after="283"/>
              <w:rPr/>
            </w:pPr>
            <w:r>
              <w:rPr/>
              <w:t> </w:t>
            </w:r>
          </w:p>
        </w:tc>
      </w:tr>
      <w:tr>
        <w:trPr/>
        <w:tc>
          <w:tcPr>
            <w:tcW w:w="254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pPr>
            <w:r>
              <w:rPr/>
              <w:t>Commercial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bottom w:val="single" w:sz="12" w:space="0" w:color="000000"/>
            </w:tcBorders>
            <w:shd w:fill="auto" w:val="clear"/>
            <w:tcMar>
              <w:bottom w:w="28" w:type="dxa"/>
            </w:tcMar>
            <w:vAlign w:val="bottom"/>
          </w:tcPr>
          <w:p>
            <w:pPr>
              <w:pStyle w:val="TableContents"/>
              <w:spacing w:before="0" w:after="0"/>
              <w:jc w:val="center"/>
              <w:rPr/>
            </w:pPr>
            <w:r>
              <w:rPr/>
              <w:t>Retail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60" w:type="dxa"/>
            <w:tcBorders/>
            <w:shd w:fill="auto" w:val="clear"/>
            <w:vAlign w:val="bottom"/>
          </w:tcPr>
          <w:p>
            <w:pPr>
              <w:pStyle w:val="TableContents"/>
              <w:spacing w:before="0" w:after="283"/>
              <w:rPr/>
            </w:pPr>
            <w:r>
              <w:rPr/>
              <w:t> </w:t>
            </w:r>
          </w:p>
        </w:tc>
      </w:tr>
      <w:tr>
        <w:trPr/>
        <w:tc>
          <w:tcPr>
            <w:tcW w:w="254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0"/>
              <w:jc w:val="center"/>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jc w:val="center"/>
              <w:rPr/>
            </w:pPr>
            <w:r>
              <w:rPr/>
              <w:t> </w:t>
            </w:r>
            <w:r>
              <w:rPr/>
              <w:t>(In 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540" w:type="dxa"/>
            <w:tcBorders/>
            <w:shd w:fill="CCEEFF" w:val="clear"/>
            <w:vAlign w:val="bottom"/>
          </w:tcPr>
          <w:p>
            <w:pPr>
              <w:pStyle w:val="TableContents"/>
              <w:spacing w:before="0" w:after="0"/>
              <w:ind w:left="144" w:right="0" w:hanging="144"/>
              <w:rPr/>
            </w:pPr>
            <w:r>
              <w:rPr/>
              <w:t>Performing TDRs</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940" w:type="dxa"/>
            <w:tcBorders/>
            <w:shd w:fill="CCEEFF" w:val="clear"/>
            <w:vAlign w:val="bottom"/>
          </w:tcPr>
          <w:p>
            <w:pPr>
              <w:pStyle w:val="TableContents"/>
              <w:spacing w:before="0" w:after="0"/>
              <w:jc w:val="right"/>
              <w:rPr/>
            </w:pPr>
            <w:r>
              <w:rPr/>
              <w:t>7,166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0"/>
              <w:rPr/>
            </w:pPr>
            <w:r>
              <w:rPr/>
              <w:t>$</w:t>
            </w:r>
          </w:p>
        </w:tc>
        <w:tc>
          <w:tcPr>
            <w:tcW w:w="1187" w:type="dxa"/>
            <w:tcBorders/>
            <w:shd w:fill="CCEEFF" w:val="clear"/>
            <w:vAlign w:val="bottom"/>
          </w:tcPr>
          <w:p>
            <w:pPr>
              <w:pStyle w:val="TableContents"/>
              <w:spacing w:before="0" w:after="0"/>
              <w:jc w:val="right"/>
              <w:rPr/>
            </w:pPr>
            <w:r>
              <w:rPr/>
              <w:t>42,136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49,302</w:t>
            </w:r>
          </w:p>
        </w:tc>
        <w:tc>
          <w:tcPr>
            <w:tcW w:w="60" w:type="dxa"/>
            <w:tcBorders/>
            <w:shd w:fill="CCEEFF" w:val="clear"/>
            <w:vAlign w:val="bottom"/>
          </w:tcPr>
          <w:p>
            <w:pPr>
              <w:pStyle w:val="TableContents"/>
              <w:spacing w:before="0" w:after="283"/>
              <w:rPr/>
            </w:pPr>
            <w:r>
              <w:rPr/>
              <w:t> </w:t>
            </w:r>
          </w:p>
        </w:tc>
      </w:tr>
      <w:tr>
        <w:trPr/>
        <w:tc>
          <w:tcPr>
            <w:tcW w:w="2540" w:type="dxa"/>
            <w:tcBorders/>
            <w:shd w:fill="FFFFFF" w:val="clear"/>
            <w:vAlign w:val="bottom"/>
          </w:tcPr>
          <w:p>
            <w:pPr>
              <w:pStyle w:val="TableContents"/>
              <w:spacing w:before="0" w:after="0"/>
              <w:ind w:left="144" w:right="0" w:hanging="144"/>
              <w:rPr/>
            </w:pPr>
            <w:r>
              <w:rPr/>
              <w:t>Non-performing TDRs (2)</w:t>
            </w:r>
          </w:p>
        </w:tc>
        <w:tc>
          <w:tcPr>
            <w:tcW w:w="60" w:type="dxa"/>
            <w:tcBorders/>
            <w:shd w:fill="FFFFFF" w:val="clear"/>
            <w:vAlign w:val="bottom"/>
          </w:tcPr>
          <w:p>
            <w:pPr>
              <w:pStyle w:val="TableContents"/>
              <w:spacing w:before="0" w:after="283"/>
              <w:rPr/>
            </w:pPr>
            <w:r>
              <w:rPr/>
              <w:t> </w:t>
            </w:r>
          </w:p>
        </w:tc>
        <w:tc>
          <w:tcPr>
            <w:tcW w:w="235"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40" w:type="dxa"/>
            <w:tcBorders>
              <w:bottom w:val="single" w:sz="12" w:space="0" w:color="000000"/>
            </w:tcBorders>
            <w:shd w:fill="FFFFFF" w:val="clear"/>
            <w:tcMar>
              <w:bottom w:w="28" w:type="dxa"/>
            </w:tcMar>
            <w:vAlign w:val="bottom"/>
          </w:tcPr>
          <w:p>
            <w:pPr>
              <w:pStyle w:val="TableContents"/>
              <w:spacing w:before="0" w:after="0"/>
              <w:jc w:val="right"/>
              <w:rPr/>
            </w:pPr>
            <w:r>
              <w:rPr/>
              <w:t>54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3"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87" w:type="dxa"/>
            <w:tcBorders>
              <w:bottom w:val="single" w:sz="12" w:space="0" w:color="000000"/>
            </w:tcBorders>
            <w:shd w:fill="FFFFFF" w:val="clear"/>
            <w:tcMar>
              <w:bottom w:w="28" w:type="dxa"/>
            </w:tcMar>
            <w:vAlign w:val="bottom"/>
          </w:tcPr>
          <w:p>
            <w:pPr>
              <w:pStyle w:val="TableContents"/>
              <w:spacing w:before="0" w:after="0"/>
              <w:jc w:val="right"/>
              <w:rPr/>
            </w:pPr>
            <w:r>
              <w:rPr/>
              <w:t>2,783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lineRule="auto" w:line="240" w:before="0" w:after="0"/>
              <w:rPr/>
            </w:pPr>
            <w:r>
              <w:rPr/>
              <w:t>(3)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2,837</w:t>
            </w:r>
          </w:p>
        </w:tc>
        <w:tc>
          <w:tcPr>
            <w:tcW w:w="60" w:type="dxa"/>
            <w:tcBorders/>
            <w:shd w:fill="FFFFFF" w:val="clear"/>
            <w:vAlign w:val="bottom"/>
          </w:tcPr>
          <w:p>
            <w:pPr>
              <w:pStyle w:val="TableContents"/>
              <w:spacing w:before="0" w:after="283"/>
              <w:rPr/>
            </w:pPr>
            <w:r>
              <w:rPr/>
              <w:t> </w:t>
            </w:r>
          </w:p>
        </w:tc>
      </w:tr>
      <w:tr>
        <w:trPr/>
        <w:tc>
          <w:tcPr>
            <w:tcW w:w="2540" w:type="dxa"/>
            <w:tcBorders/>
            <w:shd w:fill="CCEEFF" w:val="clear"/>
            <w:vAlign w:val="bottom"/>
          </w:tcPr>
          <w:p>
            <w:pPr>
              <w:pStyle w:val="TableContents"/>
              <w:spacing w:before="0" w:after="0"/>
              <w:ind w:left="324" w:right="0" w:hanging="144"/>
              <w:rPr/>
            </w:pPr>
            <w:r>
              <w:rPr/>
              <w:t>Total</w:t>
            </w:r>
          </w:p>
        </w:tc>
        <w:tc>
          <w:tcPr>
            <w:tcW w:w="60" w:type="dxa"/>
            <w:tcBorders/>
            <w:shd w:fill="CCEEFF" w:val="clear"/>
            <w:vAlign w:val="bottom"/>
          </w:tcPr>
          <w:p>
            <w:pPr>
              <w:pStyle w:val="TableContents"/>
              <w:spacing w:before="0" w:after="283"/>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rPr/>
            </w:pPr>
            <w:r>
              <w:rPr/>
              <w:t>$</w:t>
            </w:r>
          </w:p>
        </w:tc>
        <w:tc>
          <w:tcPr>
            <w:tcW w:w="940" w:type="dxa"/>
            <w:tcBorders>
              <w:bottom w:val="double" w:sz="8" w:space="0" w:color="000000"/>
            </w:tcBorders>
            <w:shd w:fill="CCEEFF" w:val="clear"/>
            <w:tcMar>
              <w:bottom w:w="28" w:type="dxa"/>
            </w:tcMar>
            <w:vAlign w:val="bottom"/>
          </w:tcPr>
          <w:p>
            <w:pPr>
              <w:pStyle w:val="TableContents"/>
              <w:spacing w:before="0" w:after="0"/>
              <w:jc w:val="right"/>
              <w:rPr/>
            </w:pPr>
            <w:r>
              <w:rPr/>
              <w:t>7,220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3" w:type="dxa"/>
            <w:tcBorders>
              <w:bottom w:val="double" w:sz="8" w:space="0" w:color="000000"/>
            </w:tcBorders>
            <w:shd w:fill="CCEEFF" w:val="clear"/>
            <w:tcMar>
              <w:bottom w:w="28" w:type="dxa"/>
            </w:tcMar>
            <w:vAlign w:val="bottom"/>
          </w:tcPr>
          <w:p>
            <w:pPr>
              <w:pStyle w:val="TableContents"/>
              <w:spacing w:before="0" w:after="0"/>
              <w:rPr/>
            </w:pPr>
            <w:r>
              <w:rPr/>
              <w:t>$</w:t>
            </w:r>
          </w:p>
        </w:tc>
        <w:tc>
          <w:tcPr>
            <w:tcW w:w="1187" w:type="dxa"/>
            <w:tcBorders>
              <w:bottom w:val="double" w:sz="8" w:space="0" w:color="000000"/>
            </w:tcBorders>
            <w:shd w:fill="CCEEFF" w:val="clear"/>
            <w:tcMar>
              <w:bottom w:w="28" w:type="dxa"/>
            </w:tcMar>
            <w:vAlign w:val="bottom"/>
          </w:tcPr>
          <w:p>
            <w:pPr>
              <w:pStyle w:val="TableContents"/>
              <w:spacing w:before="0" w:after="0"/>
              <w:jc w:val="right"/>
              <w:rPr/>
            </w:pPr>
            <w:r>
              <w:rPr/>
              <w:t>44,919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52,139</w:t>
            </w:r>
          </w:p>
        </w:tc>
        <w:tc>
          <w:tcPr>
            <w:tcW w:w="60" w:type="dxa"/>
            <w:tcBorders/>
            <w:shd w:fill="CCEEFF" w:val="clear"/>
            <w:vAlign w:val="bottom"/>
          </w:tcPr>
          <w:p>
            <w:pPr>
              <w:pStyle w:val="TableContents"/>
              <w:spacing w:before="0" w:after="283"/>
              <w:rPr/>
            </w:pPr>
            <w:r>
              <w:rPr/>
              <w:t> </w:t>
            </w:r>
          </w:p>
        </w:tc>
      </w:tr>
    </w:tbl>
    <w:p>
      <w:pPr>
        <w:pStyle w:val="TextBody"/>
        <w:spacing w:before="0" w:after="0"/>
        <w:rPr/>
      </w:pPr>
      <w:r>
        <w:rPr/>
      </w:r>
    </w:p>
    <w:tbl>
      <w:tblPr>
        <w:tblW w:w="6845" w:type="dxa"/>
        <w:jc w:val="left"/>
        <w:tblInd w:w="0" w:type="dxa"/>
        <w:tblCellMar>
          <w:top w:w="0" w:type="dxa"/>
          <w:left w:w="0" w:type="dxa"/>
          <w:bottom w:w="0" w:type="dxa"/>
          <w:right w:w="0" w:type="dxa"/>
        </w:tblCellMar>
      </w:tblPr>
      <w:tblGrid>
        <w:gridCol w:w="2555"/>
        <w:gridCol w:w="60"/>
        <w:gridCol w:w="235"/>
        <w:gridCol w:w="940"/>
        <w:gridCol w:w="60"/>
        <w:gridCol w:w="60"/>
        <w:gridCol w:w="140"/>
        <w:gridCol w:w="1370"/>
        <w:gridCol w:w="60"/>
        <w:gridCol w:w="60"/>
        <w:gridCol w:w="350"/>
        <w:gridCol w:w="60"/>
        <w:gridCol w:w="140"/>
        <w:gridCol w:w="680"/>
        <w:gridCol w:w="75"/>
      </w:tblGrid>
      <w:tr>
        <w:trPr/>
        <w:tc>
          <w:tcPr>
            <w:tcW w:w="255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4155" w:type="dxa"/>
            <w:gridSpan w:val="12"/>
            <w:tcBorders>
              <w:bottom w:val="single" w:sz="12" w:space="0" w:color="000000"/>
            </w:tcBorders>
            <w:shd w:fill="auto" w:val="clear"/>
            <w:tcMar>
              <w:bottom w:w="28" w:type="dxa"/>
            </w:tcMar>
            <w:vAlign w:val="bottom"/>
          </w:tcPr>
          <w:p>
            <w:pPr>
              <w:pStyle w:val="TableContents"/>
              <w:spacing w:before="0" w:after="0"/>
              <w:jc w:val="center"/>
              <w:rPr/>
            </w:pPr>
            <w:r>
              <w:rPr/>
              <w:t>December 31, 2018</w:t>
            </w:r>
          </w:p>
        </w:tc>
        <w:tc>
          <w:tcPr>
            <w:tcW w:w="75" w:type="dxa"/>
            <w:tcBorders/>
            <w:shd w:fill="auto" w:val="clear"/>
            <w:vAlign w:val="bottom"/>
          </w:tcPr>
          <w:p>
            <w:pPr>
              <w:pStyle w:val="TableContents"/>
              <w:spacing w:before="0" w:after="283"/>
              <w:rPr/>
            </w:pPr>
            <w:r>
              <w:rPr/>
              <w:t> </w:t>
            </w:r>
          </w:p>
        </w:tc>
      </w:tr>
      <w:tr>
        <w:trPr/>
        <w:tc>
          <w:tcPr>
            <w:tcW w:w="255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pPr>
            <w:r>
              <w:rPr/>
              <w:t>Commercial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0" w:type="dxa"/>
            <w:gridSpan w:val="2"/>
            <w:tcBorders>
              <w:bottom w:val="single" w:sz="12" w:space="0" w:color="000000"/>
            </w:tcBorders>
            <w:shd w:fill="auto" w:val="clear"/>
            <w:tcMar>
              <w:bottom w:w="28" w:type="dxa"/>
            </w:tcMar>
            <w:vAlign w:val="bottom"/>
          </w:tcPr>
          <w:p>
            <w:pPr>
              <w:pStyle w:val="TableContents"/>
              <w:spacing w:before="0" w:after="0"/>
              <w:jc w:val="center"/>
              <w:rPr/>
            </w:pPr>
            <w:r>
              <w:rPr/>
              <w:t>Retail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75" w:type="dxa"/>
            <w:tcBorders/>
            <w:shd w:fill="auto" w:val="clear"/>
            <w:vAlign w:val="bottom"/>
          </w:tcPr>
          <w:p>
            <w:pPr>
              <w:pStyle w:val="TableContents"/>
              <w:spacing w:before="0" w:after="283"/>
              <w:rPr/>
            </w:pPr>
            <w:r>
              <w:rPr/>
              <w:t> </w:t>
            </w:r>
          </w:p>
        </w:tc>
      </w:tr>
      <w:tr>
        <w:trPr/>
        <w:tc>
          <w:tcPr>
            <w:tcW w:w="255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0"/>
              <w:jc w:val="center"/>
              <w:rPr/>
            </w:pPr>
            <w:r>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center"/>
              <w:rPr/>
            </w:pPr>
            <w:r>
              <w:rPr/>
              <w:t>(In 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2555" w:type="dxa"/>
            <w:tcBorders/>
            <w:shd w:fill="CCEEFF" w:val="clear"/>
            <w:vAlign w:val="bottom"/>
          </w:tcPr>
          <w:p>
            <w:pPr>
              <w:pStyle w:val="TableContents"/>
              <w:spacing w:before="0" w:after="0"/>
              <w:ind w:left="144" w:right="0" w:hanging="144"/>
              <w:rPr/>
            </w:pPr>
            <w:r>
              <w:rPr/>
              <w:t>Performing TDRs</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940" w:type="dxa"/>
            <w:tcBorders/>
            <w:shd w:fill="CCEEFF" w:val="clear"/>
            <w:vAlign w:val="bottom"/>
          </w:tcPr>
          <w:p>
            <w:pPr>
              <w:pStyle w:val="TableContents"/>
              <w:spacing w:before="0" w:after="0"/>
              <w:jc w:val="right"/>
              <w:rPr/>
            </w:pPr>
            <w:r>
              <w:rPr/>
              <w:t>6,460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1370" w:type="dxa"/>
            <w:tcBorders/>
            <w:shd w:fill="CCEEFF" w:val="clear"/>
            <w:vAlign w:val="bottom"/>
          </w:tcPr>
          <w:p>
            <w:pPr>
              <w:pStyle w:val="TableContents"/>
              <w:spacing w:before="0" w:after="0"/>
              <w:jc w:val="right"/>
              <w:rPr/>
            </w:pPr>
            <w:r>
              <w:rPr/>
              <w:t>46,627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53,087</w:t>
            </w:r>
          </w:p>
        </w:tc>
        <w:tc>
          <w:tcPr>
            <w:tcW w:w="75" w:type="dxa"/>
            <w:tcBorders/>
            <w:shd w:fill="CCEEFF" w:val="clear"/>
            <w:vAlign w:val="bottom"/>
          </w:tcPr>
          <w:p>
            <w:pPr>
              <w:pStyle w:val="TableContents"/>
              <w:spacing w:before="0" w:after="283"/>
              <w:rPr/>
            </w:pPr>
            <w:r>
              <w:rPr/>
              <w:t> </w:t>
            </w:r>
          </w:p>
        </w:tc>
      </w:tr>
      <w:tr>
        <w:trPr/>
        <w:tc>
          <w:tcPr>
            <w:tcW w:w="2555" w:type="dxa"/>
            <w:tcBorders/>
            <w:shd w:fill="FFFFFF" w:val="clear"/>
            <w:vAlign w:val="bottom"/>
          </w:tcPr>
          <w:p>
            <w:pPr>
              <w:pStyle w:val="TableContents"/>
              <w:spacing w:before="0" w:after="0"/>
              <w:ind w:left="144" w:right="0" w:hanging="144"/>
              <w:rPr/>
            </w:pPr>
            <w:r>
              <w:rPr/>
              <w:t>Non-performing TDRs (2)</w:t>
            </w:r>
          </w:p>
        </w:tc>
        <w:tc>
          <w:tcPr>
            <w:tcW w:w="60" w:type="dxa"/>
            <w:tcBorders/>
            <w:shd w:fill="FFFFFF" w:val="clear"/>
            <w:vAlign w:val="bottom"/>
          </w:tcPr>
          <w:p>
            <w:pPr>
              <w:pStyle w:val="TableContents"/>
              <w:spacing w:before="0" w:after="283"/>
              <w:rPr/>
            </w:pPr>
            <w:r>
              <w:rPr/>
              <w:t> </w:t>
            </w:r>
          </w:p>
        </w:tc>
        <w:tc>
          <w:tcPr>
            <w:tcW w:w="235"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40" w:type="dxa"/>
            <w:tcBorders>
              <w:bottom w:val="single" w:sz="12" w:space="0" w:color="000000"/>
            </w:tcBorders>
            <w:shd w:fill="FFFFFF" w:val="clear"/>
            <w:tcMar>
              <w:bottom w:w="28" w:type="dxa"/>
            </w:tcMar>
            <w:vAlign w:val="bottom"/>
          </w:tcPr>
          <w:p>
            <w:pPr>
              <w:pStyle w:val="TableContents"/>
              <w:spacing w:before="0" w:after="0"/>
              <w:jc w:val="right"/>
              <w:rPr/>
            </w:pPr>
            <w:r>
              <w:rPr/>
              <w:t>74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370" w:type="dxa"/>
            <w:tcBorders>
              <w:bottom w:val="single" w:sz="12" w:space="0" w:color="000000"/>
            </w:tcBorders>
            <w:shd w:fill="FFFFFF" w:val="clear"/>
            <w:tcMar>
              <w:bottom w:w="28" w:type="dxa"/>
            </w:tcMar>
            <w:vAlign w:val="bottom"/>
          </w:tcPr>
          <w:p>
            <w:pPr>
              <w:pStyle w:val="TableContents"/>
              <w:spacing w:before="0" w:after="0"/>
              <w:jc w:val="right"/>
              <w:rPr/>
            </w:pPr>
            <w:r>
              <w:rPr/>
              <w:t>2,884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50" w:type="dxa"/>
            <w:tcBorders/>
            <w:shd w:fill="FFFFFF" w:val="clear"/>
            <w:vAlign w:val="bottom"/>
          </w:tcPr>
          <w:p>
            <w:pPr>
              <w:pStyle w:val="TableContents"/>
              <w:spacing w:lineRule="auto" w:line="240" w:before="0" w:after="0"/>
              <w:rPr/>
            </w:pPr>
            <w:r>
              <w:rPr/>
              <w:t>(3)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2,958</w:t>
            </w:r>
          </w:p>
        </w:tc>
        <w:tc>
          <w:tcPr>
            <w:tcW w:w="75" w:type="dxa"/>
            <w:tcBorders/>
            <w:shd w:fill="FFFFFF" w:val="clear"/>
            <w:vAlign w:val="bottom"/>
          </w:tcPr>
          <w:p>
            <w:pPr>
              <w:pStyle w:val="TableContents"/>
              <w:spacing w:before="0" w:after="283"/>
              <w:rPr/>
            </w:pPr>
            <w:r>
              <w:rPr/>
              <w:t> </w:t>
            </w:r>
          </w:p>
        </w:tc>
      </w:tr>
      <w:tr>
        <w:trPr/>
        <w:tc>
          <w:tcPr>
            <w:tcW w:w="2555" w:type="dxa"/>
            <w:tcBorders/>
            <w:shd w:fill="CCEEFF" w:val="clear"/>
            <w:vAlign w:val="bottom"/>
          </w:tcPr>
          <w:p>
            <w:pPr>
              <w:pStyle w:val="TableContents"/>
              <w:spacing w:before="0" w:after="0"/>
              <w:ind w:left="324" w:right="0" w:hanging="144"/>
              <w:rPr/>
            </w:pPr>
            <w:r>
              <w:rPr/>
              <w:t>Total</w:t>
            </w:r>
          </w:p>
        </w:tc>
        <w:tc>
          <w:tcPr>
            <w:tcW w:w="60" w:type="dxa"/>
            <w:tcBorders/>
            <w:shd w:fill="CCEEFF" w:val="clear"/>
            <w:vAlign w:val="bottom"/>
          </w:tcPr>
          <w:p>
            <w:pPr>
              <w:pStyle w:val="TableContents"/>
              <w:spacing w:before="0" w:after="283"/>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rPr/>
            </w:pPr>
            <w:r>
              <w:rPr/>
              <w:t>$</w:t>
            </w:r>
          </w:p>
        </w:tc>
        <w:tc>
          <w:tcPr>
            <w:tcW w:w="940" w:type="dxa"/>
            <w:tcBorders>
              <w:bottom w:val="double" w:sz="8" w:space="0" w:color="000000"/>
            </w:tcBorders>
            <w:shd w:fill="CCEEFF" w:val="clear"/>
            <w:tcMar>
              <w:bottom w:w="28" w:type="dxa"/>
            </w:tcMar>
            <w:vAlign w:val="bottom"/>
          </w:tcPr>
          <w:p>
            <w:pPr>
              <w:pStyle w:val="TableContents"/>
              <w:spacing w:before="0" w:after="0"/>
              <w:jc w:val="right"/>
              <w:rPr/>
            </w:pPr>
            <w:r>
              <w:rPr/>
              <w:t>6,534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1370" w:type="dxa"/>
            <w:tcBorders>
              <w:bottom w:val="double" w:sz="8" w:space="0" w:color="000000"/>
            </w:tcBorders>
            <w:shd w:fill="CCEEFF" w:val="clear"/>
            <w:tcMar>
              <w:bottom w:w="28" w:type="dxa"/>
            </w:tcMar>
            <w:vAlign w:val="bottom"/>
          </w:tcPr>
          <w:p>
            <w:pPr>
              <w:pStyle w:val="TableContents"/>
              <w:spacing w:before="0" w:after="0"/>
              <w:jc w:val="right"/>
              <w:rPr/>
            </w:pPr>
            <w:r>
              <w:rPr/>
              <w:t>49,511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56,045</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252" w:name="z2e6e1b126af846f49a3b9a446d80fb36"/>
      <w:bookmarkStart w:id="253" w:name="z2e6e1b126af846f49a3b9a446d80fb36"/>
      <w:bookmarkEnd w:id="253"/>
    </w:p>
    <w:tbl>
      <w:tblPr>
        <w:tblW w:w="6085" w:type="dxa"/>
        <w:jc w:val="left"/>
        <w:tblInd w:w="0" w:type="dxa"/>
        <w:tblCellMar>
          <w:top w:w="0" w:type="dxa"/>
          <w:left w:w="0" w:type="dxa"/>
          <w:bottom w:w="0" w:type="dxa"/>
          <w:right w:w="0" w:type="dxa"/>
        </w:tblCellMar>
      </w:tblPr>
      <w:tblGrid>
        <w:gridCol w:w="305"/>
        <w:gridCol w:w="5780"/>
      </w:tblGrid>
      <w:tr>
        <w:trPr/>
        <w:tc>
          <w:tcPr>
            <w:tcW w:w="305" w:type="dxa"/>
            <w:tcBorders/>
            <w:shd w:fill="auto" w:val="clear"/>
            <w:vAlign w:val="center"/>
          </w:tcPr>
          <w:p>
            <w:pPr>
              <w:pStyle w:val="TableContents"/>
              <w:spacing w:before="0" w:after="283"/>
              <w:rPr/>
            </w:pPr>
            <w:r>
              <w:rPr/>
              <w:t>(1)</w:t>
            </w:r>
          </w:p>
        </w:tc>
        <w:tc>
          <w:tcPr>
            <w:tcW w:w="5780" w:type="dxa"/>
            <w:tcBorders/>
            <w:shd w:fill="auto" w:val="clear"/>
            <w:vAlign w:val="center"/>
          </w:tcPr>
          <w:p>
            <w:pPr>
              <w:pStyle w:val="TableContents"/>
              <w:spacing w:before="0" w:after="0"/>
              <w:rPr/>
            </w:pPr>
            <w:r>
              <w:rPr/>
              <w:t>Retail loans include mortgage and installment loan segments.</w:t>
            </w:r>
          </w:p>
        </w:tc>
      </w:tr>
    </w:tbl>
    <w:p>
      <w:pPr>
        <w:pStyle w:val="Normal"/>
        <w:spacing w:before="0" w:after="0"/>
        <w:rPr>
          <w:sz w:val="4"/>
          <w:szCs w:val="4"/>
        </w:rPr>
      </w:pPr>
      <w:r>
        <w:rPr>
          <w:sz w:val="4"/>
          <w:szCs w:val="4"/>
        </w:rPr>
      </w:r>
      <w:bookmarkStart w:id="254" w:name="z4bd613bea9344bd0814928155ecaa7f0"/>
      <w:bookmarkStart w:id="255" w:name="z4bd613bea9344bd0814928155ecaa7f0"/>
      <w:bookmarkEnd w:id="255"/>
    </w:p>
    <w:tbl>
      <w:tblPr>
        <w:tblW w:w="4705" w:type="dxa"/>
        <w:jc w:val="left"/>
        <w:tblInd w:w="0" w:type="dxa"/>
        <w:tblCellMar>
          <w:top w:w="0" w:type="dxa"/>
          <w:left w:w="0" w:type="dxa"/>
          <w:bottom w:w="0" w:type="dxa"/>
          <w:right w:w="0" w:type="dxa"/>
        </w:tblCellMar>
      </w:tblPr>
      <w:tblGrid>
        <w:gridCol w:w="305"/>
        <w:gridCol w:w="4400"/>
      </w:tblGrid>
      <w:tr>
        <w:trPr/>
        <w:tc>
          <w:tcPr>
            <w:tcW w:w="305" w:type="dxa"/>
            <w:tcBorders/>
            <w:shd w:fill="auto" w:val="clear"/>
            <w:vAlign w:val="center"/>
          </w:tcPr>
          <w:p>
            <w:pPr>
              <w:pStyle w:val="TableContents"/>
              <w:spacing w:before="0" w:after="283"/>
              <w:rPr/>
            </w:pPr>
            <w:r>
              <w:rPr/>
              <w:t>(2)</w:t>
            </w:r>
          </w:p>
        </w:tc>
        <w:tc>
          <w:tcPr>
            <w:tcW w:w="4400" w:type="dxa"/>
            <w:tcBorders/>
            <w:shd w:fill="auto" w:val="clear"/>
            <w:vAlign w:val="center"/>
          </w:tcPr>
          <w:p>
            <w:pPr>
              <w:pStyle w:val="TableContents"/>
              <w:spacing w:before="0" w:after="0"/>
              <w:rPr/>
            </w:pPr>
            <w:r>
              <w:rPr/>
              <w:t>Included in non-performing loans table above.</w:t>
            </w:r>
          </w:p>
        </w:tc>
      </w:tr>
    </w:tbl>
    <w:p>
      <w:pPr>
        <w:pStyle w:val="Normal"/>
        <w:spacing w:before="0" w:after="0"/>
        <w:rPr>
          <w:sz w:val="4"/>
          <w:szCs w:val="4"/>
        </w:rPr>
      </w:pPr>
      <w:r>
        <w:rPr>
          <w:sz w:val="4"/>
          <w:szCs w:val="4"/>
        </w:rPr>
      </w:r>
      <w:bookmarkStart w:id="256" w:name="z27f12732c44849778d84ec54b0ab49c6"/>
      <w:bookmarkStart w:id="257" w:name="z27f12732c44849778d84ec54b0ab49c6"/>
      <w:bookmarkEnd w:id="257"/>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rPr/>
            </w:pPr>
            <w:r>
              <w:rPr/>
              <w:t>(3)</w:t>
            </w:r>
          </w:p>
        </w:tc>
        <w:tc>
          <w:tcPr>
            <w:tcW w:w="9906" w:type="dxa"/>
            <w:tcBorders/>
            <w:shd w:fill="auto" w:val="clear"/>
            <w:vAlign w:val="center"/>
          </w:tcPr>
          <w:p>
            <w:pPr>
              <w:pStyle w:val="TableContents"/>
              <w:spacing w:before="0" w:after="0"/>
              <w:rPr/>
            </w:pPr>
            <w:r>
              <w:rPr/>
              <w:t>Also includes loans on non-accrual at the time of modification until six payments are received on a timely basis.</w:t>
            </w:r>
          </w:p>
        </w:tc>
      </w:tr>
    </w:tbl>
    <w:p>
      <w:pPr>
        <w:pStyle w:val="TextBody"/>
        <w:spacing w:before="0" w:after="0"/>
        <w:rPr/>
      </w:pPr>
      <w:r>
        <w:rPr/>
      </w:r>
    </w:p>
    <w:p>
      <w:pPr>
        <w:pStyle w:val="TextBody"/>
        <w:spacing w:before="0" w:after="0"/>
        <w:jc w:val="both"/>
        <w:rPr/>
      </w:pPr>
      <w:r>
        <w:rPr/>
        <w:t>We allocated $5.1 million and $5.6 million of specific reserves to customers whose loan terms have been modified in troubled debt restructurings as of June 30, 2019 and December 31, 2018, respectively.</w:t>
      </w:r>
    </w:p>
    <w:p>
      <w:pPr>
        <w:pStyle w:val="TextBody"/>
        <w:spacing w:before="0" w:after="0"/>
        <w:rPr/>
      </w:pPr>
      <w:r>
        <w:rPr/>
      </w:r>
    </w:p>
    <w:p>
      <w:pPr>
        <w:pStyle w:val="TextBody"/>
        <w:spacing w:before="0" w:after="0"/>
        <w:jc w:val="both"/>
        <w:rPr/>
      </w:pPr>
      <w:r>
        <w:rPr/>
        <w:t>During the six months ended June 30, 2019 and 2018, the terms of certain loans were modified as troubled debt restructurings.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pStyle w:val="TextBody"/>
        <w:spacing w:before="0" w:after="0"/>
        <w:rPr/>
      </w:pPr>
      <w:r>
        <w:rPr/>
      </w:r>
    </w:p>
    <w:p>
      <w:pPr>
        <w:pStyle w:val="TextBody"/>
        <w:spacing w:before="0" w:after="0"/>
        <w:jc w:val="both"/>
        <w:rPr/>
      </w:pPr>
      <w:r>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8" w:name="DSPFPageBreakArea23"/>
      <w:bookmarkStart w:id="259" w:name="DSPFPageBreakArea23"/>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60" w:name="DSPFPageNumber23"/>
      <w:bookmarkStart w:id="261" w:name="DSPFPageNumberArea22"/>
      <w:bookmarkEnd w:id="260"/>
      <w:bookmarkEnd w:id="261"/>
      <w:r>
        <w:rPr>
          <w:b w:val="false"/>
          <w:i w:val="false"/>
          <w:caps w:val="false"/>
          <w:smallCaps w:val="false"/>
          <w:sz w:val="13"/>
        </w:rPr>
        <w:t>24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2" w:name="DSPFPageBreak23"/>
      <w:bookmarkStart w:id="263" w:name="DSPFPageBreak23"/>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64" w:name="DSPFPageHeader22"/>
        <w:bookmarkEnd w:id="26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Loans that have been classified as troubled debt restructurings during the three-month periods ended June 30 follow:</w:t>
      </w:r>
    </w:p>
    <w:p>
      <w:pPr>
        <w:pStyle w:val="TextBody"/>
        <w:spacing w:before="0" w:after="0"/>
        <w:rPr/>
      </w:pPr>
      <w:r>
        <w:rPr/>
      </w:r>
    </w:p>
    <w:p>
      <w:pPr>
        <w:pStyle w:val="Normal"/>
        <w:spacing w:before="0" w:after="0"/>
        <w:rPr>
          <w:sz w:val="4"/>
          <w:szCs w:val="4"/>
        </w:rPr>
      </w:pPr>
      <w:r>
        <w:rPr>
          <w:sz w:val="4"/>
          <w:szCs w:val="4"/>
        </w:rPr>
      </w:r>
      <w:bookmarkStart w:id="265" w:name="za07d8369bfe04b458f9dc90602aa9d87"/>
      <w:bookmarkStart w:id="266" w:name="za07d8369bfe04b458f9dc90602aa9d87"/>
      <w:bookmarkEnd w:id="266"/>
    </w:p>
    <w:tbl>
      <w:tblPr>
        <w:tblW w:w="9500" w:type="dxa"/>
        <w:jc w:val="left"/>
        <w:tblInd w:w="0" w:type="dxa"/>
        <w:tblCellMar>
          <w:top w:w="0" w:type="dxa"/>
          <w:left w:w="0" w:type="dxa"/>
          <w:bottom w:w="0" w:type="dxa"/>
          <w:right w:w="0" w:type="dxa"/>
        </w:tblCellMar>
      </w:tblPr>
      <w:tblGrid>
        <w:gridCol w:w="4790"/>
        <w:gridCol w:w="60"/>
        <w:gridCol w:w="316"/>
        <w:gridCol w:w="739"/>
        <w:gridCol w:w="60"/>
        <w:gridCol w:w="60"/>
        <w:gridCol w:w="319"/>
        <w:gridCol w:w="1276"/>
        <w:gridCol w:w="60"/>
        <w:gridCol w:w="60"/>
        <w:gridCol w:w="337"/>
        <w:gridCol w:w="1348"/>
        <w:gridCol w:w="75"/>
      </w:tblGrid>
      <w:tr>
        <w:trPr/>
        <w:tc>
          <w:tcPr>
            <w:tcW w:w="479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Number of</w:t>
            </w:r>
          </w:p>
          <w:p>
            <w:pPr>
              <w:pStyle w:val="TableContents"/>
              <w:spacing w:before="0" w:after="0"/>
              <w:jc w:val="center"/>
              <w:rPr/>
            </w:pPr>
            <w:r>
              <w:rPr/>
              <w:t>Contracts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gridSpan w:val="2"/>
            <w:tcBorders>
              <w:bottom w:val="single" w:sz="12" w:space="0" w:color="000000"/>
            </w:tcBorders>
            <w:shd w:fill="auto" w:val="clear"/>
            <w:tcMar>
              <w:bottom w:w="28" w:type="dxa"/>
            </w:tcMar>
            <w:vAlign w:val="bottom"/>
          </w:tcPr>
          <w:p>
            <w:pPr>
              <w:pStyle w:val="TableContents"/>
              <w:spacing w:before="0" w:after="0"/>
              <w:jc w:val="center"/>
              <w:rPr/>
            </w:pPr>
            <w:r>
              <w:rPr/>
              <w:t>Pre-modification</w:t>
            </w:r>
          </w:p>
          <w:p>
            <w:pPr>
              <w:pStyle w:val="TableContents"/>
              <w:spacing w:before="0" w:after="0"/>
              <w:jc w:val="center"/>
              <w:rPr/>
            </w:pPr>
            <w:r>
              <w:rPr/>
              <w:t>Recorded</w:t>
            </w:r>
          </w:p>
          <w:p>
            <w:pPr>
              <w:pStyle w:val="TableContents"/>
              <w:spacing w:before="0" w:after="0"/>
              <w:jc w:val="center"/>
              <w:rPr/>
            </w:pPr>
            <w:r>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5" w:type="dxa"/>
            <w:gridSpan w:val="2"/>
            <w:tcBorders>
              <w:bottom w:val="single" w:sz="12" w:space="0" w:color="000000"/>
            </w:tcBorders>
            <w:shd w:fill="auto" w:val="clear"/>
            <w:tcMar>
              <w:bottom w:w="28" w:type="dxa"/>
            </w:tcMar>
            <w:vAlign w:val="bottom"/>
          </w:tcPr>
          <w:p>
            <w:pPr>
              <w:pStyle w:val="TableContents"/>
              <w:spacing w:before="0" w:after="0"/>
              <w:jc w:val="center"/>
              <w:rPr/>
            </w:pPr>
            <w:r>
              <w:rPr/>
              <w:t>Post-modification</w:t>
            </w:r>
          </w:p>
          <w:p>
            <w:pPr>
              <w:pStyle w:val="TableContents"/>
              <w:spacing w:before="0" w:after="0"/>
              <w:jc w:val="center"/>
              <w:rPr/>
            </w:pPr>
            <w:r>
              <w:rPr/>
              <w:t>Recorded</w:t>
            </w:r>
          </w:p>
          <w:p>
            <w:pPr>
              <w:pStyle w:val="TableContents"/>
              <w:spacing w:before="0" w:after="0"/>
              <w:jc w:val="center"/>
              <w:rPr/>
            </w:pPr>
            <w:r>
              <w:rPr/>
              <w:t>Balance</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75" w:type="dxa"/>
            <w:gridSpan w:val="10"/>
            <w:tcBorders/>
            <w:shd w:fill="auto" w:val="clear"/>
            <w:vAlign w:val="bottom"/>
          </w:tcPr>
          <w:p>
            <w:pPr>
              <w:pStyle w:val="TableContents"/>
              <w:spacing w:before="0" w:after="0"/>
              <w:jc w:val="center"/>
              <w:rPr/>
            </w:pPr>
            <w:r>
              <w:rPr/>
              <w:t>(Dollars in thousands)</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0"/>
              <w:ind w:left="144" w:right="0" w:hanging="144"/>
              <w:rPr/>
            </w:pPr>
            <w:r>
              <w:rPr/>
              <w:t>2019</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0"/>
              <w:ind w:left="324" w:right="0" w:hanging="144"/>
              <w:rPr/>
            </w:pPr>
            <w:r>
              <w:rPr/>
              <w:t>Commercial</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0"/>
              <w:rPr/>
            </w:pPr>
            <w:r>
              <w:rPr/>
              <w:t>$</w:t>
            </w:r>
          </w:p>
        </w:tc>
        <w:tc>
          <w:tcPr>
            <w:tcW w:w="1276" w:type="dxa"/>
            <w:tcBorders/>
            <w:shd w:fill="CCEEFF" w:val="clear"/>
            <w:vAlign w:val="bottom"/>
          </w:tcPr>
          <w:p>
            <w:pPr>
              <w:pStyle w:val="TableContents"/>
              <w:spacing w:before="0" w:after="0"/>
              <w:jc w:val="right"/>
              <w:rPr/>
            </w:pPr>
            <w:r>
              <w:rPr/>
              <w:t>1,329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0"/>
              <w:rPr/>
            </w:pPr>
            <w:r>
              <w:rPr/>
              <w:t>$</w:t>
            </w:r>
          </w:p>
        </w:tc>
        <w:tc>
          <w:tcPr>
            <w:tcW w:w="1348" w:type="dxa"/>
            <w:tcBorders/>
            <w:shd w:fill="CCEEFF" w:val="clear"/>
            <w:vAlign w:val="bottom"/>
          </w:tcPr>
          <w:p>
            <w:pPr>
              <w:pStyle w:val="TableContents"/>
              <w:spacing w:before="0" w:after="0"/>
              <w:jc w:val="right"/>
              <w:rPr/>
            </w:pPr>
            <w:r>
              <w:rPr/>
              <w:t>1,329</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506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505</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pPr>
            <w:r>
              <w:rPr/>
              <w:t>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25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26</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76</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31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39"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348"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pPr>
            <w:r>
              <w:rPr/>
              <w:t>Total</w:t>
            </w:r>
          </w:p>
        </w:tc>
        <w:tc>
          <w:tcPr>
            <w:tcW w:w="60" w:type="dxa"/>
            <w:tcBorders/>
            <w:shd w:fill="CCEEFF" w:val="clear"/>
            <w:vAlign w:val="bottom"/>
          </w:tcPr>
          <w:p>
            <w:pPr>
              <w:pStyle w:val="TableContents"/>
              <w:spacing w:before="0" w:after="283"/>
              <w:rPr/>
            </w:pPr>
            <w:r>
              <w:rPr/>
              <w:t> </w:t>
            </w:r>
          </w:p>
        </w:tc>
        <w:tc>
          <w:tcPr>
            <w:tcW w:w="316" w:type="dxa"/>
            <w:tcBorders>
              <w:bottom w:val="double" w:sz="8" w:space="0" w:color="000000"/>
            </w:tcBorders>
            <w:shd w:fill="CCEEFF" w:val="clear"/>
            <w:tcMar>
              <w:bottom w:w="28" w:type="dxa"/>
            </w:tcMar>
            <w:vAlign w:val="bottom"/>
          </w:tcPr>
          <w:p>
            <w:pPr>
              <w:pStyle w:val="TableContents"/>
              <w:spacing w:before="0" w:after="283"/>
              <w:rPr/>
            </w:pPr>
            <w:r>
              <w:rPr/>
              <w:t> </w:t>
            </w:r>
          </w:p>
        </w:tc>
        <w:tc>
          <w:tcPr>
            <w:tcW w:w="739" w:type="dxa"/>
            <w:tcBorders>
              <w:bottom w:val="double" w:sz="8" w:space="0" w:color="000000"/>
            </w:tcBorders>
            <w:shd w:fill="CCEEFF" w:val="clear"/>
            <w:tcMar>
              <w:bottom w:w="28" w:type="dxa"/>
            </w:tcMar>
            <w:vAlign w:val="bottom"/>
          </w:tcPr>
          <w:p>
            <w:pPr>
              <w:pStyle w:val="TableContents"/>
              <w:spacing w:before="0" w:after="0"/>
              <w:jc w:val="right"/>
              <w:rPr/>
            </w:pPr>
            <w:r>
              <w:rPr/>
              <w:t>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bottom w:val="double" w:sz="8" w:space="0" w:color="000000"/>
            </w:tcBorders>
            <w:shd w:fill="CCEEFF" w:val="clear"/>
            <w:tcMar>
              <w:bottom w:w="28" w:type="dxa"/>
            </w:tcMar>
            <w:vAlign w:val="bottom"/>
          </w:tcPr>
          <w:p>
            <w:pPr>
              <w:pStyle w:val="TableContents"/>
              <w:spacing w:before="0" w:after="0"/>
              <w:rPr/>
            </w:pPr>
            <w:r>
              <w:rPr/>
              <w:t>$</w:t>
            </w:r>
          </w:p>
        </w:tc>
        <w:tc>
          <w:tcPr>
            <w:tcW w:w="1276" w:type="dxa"/>
            <w:tcBorders>
              <w:bottom w:val="double" w:sz="8" w:space="0" w:color="000000"/>
            </w:tcBorders>
            <w:shd w:fill="CCEEFF" w:val="clear"/>
            <w:tcMar>
              <w:bottom w:w="28" w:type="dxa"/>
            </w:tcMar>
            <w:vAlign w:val="bottom"/>
          </w:tcPr>
          <w:p>
            <w:pPr>
              <w:pStyle w:val="TableContents"/>
              <w:spacing w:before="0" w:after="0"/>
              <w:jc w:val="right"/>
              <w:rPr/>
            </w:pPr>
            <w:r>
              <w:rPr/>
              <w:t>1,935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bottom w:val="double" w:sz="8" w:space="0" w:color="000000"/>
            </w:tcBorders>
            <w:shd w:fill="CCEEFF" w:val="clear"/>
            <w:tcMar>
              <w:bottom w:w="28" w:type="dxa"/>
            </w:tcMar>
            <w:vAlign w:val="bottom"/>
          </w:tcPr>
          <w:p>
            <w:pPr>
              <w:pStyle w:val="TableContents"/>
              <w:spacing w:before="0" w:after="0"/>
              <w:rPr/>
            </w:pPr>
            <w:r>
              <w:rPr/>
              <w:t>$</w:t>
            </w:r>
          </w:p>
        </w:tc>
        <w:tc>
          <w:tcPr>
            <w:tcW w:w="1348" w:type="dxa"/>
            <w:tcBorders>
              <w:bottom w:val="double" w:sz="8" w:space="0" w:color="000000"/>
            </w:tcBorders>
            <w:shd w:fill="CCEEFF" w:val="clear"/>
            <w:tcMar>
              <w:bottom w:w="28" w:type="dxa"/>
            </w:tcMar>
            <w:vAlign w:val="bottom"/>
          </w:tcPr>
          <w:p>
            <w:pPr>
              <w:pStyle w:val="TableContents"/>
              <w:spacing w:before="0" w:after="0"/>
              <w:jc w:val="right"/>
              <w:rPr/>
            </w:pPr>
            <w:r>
              <w:rPr/>
              <w:t>1,936</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144" w:right="0" w:hanging="144"/>
              <w:rPr/>
            </w:pPr>
            <w:r>
              <w:rPr/>
              <w:t>2018</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324" w:right="0" w:hanging="144"/>
              <w:rPr/>
            </w:pPr>
            <w:r>
              <w:rPr/>
              <w:t>Commercial</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0"/>
              <w:rPr/>
            </w:pPr>
            <w:r>
              <w:rPr/>
              <w:t>$</w:t>
            </w:r>
          </w:p>
        </w:tc>
        <w:tc>
          <w:tcPr>
            <w:tcW w:w="12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0"/>
              <w:rPr/>
            </w:pPr>
            <w:r>
              <w:rPr/>
              <w:t>$</w:t>
            </w:r>
          </w:p>
        </w:tc>
        <w:tc>
          <w:tcPr>
            <w:tcW w:w="134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153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153</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69</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pPr>
            <w:r>
              <w:rPr/>
              <w:t>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90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91</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32</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316"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39" w:type="dxa"/>
            <w:tcBorders>
              <w:bottom w:val="single" w:sz="12" w:space="0" w:color="000000"/>
            </w:tcBorders>
            <w:shd w:fill="FFFFFF" w:val="clear"/>
            <w:tcMar>
              <w:bottom w:w="28" w:type="dxa"/>
            </w:tcMar>
            <w:vAlign w:val="bottom"/>
          </w:tcPr>
          <w:p>
            <w:pPr>
              <w:pStyle w:val="TableContents"/>
              <w:spacing w:before="0" w:after="0"/>
              <w:jc w:val="right"/>
              <w:rPr/>
            </w:pPr>
            <w:r>
              <w:rPr/>
              <w:t>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0"/>
              <w:jc w:val="right"/>
              <w:rPr/>
            </w:pPr>
            <w:r>
              <w:rPr/>
              <w:t>41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348" w:type="dxa"/>
            <w:tcBorders>
              <w:bottom w:val="single" w:sz="12" w:space="0" w:color="000000"/>
            </w:tcBorders>
            <w:shd w:fill="FFFFFF" w:val="clear"/>
            <w:tcMar>
              <w:bottom w:w="28" w:type="dxa"/>
            </w:tcMar>
            <w:vAlign w:val="bottom"/>
          </w:tcPr>
          <w:p>
            <w:pPr>
              <w:pStyle w:val="TableContents"/>
              <w:spacing w:before="0" w:after="0"/>
              <w:jc w:val="right"/>
              <w:rPr/>
            </w:pPr>
            <w:r>
              <w:rPr/>
              <w:t>41</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pPr>
            <w:r>
              <w:rPr/>
              <w:t>Total</w:t>
            </w:r>
          </w:p>
        </w:tc>
        <w:tc>
          <w:tcPr>
            <w:tcW w:w="60" w:type="dxa"/>
            <w:tcBorders/>
            <w:shd w:fill="CCEEFF" w:val="clear"/>
            <w:vAlign w:val="bottom"/>
          </w:tcPr>
          <w:p>
            <w:pPr>
              <w:pStyle w:val="TableContents"/>
              <w:spacing w:before="0" w:after="283"/>
              <w:rPr/>
            </w:pPr>
            <w:r>
              <w:rPr/>
              <w:t> </w:t>
            </w:r>
          </w:p>
        </w:tc>
        <w:tc>
          <w:tcPr>
            <w:tcW w:w="316" w:type="dxa"/>
            <w:tcBorders>
              <w:bottom w:val="double" w:sz="8" w:space="0" w:color="000000"/>
            </w:tcBorders>
            <w:shd w:fill="CCEEFF" w:val="clear"/>
            <w:tcMar>
              <w:bottom w:w="28" w:type="dxa"/>
            </w:tcMar>
            <w:vAlign w:val="bottom"/>
          </w:tcPr>
          <w:p>
            <w:pPr>
              <w:pStyle w:val="TableContents"/>
              <w:spacing w:before="0" w:after="283"/>
              <w:rPr/>
            </w:pPr>
            <w:r>
              <w:rPr/>
              <w:t> </w:t>
            </w:r>
          </w:p>
        </w:tc>
        <w:tc>
          <w:tcPr>
            <w:tcW w:w="739" w:type="dxa"/>
            <w:tcBorders>
              <w:bottom w:val="double" w:sz="8" w:space="0" w:color="000000"/>
            </w:tcBorders>
            <w:shd w:fill="CCEEFF" w:val="clear"/>
            <w:tcMar>
              <w:bottom w:w="28" w:type="dxa"/>
            </w:tcMar>
            <w:vAlign w:val="bottom"/>
          </w:tcPr>
          <w:p>
            <w:pPr>
              <w:pStyle w:val="TableContents"/>
              <w:spacing w:before="0" w:after="0"/>
              <w:jc w:val="right"/>
              <w:rPr/>
            </w:pPr>
            <w:r>
              <w:rPr/>
              <w:t>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bottom w:val="double" w:sz="8" w:space="0" w:color="000000"/>
            </w:tcBorders>
            <w:shd w:fill="CCEEFF" w:val="clear"/>
            <w:tcMar>
              <w:bottom w:w="28" w:type="dxa"/>
            </w:tcMar>
            <w:vAlign w:val="bottom"/>
          </w:tcPr>
          <w:p>
            <w:pPr>
              <w:pStyle w:val="TableContents"/>
              <w:spacing w:before="0" w:after="0"/>
              <w:rPr/>
            </w:pPr>
            <w:r>
              <w:rPr/>
              <w:t>$</w:t>
            </w:r>
          </w:p>
        </w:tc>
        <w:tc>
          <w:tcPr>
            <w:tcW w:w="1276" w:type="dxa"/>
            <w:tcBorders>
              <w:bottom w:val="double" w:sz="8" w:space="0" w:color="000000"/>
            </w:tcBorders>
            <w:shd w:fill="CCEEFF" w:val="clear"/>
            <w:tcMar>
              <w:bottom w:w="28" w:type="dxa"/>
            </w:tcMar>
            <w:vAlign w:val="bottom"/>
          </w:tcPr>
          <w:p>
            <w:pPr>
              <w:pStyle w:val="TableContents"/>
              <w:spacing w:before="0" w:after="0"/>
              <w:jc w:val="right"/>
              <w:rPr/>
            </w:pPr>
            <w:r>
              <w:rPr/>
              <w:t>382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bottom w:val="double" w:sz="8" w:space="0" w:color="000000"/>
            </w:tcBorders>
            <w:shd w:fill="CCEEFF" w:val="clear"/>
            <w:tcMar>
              <w:bottom w:w="28" w:type="dxa"/>
            </w:tcMar>
            <w:vAlign w:val="bottom"/>
          </w:tcPr>
          <w:p>
            <w:pPr>
              <w:pStyle w:val="TableContents"/>
              <w:spacing w:before="0" w:after="0"/>
              <w:rPr/>
            </w:pPr>
            <w:r>
              <w:rPr/>
              <w:t>$</w:t>
            </w:r>
          </w:p>
        </w:tc>
        <w:tc>
          <w:tcPr>
            <w:tcW w:w="1348" w:type="dxa"/>
            <w:tcBorders>
              <w:bottom w:val="double" w:sz="8" w:space="0" w:color="000000"/>
            </w:tcBorders>
            <w:shd w:fill="CCEEFF" w:val="clear"/>
            <w:tcMar>
              <w:bottom w:w="28" w:type="dxa"/>
            </w:tcMar>
            <w:vAlign w:val="bottom"/>
          </w:tcPr>
          <w:p>
            <w:pPr>
              <w:pStyle w:val="TableContents"/>
              <w:spacing w:before="0" w:after="0"/>
              <w:jc w:val="right"/>
              <w:rPr/>
            </w:pPr>
            <w:r>
              <w:rPr/>
              <w:t>386</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7" w:name="DSPFPageBreakArea24"/>
      <w:bookmarkStart w:id="268" w:name="DSPFPageBreakArea24"/>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69" w:name="DSPFPageNumber24"/>
      <w:bookmarkStart w:id="270" w:name="DSPFPageNumberArea23"/>
      <w:bookmarkEnd w:id="269"/>
      <w:bookmarkEnd w:id="270"/>
      <w:r>
        <w:rPr>
          <w:b w:val="false"/>
          <w:i w:val="false"/>
          <w:caps w:val="false"/>
          <w:smallCaps w:val="false"/>
          <w:sz w:val="13"/>
        </w:rPr>
        <w:t>25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1" w:name="DSPFPageBreak24"/>
      <w:bookmarkStart w:id="272" w:name="DSPFPageBreak24"/>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73" w:name="DSPFPageHeader23"/>
        <w:bookmarkEnd w:id="273"/>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Loans that have been classified as troubled debt restructurings during the six-month periods ended June 30 follow:</w:t>
      </w:r>
    </w:p>
    <w:p>
      <w:pPr>
        <w:pStyle w:val="TextBody"/>
        <w:spacing w:before="0" w:after="0"/>
        <w:rPr/>
      </w:pPr>
      <w:r>
        <w:rPr/>
      </w:r>
    </w:p>
    <w:p>
      <w:pPr>
        <w:pStyle w:val="Normal"/>
        <w:spacing w:before="0" w:after="0"/>
        <w:rPr>
          <w:sz w:val="4"/>
          <w:szCs w:val="4"/>
        </w:rPr>
      </w:pPr>
      <w:r>
        <w:rPr>
          <w:sz w:val="4"/>
          <w:szCs w:val="4"/>
        </w:rPr>
      </w:r>
      <w:bookmarkStart w:id="274" w:name="zbf53c69eec40443fa88f3c6c4bb3374c"/>
      <w:bookmarkStart w:id="275" w:name="zbf53c69eec40443fa88f3c6c4bb3374c"/>
      <w:bookmarkEnd w:id="275"/>
    </w:p>
    <w:tbl>
      <w:tblPr>
        <w:tblW w:w="9500" w:type="dxa"/>
        <w:jc w:val="left"/>
        <w:tblInd w:w="0" w:type="dxa"/>
        <w:tblCellMar>
          <w:top w:w="0" w:type="dxa"/>
          <w:left w:w="0" w:type="dxa"/>
          <w:bottom w:w="0" w:type="dxa"/>
          <w:right w:w="0" w:type="dxa"/>
        </w:tblCellMar>
      </w:tblPr>
      <w:tblGrid>
        <w:gridCol w:w="4790"/>
        <w:gridCol w:w="60"/>
        <w:gridCol w:w="197"/>
        <w:gridCol w:w="858"/>
        <w:gridCol w:w="60"/>
        <w:gridCol w:w="60"/>
        <w:gridCol w:w="319"/>
        <w:gridCol w:w="1276"/>
        <w:gridCol w:w="60"/>
        <w:gridCol w:w="60"/>
        <w:gridCol w:w="337"/>
        <w:gridCol w:w="1348"/>
        <w:gridCol w:w="75"/>
      </w:tblGrid>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Number of</w:t>
            </w:r>
          </w:p>
          <w:p>
            <w:pPr>
              <w:pStyle w:val="TableContents"/>
              <w:spacing w:before="0" w:after="0"/>
              <w:jc w:val="center"/>
              <w:rPr/>
            </w:pPr>
            <w:r>
              <w:rPr/>
              <w:t>Contracts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gridSpan w:val="2"/>
            <w:tcBorders>
              <w:bottom w:val="single" w:sz="12" w:space="0" w:color="000000"/>
            </w:tcBorders>
            <w:shd w:fill="auto" w:val="clear"/>
            <w:tcMar>
              <w:bottom w:w="28" w:type="dxa"/>
            </w:tcMar>
            <w:vAlign w:val="bottom"/>
          </w:tcPr>
          <w:p>
            <w:pPr>
              <w:pStyle w:val="TableContents"/>
              <w:spacing w:before="0" w:after="0"/>
              <w:jc w:val="center"/>
              <w:rPr/>
            </w:pPr>
            <w:r>
              <w:rPr/>
              <w:t>Pre-modification</w:t>
            </w:r>
          </w:p>
          <w:p>
            <w:pPr>
              <w:pStyle w:val="TableContents"/>
              <w:spacing w:before="0" w:after="0"/>
              <w:jc w:val="center"/>
              <w:rPr/>
            </w:pPr>
            <w:r>
              <w:rPr/>
              <w:t>Recorded</w:t>
            </w:r>
          </w:p>
          <w:p>
            <w:pPr>
              <w:pStyle w:val="TableContents"/>
              <w:spacing w:before="0" w:after="0"/>
              <w:jc w:val="center"/>
              <w:rPr/>
            </w:pPr>
            <w:r>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5" w:type="dxa"/>
            <w:gridSpan w:val="2"/>
            <w:tcBorders>
              <w:bottom w:val="single" w:sz="12" w:space="0" w:color="000000"/>
            </w:tcBorders>
            <w:shd w:fill="auto" w:val="clear"/>
            <w:tcMar>
              <w:bottom w:w="28" w:type="dxa"/>
            </w:tcMar>
            <w:vAlign w:val="bottom"/>
          </w:tcPr>
          <w:p>
            <w:pPr>
              <w:pStyle w:val="TableContents"/>
              <w:spacing w:before="0" w:after="0"/>
              <w:jc w:val="center"/>
              <w:rPr/>
            </w:pPr>
            <w:r>
              <w:rPr/>
              <w:t>Post-modification</w:t>
            </w:r>
          </w:p>
          <w:p>
            <w:pPr>
              <w:pStyle w:val="TableContents"/>
              <w:spacing w:before="0" w:after="0"/>
              <w:jc w:val="center"/>
              <w:rPr/>
            </w:pPr>
            <w:r>
              <w:rPr/>
              <w:t>Recorded</w:t>
            </w:r>
          </w:p>
          <w:p>
            <w:pPr>
              <w:pStyle w:val="TableContents"/>
              <w:spacing w:before="0" w:after="0"/>
              <w:jc w:val="center"/>
              <w:rPr/>
            </w:pPr>
            <w:r>
              <w:rPr/>
              <w:t>Balance</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75" w:type="dxa"/>
            <w:gridSpan w:val="10"/>
            <w:tcBorders/>
            <w:shd w:fill="auto" w:val="clear"/>
            <w:vAlign w:val="bottom"/>
          </w:tcPr>
          <w:p>
            <w:pPr>
              <w:pStyle w:val="TableContents"/>
              <w:spacing w:before="0" w:after="0"/>
              <w:jc w:val="center"/>
              <w:rPr/>
            </w:pPr>
            <w:r>
              <w:rPr/>
              <w:t>(Dollars in thousands)</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0"/>
              <w:ind w:left="144" w:right="0" w:hanging="144"/>
              <w:rPr/>
            </w:pPr>
            <w:r>
              <w:rPr/>
              <w:t>2019</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0"/>
              <w:ind w:left="324" w:right="0" w:hanging="144"/>
              <w:rPr/>
            </w:pPr>
            <w:r>
              <w:rPr/>
              <w:t>Commercial</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0"/>
              <w:rPr/>
            </w:pPr>
            <w:r>
              <w:rPr/>
              <w:t>$</w:t>
            </w:r>
          </w:p>
        </w:tc>
        <w:tc>
          <w:tcPr>
            <w:tcW w:w="1276" w:type="dxa"/>
            <w:tcBorders/>
            <w:shd w:fill="CCEEFF" w:val="clear"/>
            <w:vAlign w:val="bottom"/>
          </w:tcPr>
          <w:p>
            <w:pPr>
              <w:pStyle w:val="TableContents"/>
              <w:spacing w:before="0" w:after="0"/>
              <w:jc w:val="right"/>
              <w:rPr/>
            </w:pPr>
            <w:r>
              <w:rPr/>
              <w:t>1,329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0"/>
              <w:rPr/>
            </w:pPr>
            <w:r>
              <w:rPr/>
              <w:t>$</w:t>
            </w:r>
          </w:p>
        </w:tc>
        <w:tc>
          <w:tcPr>
            <w:tcW w:w="1348" w:type="dxa"/>
            <w:tcBorders/>
            <w:shd w:fill="CCEEFF" w:val="clear"/>
            <w:vAlign w:val="bottom"/>
          </w:tcPr>
          <w:p>
            <w:pPr>
              <w:pStyle w:val="TableContents"/>
              <w:spacing w:before="0" w:after="0"/>
              <w:jc w:val="right"/>
              <w:rPr/>
            </w:pPr>
            <w:r>
              <w:rPr/>
              <w:t>1,329</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49</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787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786</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0"/>
              <w:jc w:val="right"/>
              <w:rPr/>
            </w:pPr>
            <w:r>
              <w:rPr/>
              <w:t>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49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51</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111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112</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19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58"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348"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pPr>
            <w:r>
              <w:rPr/>
              <w:t>Total</w:t>
            </w:r>
          </w:p>
        </w:tc>
        <w:tc>
          <w:tcPr>
            <w:tcW w:w="60"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283"/>
              <w:rPr/>
            </w:pPr>
            <w:r>
              <w:rPr/>
              <w:t> </w:t>
            </w:r>
          </w:p>
        </w:tc>
        <w:tc>
          <w:tcPr>
            <w:tcW w:w="858" w:type="dxa"/>
            <w:tcBorders>
              <w:bottom w:val="double" w:sz="8" w:space="0" w:color="000000"/>
            </w:tcBorders>
            <w:shd w:fill="CCEEFF" w:val="clear"/>
            <w:tcMar>
              <w:bottom w:w="28" w:type="dxa"/>
            </w:tcMar>
            <w:vAlign w:val="bottom"/>
          </w:tcPr>
          <w:p>
            <w:pPr>
              <w:pStyle w:val="TableContents"/>
              <w:spacing w:before="0" w:after="0"/>
              <w:jc w:val="right"/>
              <w:rPr/>
            </w:pPr>
            <w:r>
              <w:rPr/>
              <w:t>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bottom w:val="double" w:sz="8" w:space="0" w:color="000000"/>
            </w:tcBorders>
            <w:shd w:fill="CCEEFF" w:val="clear"/>
            <w:tcMar>
              <w:bottom w:w="28" w:type="dxa"/>
            </w:tcMar>
            <w:vAlign w:val="bottom"/>
          </w:tcPr>
          <w:p>
            <w:pPr>
              <w:pStyle w:val="TableContents"/>
              <w:spacing w:before="0" w:after="0"/>
              <w:rPr/>
            </w:pPr>
            <w:r>
              <w:rPr/>
              <w:t>$</w:t>
            </w:r>
          </w:p>
        </w:tc>
        <w:tc>
          <w:tcPr>
            <w:tcW w:w="1276" w:type="dxa"/>
            <w:tcBorders>
              <w:bottom w:val="double" w:sz="8" w:space="0" w:color="000000"/>
            </w:tcBorders>
            <w:shd w:fill="CCEEFF" w:val="clear"/>
            <w:tcMar>
              <w:bottom w:w="28" w:type="dxa"/>
            </w:tcMar>
            <w:vAlign w:val="bottom"/>
          </w:tcPr>
          <w:p>
            <w:pPr>
              <w:pStyle w:val="TableContents"/>
              <w:spacing w:before="0" w:after="0"/>
              <w:jc w:val="right"/>
              <w:rPr/>
            </w:pPr>
            <w:r>
              <w:rPr/>
              <w:t>2,325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bottom w:val="double" w:sz="8" w:space="0" w:color="000000"/>
            </w:tcBorders>
            <w:shd w:fill="CCEEFF" w:val="clear"/>
            <w:tcMar>
              <w:bottom w:w="28" w:type="dxa"/>
            </w:tcMar>
            <w:vAlign w:val="bottom"/>
          </w:tcPr>
          <w:p>
            <w:pPr>
              <w:pStyle w:val="TableContents"/>
              <w:spacing w:before="0" w:after="0"/>
              <w:rPr/>
            </w:pPr>
            <w:r>
              <w:rPr/>
              <w:t>$</w:t>
            </w:r>
          </w:p>
        </w:tc>
        <w:tc>
          <w:tcPr>
            <w:tcW w:w="1348" w:type="dxa"/>
            <w:tcBorders>
              <w:bottom w:val="double" w:sz="8" w:space="0" w:color="000000"/>
            </w:tcBorders>
            <w:shd w:fill="CCEEFF" w:val="clear"/>
            <w:tcMar>
              <w:bottom w:w="28" w:type="dxa"/>
            </w:tcMar>
            <w:vAlign w:val="bottom"/>
          </w:tcPr>
          <w:p>
            <w:pPr>
              <w:pStyle w:val="TableContents"/>
              <w:spacing w:before="0" w:after="0"/>
              <w:jc w:val="right"/>
              <w:rPr/>
            </w:pPr>
            <w:r>
              <w:rPr/>
              <w:t>2,327</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144" w:right="0" w:hanging="144"/>
              <w:rPr/>
            </w:pPr>
            <w:r>
              <w:rPr/>
              <w:t>2018</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324" w:right="0" w:hanging="144"/>
              <w:rPr/>
            </w:pPr>
            <w:r>
              <w:rPr/>
              <w:t>Commercial</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0"/>
              <w:rPr/>
            </w:pPr>
            <w:r>
              <w:rPr/>
              <w:t>$</w:t>
            </w:r>
          </w:p>
        </w:tc>
        <w:tc>
          <w:tcPr>
            <w:tcW w:w="1276" w:type="dxa"/>
            <w:tcBorders/>
            <w:shd w:fill="CCEEFF" w:val="clear"/>
            <w:vAlign w:val="bottom"/>
          </w:tcPr>
          <w:p>
            <w:pPr>
              <w:pStyle w:val="TableContents"/>
              <w:spacing w:before="0" w:after="0"/>
              <w:jc w:val="right"/>
              <w:rPr/>
            </w:pPr>
            <w:r>
              <w:rPr/>
              <w:t>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0"/>
              <w:rPr/>
            </w:pPr>
            <w:r>
              <w:rPr/>
              <w:t>$</w:t>
            </w:r>
          </w:p>
        </w:tc>
        <w:tc>
          <w:tcPr>
            <w:tcW w:w="1348" w:type="dxa"/>
            <w:tcBorders/>
            <w:shd w:fill="CCEEFF" w:val="clear"/>
            <w:vAlign w:val="bottom"/>
          </w:tcPr>
          <w:p>
            <w:pPr>
              <w:pStyle w:val="TableContents"/>
              <w:spacing w:before="0" w:after="0"/>
              <w:jc w:val="right"/>
              <w:rPr/>
            </w:pPr>
            <w:r>
              <w:rPr/>
              <w:t>67</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587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587</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324" w:right="0" w:hanging="144"/>
              <w:rPr/>
            </w:pPr>
            <w:r>
              <w:rPr/>
              <w:t>Mortgage</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1-4 family</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294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280</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Resort lending</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324" w:right="0" w:hanging="144"/>
              <w:rPr/>
            </w:pPr>
            <w:r>
              <w:rPr/>
              <w:t>Installment</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0"/>
              <w:jc w:val="right"/>
              <w:rPr/>
            </w:pPr>
            <w:r>
              <w:rPr/>
              <w:t>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188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190</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93</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Boat lending</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858"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shd w:fill="FFFFFF" w:val="clear"/>
            <w:vAlign w:val="bottom"/>
          </w:tcPr>
          <w:p>
            <w:pPr>
              <w:pStyle w:val="TableContents"/>
              <w:spacing w:before="0" w:after="283"/>
              <w:rPr/>
            </w:pPr>
            <w:r>
              <w:rPr/>
              <w:t> </w:t>
            </w:r>
          </w:p>
        </w:tc>
        <w:tc>
          <w:tcPr>
            <w:tcW w:w="127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shd w:fill="FFFFFF" w:val="clear"/>
            <w:vAlign w:val="bottom"/>
          </w:tcPr>
          <w:p>
            <w:pPr>
              <w:pStyle w:val="TableContents"/>
              <w:spacing w:before="0" w:after="283"/>
              <w:rPr/>
            </w:pPr>
            <w:r>
              <w:rPr/>
              <w:t> </w:t>
            </w:r>
          </w:p>
        </w:tc>
        <w:tc>
          <w:tcPr>
            <w:tcW w:w="1348"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Recreational vehicle lending</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2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348"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Other</w:t>
            </w:r>
          </w:p>
        </w:tc>
        <w:tc>
          <w:tcPr>
            <w:tcW w:w="60" w:type="dxa"/>
            <w:tcBorders/>
            <w:shd w:fill="FFFFFF" w:val="clear"/>
            <w:vAlign w:val="bottom"/>
          </w:tcPr>
          <w:p>
            <w:pPr>
              <w:pStyle w:val="TableContents"/>
              <w:spacing w:before="0" w:after="283"/>
              <w:rPr/>
            </w:pPr>
            <w:r>
              <w:rPr/>
              <w:t> </w:t>
            </w:r>
          </w:p>
        </w:tc>
        <w:tc>
          <w:tcPr>
            <w:tcW w:w="19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58" w:type="dxa"/>
            <w:tcBorders>
              <w:bottom w:val="single" w:sz="12" w:space="0" w:color="000000"/>
            </w:tcBorders>
            <w:shd w:fill="FFFFFF" w:val="clear"/>
            <w:tcMar>
              <w:bottom w:w="28" w:type="dxa"/>
            </w:tcMar>
            <w:vAlign w:val="bottom"/>
          </w:tcPr>
          <w:p>
            <w:pPr>
              <w:pStyle w:val="TableContents"/>
              <w:spacing w:before="0" w:after="0"/>
              <w:jc w:val="right"/>
              <w:rPr/>
            </w:pPr>
            <w:r>
              <w:rPr/>
              <w:t>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1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76" w:type="dxa"/>
            <w:tcBorders>
              <w:bottom w:val="single" w:sz="12" w:space="0" w:color="000000"/>
            </w:tcBorders>
            <w:shd w:fill="FFFFFF" w:val="clear"/>
            <w:tcMar>
              <w:bottom w:w="28" w:type="dxa"/>
            </w:tcMar>
            <w:vAlign w:val="bottom"/>
          </w:tcPr>
          <w:p>
            <w:pPr>
              <w:pStyle w:val="TableContents"/>
              <w:spacing w:before="0" w:after="0"/>
              <w:jc w:val="right"/>
              <w:rPr/>
            </w:pPr>
            <w:r>
              <w:rPr/>
              <w:t>76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348" w:type="dxa"/>
            <w:tcBorders>
              <w:bottom w:val="single" w:sz="12" w:space="0" w:color="000000"/>
            </w:tcBorders>
            <w:shd w:fill="FFFFFF" w:val="clear"/>
            <w:tcMar>
              <w:bottom w:w="28" w:type="dxa"/>
            </w:tcMar>
            <w:vAlign w:val="bottom"/>
          </w:tcPr>
          <w:p>
            <w:pPr>
              <w:pStyle w:val="TableContents"/>
              <w:spacing w:before="0" w:after="0"/>
              <w:jc w:val="right"/>
              <w:rPr/>
            </w:pPr>
            <w:r>
              <w:rPr/>
              <w:t>73</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pPr>
            <w:r>
              <w:rPr/>
              <w:t>Total</w:t>
            </w:r>
          </w:p>
        </w:tc>
        <w:tc>
          <w:tcPr>
            <w:tcW w:w="60"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283"/>
              <w:rPr/>
            </w:pPr>
            <w:r>
              <w:rPr/>
              <w:t> </w:t>
            </w:r>
          </w:p>
        </w:tc>
        <w:tc>
          <w:tcPr>
            <w:tcW w:w="858" w:type="dxa"/>
            <w:tcBorders>
              <w:bottom w:val="double" w:sz="8" w:space="0" w:color="000000"/>
            </w:tcBorders>
            <w:shd w:fill="CCEEFF" w:val="clear"/>
            <w:tcMar>
              <w:bottom w:w="28" w:type="dxa"/>
            </w:tcMar>
            <w:vAlign w:val="bottom"/>
          </w:tcPr>
          <w:p>
            <w:pPr>
              <w:pStyle w:val="TableContents"/>
              <w:spacing w:before="0" w:after="0"/>
              <w:jc w:val="right"/>
              <w:rPr/>
            </w:pPr>
            <w:r>
              <w:rPr/>
              <w:t>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19" w:type="dxa"/>
            <w:tcBorders>
              <w:bottom w:val="double" w:sz="8" w:space="0" w:color="000000"/>
            </w:tcBorders>
            <w:shd w:fill="CCEEFF" w:val="clear"/>
            <w:tcMar>
              <w:bottom w:w="28" w:type="dxa"/>
            </w:tcMar>
            <w:vAlign w:val="bottom"/>
          </w:tcPr>
          <w:p>
            <w:pPr>
              <w:pStyle w:val="TableContents"/>
              <w:spacing w:before="0" w:after="0"/>
              <w:rPr/>
            </w:pPr>
            <w:r>
              <w:rPr/>
              <w:t>$</w:t>
            </w:r>
          </w:p>
        </w:tc>
        <w:tc>
          <w:tcPr>
            <w:tcW w:w="1276" w:type="dxa"/>
            <w:tcBorders>
              <w:bottom w:val="double" w:sz="8" w:space="0" w:color="000000"/>
            </w:tcBorders>
            <w:shd w:fill="CCEEFF" w:val="clear"/>
            <w:tcMar>
              <w:bottom w:w="28" w:type="dxa"/>
            </w:tcMar>
            <w:vAlign w:val="bottom"/>
          </w:tcPr>
          <w:p>
            <w:pPr>
              <w:pStyle w:val="TableContents"/>
              <w:spacing w:before="0" w:after="0"/>
              <w:jc w:val="right"/>
              <w:rPr/>
            </w:pPr>
            <w:r>
              <w:rPr/>
              <w:t>1,305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7" w:type="dxa"/>
            <w:tcBorders>
              <w:bottom w:val="double" w:sz="8" w:space="0" w:color="000000"/>
            </w:tcBorders>
            <w:shd w:fill="CCEEFF" w:val="clear"/>
            <w:tcMar>
              <w:bottom w:w="28" w:type="dxa"/>
            </w:tcMar>
            <w:vAlign w:val="bottom"/>
          </w:tcPr>
          <w:p>
            <w:pPr>
              <w:pStyle w:val="TableContents"/>
              <w:spacing w:before="0" w:after="0"/>
              <w:rPr/>
            </w:pPr>
            <w:r>
              <w:rPr/>
              <w:t>$</w:t>
            </w:r>
          </w:p>
        </w:tc>
        <w:tc>
          <w:tcPr>
            <w:tcW w:w="1348" w:type="dxa"/>
            <w:tcBorders>
              <w:bottom w:val="double" w:sz="8" w:space="0" w:color="000000"/>
            </w:tcBorders>
            <w:shd w:fill="CCEEFF" w:val="clear"/>
            <w:tcMar>
              <w:bottom w:w="28" w:type="dxa"/>
            </w:tcMar>
            <w:vAlign w:val="bottom"/>
          </w:tcPr>
          <w:p>
            <w:pPr>
              <w:pStyle w:val="TableContents"/>
              <w:spacing w:before="0" w:after="0"/>
              <w:jc w:val="right"/>
              <w:rPr/>
            </w:pPr>
            <w:r>
              <w:rPr/>
              <w:t>1,290</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The troubled debt restructurings described above for 2019 increased the allowance for loan losses by $0.04 million and resulted in zero charge offs during the three months ended June 30, 2019, and increased the allowance for loan losses by $0.05 million and resulted in zero charge offs during the six months ended June 30, 2019.</w:t>
      </w:r>
    </w:p>
    <w:p>
      <w:pPr>
        <w:pStyle w:val="TextBody"/>
        <w:spacing w:before="0" w:after="0"/>
        <w:rPr/>
      </w:pPr>
      <w:r>
        <w:rPr/>
      </w:r>
    </w:p>
    <w:p>
      <w:pPr>
        <w:pStyle w:val="TextBody"/>
        <w:spacing w:before="0" w:after="0"/>
        <w:jc w:val="both"/>
        <w:rPr/>
      </w:pPr>
      <w:r>
        <w:rPr/>
        <w:t>The troubled debt restructurings described above for 2018 increased the allowance for loan losses by $0.04 million and resulted in zero charge offs during the three months ended June 30, 2018, and increased the allowance for loan losses by $0.01 million and resulted in zero charge offs during the six months ended June 30, 2018.</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6" w:name="DSPFPageBreakArea25"/>
      <w:bookmarkStart w:id="277" w:name="DSPFPageBreakArea25"/>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78" w:name="DSPFPageNumber25"/>
      <w:bookmarkStart w:id="279" w:name="DSPFPageNumberArea24"/>
      <w:bookmarkEnd w:id="278"/>
      <w:bookmarkEnd w:id="279"/>
      <w:r>
        <w:rPr>
          <w:b w:val="false"/>
          <w:i w:val="false"/>
          <w:caps w:val="false"/>
          <w:smallCaps w:val="false"/>
          <w:sz w:val="13"/>
        </w:rPr>
        <w:t>26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0" w:name="DSPFPageBreak25"/>
      <w:bookmarkStart w:id="281" w:name="DSPFPageBreak25"/>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82" w:name="DSPFPageHeader24"/>
        <w:bookmarkEnd w:id="282"/>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There were no troubled debt restructurings that subsequently defaulted within twelve months following the modification during the three and six months periods ended June 30, 2019 and 2018.</w:t>
      </w:r>
    </w:p>
    <w:p>
      <w:pPr>
        <w:pStyle w:val="TextBody"/>
        <w:spacing w:before="0" w:after="0"/>
        <w:rPr/>
      </w:pPr>
      <w:r>
        <w:rPr/>
      </w:r>
    </w:p>
    <w:p>
      <w:pPr>
        <w:pStyle w:val="TextBody"/>
        <w:spacing w:before="0" w:after="0"/>
        <w:jc w:val="both"/>
        <w:rPr/>
      </w:pPr>
      <w:r>
        <w:rPr/>
        <w:t>A loan is considered to be in payment default generally once it is 90 days contractually past due under the modified terms.</w:t>
      </w:r>
    </w:p>
    <w:p>
      <w:pPr>
        <w:pStyle w:val="TextBody"/>
        <w:spacing w:before="0" w:after="0"/>
        <w:rPr/>
      </w:pPr>
      <w:r>
        <w:rPr/>
      </w:r>
    </w:p>
    <w:p>
      <w:pPr>
        <w:pStyle w:val="TextBody"/>
        <w:spacing w:before="0" w:after="0"/>
        <w:jc w:val="both"/>
        <w:rPr/>
      </w:pPr>
      <w:r>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pStyle w:val="TextBody"/>
        <w:spacing w:before="0" w:after="0"/>
        <w:rPr/>
      </w:pPr>
      <w:r>
        <w:rPr/>
      </w:r>
    </w:p>
    <w:p>
      <w:pPr>
        <w:pStyle w:val="TextBody"/>
        <w:spacing w:before="0" w:after="0"/>
        <w:jc w:val="both"/>
        <w:rPr/>
      </w:pPr>
      <w:r>
        <w:rPr>
          <w:b/>
        </w:rPr>
        <w:t>Credit Quality Indicators</w:t>
      </w:r>
      <w:r>
        <w:rPr/>
        <w:t xml:space="preserve"> – As part of our on-going monitoring of the credit quality of our loan portfolios, we track certain credit quality indicators including (a) weighted-average risk grade of commercial loans, (b) the level of classified commercial loans, (c) credit scores of mortgage and installment loan borrowers, and (d) delinquency history and non-performing loans.</w:t>
      </w:r>
    </w:p>
    <w:p>
      <w:pPr>
        <w:pStyle w:val="TextBody"/>
        <w:spacing w:before="0" w:after="0"/>
        <w:rPr/>
      </w:pPr>
      <w:r>
        <w:rPr/>
      </w:r>
    </w:p>
    <w:p>
      <w:pPr>
        <w:pStyle w:val="TextBody"/>
        <w:spacing w:before="0" w:after="0"/>
        <w:jc w:val="both"/>
        <w:rPr/>
      </w:pPr>
      <w:r>
        <w:rPr/>
        <w:t>For commercial loans, we use a loan rating system that is similar to those employed by state and federal banking regulators. Loans are graded on a scale of 1 to 12. A description of the general characteristics of the ratings follows:</w:t>
      </w:r>
    </w:p>
    <w:p>
      <w:pPr>
        <w:pStyle w:val="TextBody"/>
        <w:spacing w:before="0" w:after="0"/>
        <w:rPr/>
      </w:pPr>
      <w:r>
        <w:rPr/>
      </w:r>
    </w:p>
    <w:p>
      <w:pPr>
        <w:pStyle w:val="TextBody"/>
        <w:spacing w:before="0" w:after="0"/>
        <w:jc w:val="both"/>
        <w:rPr/>
      </w:pPr>
      <w:r>
        <w:rPr>
          <w:i/>
        </w:rPr>
        <w:t>Rating 1 through 6</w:t>
      </w:r>
      <w:r>
        <w:rPr/>
        <w:t>: These loans are generally referred to as our “non-watch” commercial credits that include very high or exceptional credit fundamentals through acceptable credit fundamentals.</w:t>
      </w:r>
    </w:p>
    <w:p>
      <w:pPr>
        <w:pStyle w:val="TextBody"/>
        <w:spacing w:before="0" w:after="0"/>
        <w:rPr/>
      </w:pPr>
      <w:r>
        <w:rPr/>
      </w:r>
    </w:p>
    <w:p>
      <w:pPr>
        <w:pStyle w:val="TextBody"/>
        <w:spacing w:before="0" w:after="0"/>
        <w:jc w:val="both"/>
        <w:rPr/>
      </w:pPr>
      <w:r>
        <w:rPr>
          <w:i/>
        </w:rPr>
        <w:t>Rating 7 and 8</w:t>
      </w:r>
      <w:r>
        <w:rPr/>
        <w:t>: These loans are generally referred to as our “watch” commercial credits. These ratings include loans to borrowers that exhibit potential credit weakness or downward trends. If not checked or cured these trends could weaken our asset or credit position. While potentially weak, no loss of principal or interest is envisioned with these ratings.</w:t>
      </w:r>
    </w:p>
    <w:p>
      <w:pPr>
        <w:pStyle w:val="TextBody"/>
        <w:spacing w:before="0" w:after="0"/>
        <w:rPr/>
      </w:pPr>
      <w:r>
        <w:rPr/>
      </w:r>
    </w:p>
    <w:p>
      <w:pPr>
        <w:pStyle w:val="TextBody"/>
        <w:spacing w:before="0" w:after="0"/>
        <w:jc w:val="both"/>
        <w:rPr/>
      </w:pPr>
      <w:r>
        <w:rPr>
          <w:i/>
        </w:rPr>
        <w:t>Rating 9</w:t>
      </w:r>
      <w:r>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pStyle w:val="TextBody"/>
        <w:spacing w:before="0" w:after="0"/>
        <w:rPr/>
      </w:pPr>
      <w:r>
        <w:rPr/>
      </w:r>
    </w:p>
    <w:p>
      <w:pPr>
        <w:pStyle w:val="TextBody"/>
        <w:spacing w:before="0" w:after="0"/>
        <w:ind w:left="0" w:right="154" w:hanging="0"/>
        <w:jc w:val="both"/>
        <w:rPr/>
      </w:pPr>
      <w:r>
        <w:rPr>
          <w:i/>
        </w:rPr>
        <w:t>Rating 10 and 11</w:t>
      </w:r>
      <w:r>
        <w:rPr/>
        <w:t xml:space="preserve">: </w:t>
      </w:r>
      <w:r>
        <w:rPr>
          <w:color w:val="231F20"/>
        </w:rPr>
        <w:t>These loans are generally referred to as our ‘‘substandard - non-accrual’’ and ‘‘doubtful’’ commercial credits. Our doubtful rating includes a 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pStyle w:val="TextBody"/>
        <w:spacing w:before="0" w:after="0"/>
        <w:rPr/>
      </w:pPr>
      <w:r>
        <w:rPr/>
      </w:r>
    </w:p>
    <w:p>
      <w:pPr>
        <w:pStyle w:val="TextBody"/>
        <w:spacing w:before="0" w:after="0"/>
        <w:jc w:val="both"/>
        <w:rPr/>
      </w:pPr>
      <w:r>
        <w:rPr>
          <w:i/>
        </w:rPr>
        <w:t>Rating 12</w:t>
      </w:r>
      <w:r>
        <w:rPr/>
        <w:t>: These loans are generally referred to as our “loss” commercial credits. This rating includes loans to borrowers that are deemed incapable of repayment and are charged-off.</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3" w:name="DSPFPageBreakArea26"/>
      <w:bookmarkStart w:id="284" w:name="DSPFPageBreakArea26"/>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85" w:name="DSPFPageNumber26"/>
      <w:bookmarkStart w:id="286" w:name="DSPFPageNumberArea25"/>
      <w:bookmarkEnd w:id="285"/>
      <w:bookmarkEnd w:id="286"/>
      <w:r>
        <w:rPr>
          <w:b w:val="false"/>
          <w:i w:val="false"/>
          <w:caps w:val="false"/>
          <w:smallCaps w:val="false"/>
          <w:sz w:val="13"/>
        </w:rPr>
        <w:t>27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7" w:name="DSPFPageBreak26"/>
      <w:bookmarkStart w:id="288" w:name="DSPFPageBreak26"/>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89" w:name="DSPFPageHeader25"/>
        <w:bookmarkEnd w:id="289"/>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color w:val="000000"/>
        </w:rPr>
      </w:pPr>
      <w:r>
        <w:rPr>
          <w:color w:val="000000"/>
        </w:rPr>
        <w:t>The following table summarizes loan ratings by loan class for our commercial loan segment:</w:t>
      </w:r>
    </w:p>
    <w:p>
      <w:pPr>
        <w:pStyle w:val="TextBody"/>
        <w:spacing w:before="0" w:after="0"/>
        <w:rPr/>
      </w:pPr>
      <w:r>
        <w:rPr/>
      </w:r>
    </w:p>
    <w:p>
      <w:pPr>
        <w:pStyle w:val="Normal"/>
        <w:spacing w:before="0" w:after="0"/>
        <w:rPr>
          <w:sz w:val="4"/>
          <w:szCs w:val="4"/>
        </w:rPr>
      </w:pPr>
      <w:r>
        <w:rPr>
          <w:sz w:val="4"/>
          <w:szCs w:val="4"/>
        </w:rPr>
      </w:r>
      <w:bookmarkStart w:id="290" w:name="zf51120474c8e42299a845719d44afb84"/>
      <w:bookmarkStart w:id="291" w:name="zf51120474c8e42299a845719d44afb84"/>
      <w:bookmarkEnd w:id="291"/>
    </w:p>
    <w:tbl>
      <w:tblPr>
        <w:tblW w:w="10205" w:type="dxa"/>
        <w:jc w:val="left"/>
        <w:tblInd w:w="0" w:type="dxa"/>
        <w:tblCellMar>
          <w:top w:w="0" w:type="dxa"/>
          <w:left w:w="0" w:type="dxa"/>
          <w:bottom w:w="0" w:type="dxa"/>
          <w:right w:w="0" w:type="dxa"/>
        </w:tblCellMar>
      </w:tblPr>
      <w:tblGrid>
        <w:gridCol w:w="4390"/>
        <w:gridCol w:w="60"/>
        <w:gridCol w:w="140"/>
        <w:gridCol w:w="980"/>
        <w:gridCol w:w="60"/>
        <w:gridCol w:w="60"/>
        <w:gridCol w:w="140"/>
        <w:gridCol w:w="680"/>
        <w:gridCol w:w="60"/>
        <w:gridCol w:w="60"/>
        <w:gridCol w:w="274"/>
        <w:gridCol w:w="1096"/>
        <w:gridCol w:w="60"/>
        <w:gridCol w:w="60"/>
        <w:gridCol w:w="154"/>
        <w:gridCol w:w="616"/>
        <w:gridCol w:w="60"/>
        <w:gridCol w:w="60"/>
        <w:gridCol w:w="140"/>
        <w:gridCol w:w="980"/>
        <w:gridCol w:w="75"/>
      </w:tblGrid>
      <w:tr>
        <w:trPr/>
        <w:tc>
          <w:tcPr>
            <w:tcW w:w="43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80" w:type="dxa"/>
            <w:gridSpan w:val="18"/>
            <w:tcBorders>
              <w:bottom w:val="single" w:sz="12" w:space="0" w:color="000000"/>
            </w:tcBorders>
            <w:shd w:fill="auto" w:val="clear"/>
            <w:tcMar>
              <w:bottom w:w="28" w:type="dxa"/>
            </w:tcMar>
            <w:vAlign w:val="bottom"/>
          </w:tcPr>
          <w:p>
            <w:pPr>
              <w:pStyle w:val="TableContents"/>
              <w:spacing w:before="0" w:after="0"/>
              <w:jc w:val="center"/>
              <w:rPr/>
            </w:pPr>
            <w:r>
              <w:rPr/>
              <w:t>Commercial</w:t>
            </w:r>
          </w:p>
        </w:tc>
        <w:tc>
          <w:tcPr>
            <w:tcW w:w="75" w:type="dxa"/>
            <w:tcBorders/>
            <w:shd w:fill="auto" w:val="clear"/>
            <w:vAlign w:val="bottom"/>
          </w:tcPr>
          <w:p>
            <w:pPr>
              <w:pStyle w:val="TableContents"/>
              <w:spacing w:before="0" w:after="283"/>
              <w:rPr/>
            </w:pPr>
            <w:r>
              <w:rPr/>
              <w:t> </w:t>
            </w:r>
          </w:p>
        </w:tc>
      </w:tr>
      <w:tr>
        <w:trPr/>
        <w:tc>
          <w:tcPr>
            <w:tcW w:w="43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Non-watch</w:t>
            </w:r>
          </w:p>
          <w:p>
            <w:pPr>
              <w:pStyle w:val="TableContents"/>
              <w:spacing w:before="0" w:after="0"/>
              <w:jc w:val="center"/>
              <w:rPr/>
            </w:pPr>
            <w:r>
              <w:rPr/>
              <w:t>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Watch</w:t>
            </w:r>
          </w:p>
          <w:p>
            <w:pPr>
              <w:pStyle w:val="TableContents"/>
              <w:spacing w:before="0" w:after="0"/>
              <w:jc w:val="center"/>
              <w:rPr/>
            </w:pPr>
            <w:r>
              <w:rPr/>
              <w:t>7-8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bottom"/>
          </w:tcPr>
          <w:p>
            <w:pPr>
              <w:pStyle w:val="TableContents"/>
              <w:spacing w:before="0" w:after="0"/>
              <w:jc w:val="center"/>
              <w:rPr/>
            </w:pPr>
            <w:r>
              <w:rPr/>
              <w:t>Substandard</w:t>
            </w:r>
          </w:p>
          <w:p>
            <w:pPr>
              <w:pStyle w:val="TableContents"/>
              <w:spacing w:before="0" w:after="0"/>
              <w:jc w:val="center"/>
              <w:rPr/>
            </w:pPr>
            <w:r>
              <w:rPr/>
              <w:t>Accrual</w:t>
            </w:r>
          </w:p>
          <w:p>
            <w:pPr>
              <w:pStyle w:val="TableContents"/>
              <w:spacing w:before="0" w:after="0"/>
              <w:jc w:val="center"/>
              <w:rPr/>
            </w:pPr>
            <w:r>
              <w:rPr/>
              <w:t>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bottom w:val="single" w:sz="12" w:space="0" w:color="000000"/>
            </w:tcBorders>
            <w:shd w:fill="auto" w:val="clear"/>
            <w:tcMar>
              <w:bottom w:w="28" w:type="dxa"/>
            </w:tcMar>
            <w:vAlign w:val="bottom"/>
          </w:tcPr>
          <w:p>
            <w:pPr>
              <w:pStyle w:val="TableContents"/>
              <w:spacing w:before="0" w:after="0"/>
              <w:jc w:val="center"/>
              <w:rPr/>
            </w:pPr>
            <w:r>
              <w:rPr/>
              <w:t>Non-</w:t>
            </w:r>
          </w:p>
          <w:p>
            <w:pPr>
              <w:pStyle w:val="TableContents"/>
              <w:spacing w:before="0" w:after="0"/>
              <w:jc w:val="center"/>
              <w:rPr/>
            </w:pPr>
            <w:r>
              <w:rPr/>
              <w:t>Accrual</w:t>
            </w:r>
          </w:p>
          <w:p>
            <w:pPr>
              <w:pStyle w:val="TableContents"/>
              <w:spacing w:before="0" w:after="0"/>
              <w:jc w:val="center"/>
              <w:rPr/>
            </w:pPr>
            <w:r>
              <w:rPr/>
              <w:t>10-11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75" w:type="dxa"/>
            <w:tcBorders/>
            <w:shd w:fill="auto" w:val="clear"/>
            <w:vAlign w:val="bottom"/>
          </w:tcPr>
          <w:p>
            <w:pPr>
              <w:pStyle w:val="TableContents"/>
              <w:spacing w:before="0" w:after="283"/>
              <w:rPr/>
            </w:pPr>
            <w:r>
              <w:rPr/>
              <w:t> </w:t>
            </w:r>
          </w:p>
        </w:tc>
      </w:tr>
      <w:tr>
        <w:trPr/>
        <w:tc>
          <w:tcPr>
            <w:tcW w:w="43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390" w:type="dxa"/>
            <w:tcBorders/>
            <w:shd w:fill="auto" w:val="clear"/>
            <w:vAlign w:val="bottom"/>
          </w:tcPr>
          <w:p>
            <w:pPr>
              <w:pStyle w:val="TableContents"/>
              <w:spacing w:before="0" w:after="0"/>
              <w:ind w:left="144" w:right="0" w:hanging="144"/>
              <w:rPr/>
            </w:pPr>
            <w:r>
              <w:rPr/>
              <w:t>June 30, 2019</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390" w:type="dxa"/>
            <w:tcBorders/>
            <w:shd w:fill="CCEEFF" w:val="clear"/>
            <w:vAlign w:val="bottom"/>
          </w:tcPr>
          <w:p>
            <w:pPr>
              <w:pStyle w:val="TableContents"/>
              <w:spacing w:before="0" w:after="0"/>
              <w:ind w:left="32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382,198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15,777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0"/>
              <w:rPr/>
            </w:pPr>
            <w:r>
              <w:rPr/>
              <w:t>$</w:t>
            </w:r>
          </w:p>
        </w:tc>
        <w:tc>
          <w:tcPr>
            <w:tcW w:w="1096" w:type="dxa"/>
            <w:tcBorders/>
            <w:shd w:fill="CCEEFF" w:val="clear"/>
            <w:vAlign w:val="bottom"/>
          </w:tcPr>
          <w:p>
            <w:pPr>
              <w:pStyle w:val="TableContents"/>
              <w:spacing w:before="0" w:after="0"/>
              <w:jc w:val="right"/>
              <w:rPr/>
            </w:pPr>
            <w:r>
              <w:rPr/>
              <w:t>772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rPr/>
            </w:pPr>
            <w:r>
              <w:rPr/>
              <w:t>$</w:t>
            </w:r>
          </w:p>
        </w:tc>
        <w:tc>
          <w:tcPr>
            <w:tcW w:w="61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398,747</w:t>
            </w:r>
          </w:p>
        </w:tc>
        <w:tc>
          <w:tcPr>
            <w:tcW w:w="75" w:type="dxa"/>
            <w:tcBorders/>
            <w:shd w:fill="CCEEFF" w:val="clear"/>
            <w:vAlign w:val="bottom"/>
          </w:tcPr>
          <w:p>
            <w:pPr>
              <w:pStyle w:val="TableContents"/>
              <w:spacing w:before="0" w:after="283"/>
              <w:rPr/>
            </w:pPr>
            <w:r>
              <w:rPr/>
              <w:t> </w:t>
            </w:r>
          </w:p>
        </w:tc>
      </w:tr>
      <w:tr>
        <w:trPr/>
        <w:tc>
          <w:tcPr>
            <w:tcW w:w="4390" w:type="dxa"/>
            <w:tcBorders/>
            <w:shd w:fill="FFFFFF" w:val="clear"/>
            <w:vAlign w:val="bottom"/>
          </w:tcPr>
          <w:p>
            <w:pPr>
              <w:pStyle w:val="TableContents"/>
              <w:spacing w:before="0" w:after="0"/>
              <w:ind w:left="360" w:right="0" w:hanging="180"/>
              <w:rPr/>
            </w:pPr>
            <w:r>
              <w:rPr/>
              <w:t>Land, land development and construction - real estate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83,971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8,467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0"/>
              <w:jc w:val="right"/>
              <w:rPr/>
            </w:pPr>
            <w:r>
              <w:rPr/>
              <w:t>775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93,213</w:t>
            </w:r>
          </w:p>
        </w:tc>
        <w:tc>
          <w:tcPr>
            <w:tcW w:w="75" w:type="dxa"/>
            <w:tcBorders/>
            <w:shd w:fill="FFFFFF" w:val="clear"/>
            <w:vAlign w:val="bottom"/>
          </w:tcPr>
          <w:p>
            <w:pPr>
              <w:pStyle w:val="TableContents"/>
              <w:spacing w:before="0" w:after="283"/>
              <w:rPr/>
            </w:pPr>
            <w:r>
              <w:rPr/>
              <w:t> </w:t>
            </w:r>
          </w:p>
        </w:tc>
      </w:tr>
      <w:tr>
        <w:trPr/>
        <w:tc>
          <w:tcPr>
            <w:tcW w:w="4390" w:type="dxa"/>
            <w:tcBorders/>
            <w:shd w:fill="CCEEFF" w:val="clear"/>
            <w:vAlign w:val="bottom"/>
          </w:tcPr>
          <w:p>
            <w:pPr>
              <w:pStyle w:val="TableContents"/>
              <w:spacing w:before="0" w:after="0"/>
              <w:ind w:left="32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634,098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48,598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0"/>
              <w:jc w:val="right"/>
              <w:rPr/>
            </w:pPr>
            <w:r>
              <w:rPr/>
              <w:t>3,905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16" w:type="dxa"/>
            <w:tcBorders>
              <w:bottom w:val="single" w:sz="12" w:space="0" w:color="000000"/>
            </w:tcBorders>
            <w:shd w:fill="CCEEFF" w:val="clear"/>
            <w:tcMar>
              <w:bottom w:w="28" w:type="dxa"/>
            </w:tcMar>
            <w:vAlign w:val="bottom"/>
          </w:tcPr>
          <w:p>
            <w:pPr>
              <w:pStyle w:val="TableContents"/>
              <w:spacing w:before="0" w:after="0"/>
              <w:jc w:val="right"/>
              <w:rPr/>
            </w:pPr>
            <w:r>
              <w:rPr/>
              <w:t>803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687,404</w:t>
            </w:r>
          </w:p>
        </w:tc>
        <w:tc>
          <w:tcPr>
            <w:tcW w:w="75" w:type="dxa"/>
            <w:tcBorders/>
            <w:shd w:fill="CCEEFF" w:val="clear"/>
            <w:vAlign w:val="bottom"/>
          </w:tcPr>
          <w:p>
            <w:pPr>
              <w:pStyle w:val="TableContents"/>
              <w:spacing w:before="0" w:after="283"/>
              <w:rPr/>
            </w:pPr>
            <w:r>
              <w:rPr/>
              <w:t> </w:t>
            </w:r>
          </w:p>
        </w:tc>
      </w:tr>
      <w:tr>
        <w:trPr/>
        <w:tc>
          <w:tcPr>
            <w:tcW w:w="4390" w:type="dxa"/>
            <w:tcBorders/>
            <w:shd w:fill="FFFFFF" w:val="clear"/>
            <w:vAlign w:val="bottom"/>
          </w:tcPr>
          <w:p>
            <w:pPr>
              <w:pStyle w:val="TableContents"/>
              <w:spacing w:before="0" w:after="0"/>
              <w:ind w:left="504" w:right="0" w:hanging="144"/>
              <w:rPr/>
            </w:pPr>
            <w:r>
              <w:rPr/>
              <w:t>Total</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1,100,267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72,842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4" w:type="dxa"/>
            <w:tcBorders>
              <w:bottom w:val="double" w:sz="8" w:space="0" w:color="000000"/>
            </w:tcBorders>
            <w:shd w:fill="FFFFFF" w:val="clear"/>
            <w:tcMar>
              <w:bottom w:w="28" w:type="dxa"/>
            </w:tcMar>
            <w:vAlign w:val="bottom"/>
          </w:tcPr>
          <w:p>
            <w:pPr>
              <w:pStyle w:val="TableContents"/>
              <w:spacing w:before="0" w:after="0"/>
              <w:rPr/>
            </w:pPr>
            <w:r>
              <w:rPr/>
              <w:t>$</w:t>
            </w:r>
          </w:p>
        </w:tc>
        <w:tc>
          <w:tcPr>
            <w:tcW w:w="1096" w:type="dxa"/>
            <w:tcBorders>
              <w:bottom w:val="double" w:sz="8" w:space="0" w:color="000000"/>
            </w:tcBorders>
            <w:shd w:fill="FFFFFF" w:val="clear"/>
            <w:tcMar>
              <w:bottom w:w="28" w:type="dxa"/>
            </w:tcMar>
            <w:vAlign w:val="bottom"/>
          </w:tcPr>
          <w:p>
            <w:pPr>
              <w:pStyle w:val="TableContents"/>
              <w:spacing w:before="0" w:after="0"/>
              <w:jc w:val="right"/>
              <w:rPr/>
            </w:pPr>
            <w:r>
              <w:rPr/>
              <w:t>5,452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bottom w:val="double" w:sz="8" w:space="0" w:color="000000"/>
            </w:tcBorders>
            <w:shd w:fill="FFFFFF" w:val="clear"/>
            <w:tcMar>
              <w:bottom w:w="28" w:type="dxa"/>
            </w:tcMar>
            <w:vAlign w:val="bottom"/>
          </w:tcPr>
          <w:p>
            <w:pPr>
              <w:pStyle w:val="TableContents"/>
              <w:spacing w:before="0" w:after="0"/>
              <w:rPr/>
            </w:pPr>
            <w:r>
              <w:rPr/>
              <w:t>$</w:t>
            </w:r>
          </w:p>
        </w:tc>
        <w:tc>
          <w:tcPr>
            <w:tcW w:w="616" w:type="dxa"/>
            <w:tcBorders>
              <w:bottom w:val="double" w:sz="8" w:space="0" w:color="000000"/>
            </w:tcBorders>
            <w:shd w:fill="FFFFFF" w:val="clear"/>
            <w:tcMar>
              <w:bottom w:w="28" w:type="dxa"/>
            </w:tcMar>
            <w:vAlign w:val="bottom"/>
          </w:tcPr>
          <w:p>
            <w:pPr>
              <w:pStyle w:val="TableContents"/>
              <w:spacing w:before="0" w:after="0"/>
              <w:jc w:val="right"/>
              <w:rPr/>
            </w:pPr>
            <w:r>
              <w:rPr/>
              <w:t>803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1,179,364</w:t>
            </w:r>
          </w:p>
        </w:tc>
        <w:tc>
          <w:tcPr>
            <w:tcW w:w="75" w:type="dxa"/>
            <w:tcBorders/>
            <w:shd w:fill="FFFFFF" w:val="clear"/>
            <w:vAlign w:val="bottom"/>
          </w:tcPr>
          <w:p>
            <w:pPr>
              <w:pStyle w:val="TableContents"/>
              <w:spacing w:before="0" w:after="283"/>
              <w:rPr/>
            </w:pPr>
            <w:r>
              <w:rPr/>
              <w:t> </w:t>
            </w:r>
          </w:p>
        </w:tc>
      </w:tr>
      <w:tr>
        <w:trPr/>
        <w:tc>
          <w:tcPr>
            <w:tcW w:w="4390" w:type="dxa"/>
            <w:tcBorders/>
            <w:shd w:fill="CCEEFF" w:val="clear"/>
            <w:vAlign w:val="bottom"/>
          </w:tcPr>
          <w:p>
            <w:pPr>
              <w:pStyle w:val="TableContents"/>
              <w:spacing w:before="0" w:after="0"/>
              <w:ind w:left="144" w:right="0" w:hanging="144"/>
              <w:rPr/>
            </w:pPr>
            <w:r>
              <w:rPr/>
              <w:t>Accrued interest included in total</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3,158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4" w:type="dxa"/>
            <w:tcBorders>
              <w:bottom w:val="double" w:sz="8" w:space="0" w:color="000000"/>
            </w:tcBorders>
            <w:shd w:fill="CCEEFF" w:val="clear"/>
            <w:tcMar>
              <w:bottom w:w="28" w:type="dxa"/>
            </w:tcMar>
            <w:vAlign w:val="bottom"/>
          </w:tcPr>
          <w:p>
            <w:pPr>
              <w:pStyle w:val="TableContents"/>
              <w:spacing w:before="0" w:after="0"/>
              <w:rPr/>
            </w:pPr>
            <w:r>
              <w:rPr/>
              <w:t>$</w:t>
            </w:r>
          </w:p>
        </w:tc>
        <w:tc>
          <w:tcPr>
            <w:tcW w:w="1096" w:type="dxa"/>
            <w:tcBorders>
              <w:bottom w:val="double" w:sz="8" w:space="0" w:color="000000"/>
            </w:tcBorders>
            <w:shd w:fill="CCEEFF" w:val="clear"/>
            <w:tcMar>
              <w:bottom w:w="28" w:type="dxa"/>
            </w:tcMar>
            <w:vAlign w:val="bottom"/>
          </w:tcPr>
          <w:p>
            <w:pPr>
              <w:pStyle w:val="TableContents"/>
              <w:spacing w:before="0" w:after="0"/>
              <w:jc w:val="right"/>
              <w:rPr/>
            </w:pPr>
            <w:r>
              <w:rPr/>
              <w:t>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0"/>
              <w:rPr/>
            </w:pPr>
            <w:r>
              <w:rPr/>
              <w:t>$</w:t>
            </w:r>
          </w:p>
        </w:tc>
        <w:tc>
          <w:tcPr>
            <w:tcW w:w="616" w:type="dxa"/>
            <w:tcBorders>
              <w:bottom w:val="double" w:sz="8"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3,394</w:t>
            </w:r>
          </w:p>
        </w:tc>
        <w:tc>
          <w:tcPr>
            <w:tcW w:w="75" w:type="dxa"/>
            <w:tcBorders/>
            <w:shd w:fill="CCEEFF" w:val="clear"/>
            <w:vAlign w:val="bottom"/>
          </w:tcPr>
          <w:p>
            <w:pPr>
              <w:pStyle w:val="TableContents"/>
              <w:spacing w:before="0" w:after="283"/>
              <w:rPr/>
            </w:pPr>
            <w:r>
              <w:rPr/>
              <w:t> </w:t>
            </w:r>
          </w:p>
        </w:tc>
      </w:tr>
      <w:tr>
        <w:trPr/>
        <w:tc>
          <w:tcPr>
            <w:tcW w:w="439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61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390" w:type="dxa"/>
            <w:tcBorders/>
            <w:shd w:fill="CCEEFF" w:val="clear"/>
            <w:vAlign w:val="bottom"/>
          </w:tcPr>
          <w:p>
            <w:pPr>
              <w:pStyle w:val="TableContents"/>
              <w:spacing w:before="0" w:after="0"/>
              <w:ind w:left="144" w:right="0" w:hanging="144"/>
              <w:rPr/>
            </w:pPr>
            <w:r>
              <w:rPr/>
              <w:t>December 31, 2018</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390" w:type="dxa"/>
            <w:tcBorders/>
            <w:shd w:fill="FFFFFF" w:val="clear"/>
            <w:vAlign w:val="bottom"/>
          </w:tcPr>
          <w:p>
            <w:pPr>
              <w:pStyle w:val="TableContents"/>
              <w:spacing w:before="0" w:after="0"/>
              <w:ind w:left="324" w:right="0" w:hanging="144"/>
              <w:rPr/>
            </w:pPr>
            <w:r>
              <w:rPr/>
              <w:t>Income producing - real estate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980" w:type="dxa"/>
            <w:tcBorders/>
            <w:shd w:fill="FFFFFF" w:val="clear"/>
            <w:vAlign w:val="bottom"/>
          </w:tcPr>
          <w:p>
            <w:pPr>
              <w:pStyle w:val="TableContents"/>
              <w:spacing w:before="0" w:after="0"/>
              <w:jc w:val="right"/>
              <w:rPr/>
            </w:pPr>
            <w:r>
              <w:rPr/>
              <w:t>375,142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680" w:type="dxa"/>
            <w:tcBorders/>
            <w:shd w:fill="FFFFFF" w:val="clear"/>
            <w:vAlign w:val="bottom"/>
          </w:tcPr>
          <w:p>
            <w:pPr>
              <w:pStyle w:val="TableContents"/>
              <w:spacing w:before="0" w:after="0"/>
              <w:jc w:val="right"/>
              <w:rPr/>
            </w:pPr>
            <w:r>
              <w:rPr/>
              <w:t>13,387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0"/>
              <w:rPr/>
            </w:pPr>
            <w:r>
              <w:rPr/>
              <w:t>$</w:t>
            </w:r>
          </w:p>
        </w:tc>
        <w:tc>
          <w:tcPr>
            <w:tcW w:w="1096" w:type="dxa"/>
            <w:tcBorders/>
            <w:shd w:fill="FFFFFF" w:val="clear"/>
            <w:vAlign w:val="bottom"/>
          </w:tcPr>
          <w:p>
            <w:pPr>
              <w:pStyle w:val="TableContents"/>
              <w:spacing w:before="0" w:after="0"/>
              <w:jc w:val="right"/>
              <w:rPr/>
            </w:pPr>
            <w:r>
              <w:rPr/>
              <w:t>200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0"/>
              <w:rPr/>
            </w:pPr>
            <w:r>
              <w:rPr/>
              <w:t>$</w:t>
            </w:r>
          </w:p>
        </w:tc>
        <w:tc>
          <w:tcPr>
            <w:tcW w:w="616" w:type="dxa"/>
            <w:tcBorders/>
            <w:shd w:fill="FFFFFF" w:val="clear"/>
            <w:vAlign w:val="bottom"/>
          </w:tcPr>
          <w:p>
            <w:pPr>
              <w:pStyle w:val="TableContents"/>
              <w:spacing w:before="0" w:after="0"/>
              <w:jc w:val="right"/>
              <w:rPr/>
            </w:pPr>
            <w:r>
              <w:rPr/>
              <w:t>44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980" w:type="dxa"/>
            <w:tcBorders/>
            <w:shd w:fill="FFFFFF" w:val="clear"/>
            <w:vAlign w:val="bottom"/>
          </w:tcPr>
          <w:p>
            <w:pPr>
              <w:pStyle w:val="TableContents"/>
              <w:spacing w:before="0" w:after="0"/>
              <w:jc w:val="right"/>
              <w:rPr/>
            </w:pPr>
            <w:r>
              <w:rPr/>
              <w:t>388,773</w:t>
            </w:r>
          </w:p>
        </w:tc>
        <w:tc>
          <w:tcPr>
            <w:tcW w:w="75" w:type="dxa"/>
            <w:tcBorders/>
            <w:shd w:fill="FFFFFF" w:val="clear"/>
            <w:vAlign w:val="bottom"/>
          </w:tcPr>
          <w:p>
            <w:pPr>
              <w:pStyle w:val="TableContents"/>
              <w:spacing w:before="0" w:after="283"/>
              <w:rPr/>
            </w:pPr>
            <w:r>
              <w:rPr/>
              <w:t> </w:t>
            </w:r>
          </w:p>
        </w:tc>
      </w:tr>
      <w:tr>
        <w:trPr/>
        <w:tc>
          <w:tcPr>
            <w:tcW w:w="4390" w:type="dxa"/>
            <w:tcBorders/>
            <w:shd w:fill="CCEEFF" w:val="clear"/>
            <w:vAlign w:val="bottom"/>
          </w:tcPr>
          <w:p>
            <w:pPr>
              <w:pStyle w:val="TableContents"/>
              <w:spacing w:before="0" w:after="0"/>
              <w:ind w:left="360" w:right="0" w:hanging="180"/>
              <w:rPr/>
            </w:pPr>
            <w:r>
              <w:rPr/>
              <w:t>Land, land development and construction - real estate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76,120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8,328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0"/>
              <w:jc w:val="right"/>
              <w:rPr/>
            </w:pPr>
            <w:r>
              <w:rPr/>
              <w:t>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84,458</w:t>
            </w:r>
          </w:p>
        </w:tc>
        <w:tc>
          <w:tcPr>
            <w:tcW w:w="75" w:type="dxa"/>
            <w:tcBorders/>
            <w:shd w:fill="CCEEFF" w:val="clear"/>
            <w:vAlign w:val="bottom"/>
          </w:tcPr>
          <w:p>
            <w:pPr>
              <w:pStyle w:val="TableContents"/>
              <w:spacing w:before="0" w:after="283"/>
              <w:rPr/>
            </w:pPr>
            <w:r>
              <w:rPr/>
              <w:t> </w:t>
            </w:r>
          </w:p>
        </w:tc>
      </w:tr>
      <w:tr>
        <w:trPr/>
        <w:tc>
          <w:tcPr>
            <w:tcW w:w="4390" w:type="dxa"/>
            <w:tcBorders/>
            <w:shd w:fill="FFFFFF" w:val="clear"/>
            <w:vAlign w:val="bottom"/>
          </w:tcPr>
          <w:p>
            <w:pPr>
              <w:pStyle w:val="TableContents"/>
              <w:spacing w:before="0" w:after="0"/>
              <w:ind w:left="324" w:right="0" w:hanging="144"/>
              <w:rPr/>
            </w:pPr>
            <w:r>
              <w:rPr/>
              <w:t>Commercial and industrial</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631,248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35,469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0"/>
              <w:jc w:val="right"/>
              <w:rPr/>
            </w:pPr>
            <w:r>
              <w:rPr/>
              <w:t>5,577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16" w:type="dxa"/>
            <w:tcBorders>
              <w:bottom w:val="single" w:sz="12" w:space="0" w:color="000000"/>
            </w:tcBorders>
            <w:shd w:fill="FFFFFF" w:val="clear"/>
            <w:tcMar>
              <w:bottom w:w="28" w:type="dxa"/>
            </w:tcMar>
            <w:vAlign w:val="bottom"/>
          </w:tcPr>
          <w:p>
            <w:pPr>
              <w:pStyle w:val="TableContents"/>
              <w:spacing w:before="0" w:after="0"/>
              <w:jc w:val="right"/>
              <w:rPr/>
            </w:pPr>
            <w:r>
              <w:rPr/>
              <w:t>2,367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674,661</w:t>
            </w:r>
          </w:p>
        </w:tc>
        <w:tc>
          <w:tcPr>
            <w:tcW w:w="75" w:type="dxa"/>
            <w:tcBorders/>
            <w:shd w:fill="FFFFFF" w:val="clear"/>
            <w:vAlign w:val="bottom"/>
          </w:tcPr>
          <w:p>
            <w:pPr>
              <w:pStyle w:val="TableContents"/>
              <w:spacing w:before="0" w:after="283"/>
              <w:rPr/>
            </w:pPr>
            <w:r>
              <w:rPr/>
              <w:t> </w:t>
            </w:r>
          </w:p>
        </w:tc>
      </w:tr>
      <w:tr>
        <w:trPr/>
        <w:tc>
          <w:tcPr>
            <w:tcW w:w="4390" w:type="dxa"/>
            <w:tcBorders/>
            <w:shd w:fill="CCEEFF" w:val="clear"/>
            <w:vAlign w:val="bottom"/>
          </w:tcPr>
          <w:p>
            <w:pPr>
              <w:pStyle w:val="TableContents"/>
              <w:spacing w:before="0" w:after="0"/>
              <w:ind w:left="504" w:right="0" w:hanging="144"/>
              <w:rPr/>
            </w:pPr>
            <w:r>
              <w:rPr/>
              <w:t>Total</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1,082,510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57,184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4" w:type="dxa"/>
            <w:tcBorders>
              <w:bottom w:val="double" w:sz="8" w:space="0" w:color="000000"/>
            </w:tcBorders>
            <w:shd w:fill="CCEEFF" w:val="clear"/>
            <w:tcMar>
              <w:bottom w:w="28" w:type="dxa"/>
            </w:tcMar>
            <w:vAlign w:val="bottom"/>
          </w:tcPr>
          <w:p>
            <w:pPr>
              <w:pStyle w:val="TableContents"/>
              <w:spacing w:before="0" w:after="0"/>
              <w:rPr/>
            </w:pPr>
            <w:r>
              <w:rPr/>
              <w:t>$</w:t>
            </w:r>
          </w:p>
        </w:tc>
        <w:tc>
          <w:tcPr>
            <w:tcW w:w="1096" w:type="dxa"/>
            <w:tcBorders>
              <w:bottom w:val="double" w:sz="8" w:space="0" w:color="000000"/>
            </w:tcBorders>
            <w:shd w:fill="CCEEFF" w:val="clear"/>
            <w:tcMar>
              <w:bottom w:w="28" w:type="dxa"/>
            </w:tcMar>
            <w:vAlign w:val="bottom"/>
          </w:tcPr>
          <w:p>
            <w:pPr>
              <w:pStyle w:val="TableContents"/>
              <w:spacing w:before="0" w:after="0"/>
              <w:jc w:val="right"/>
              <w:rPr/>
            </w:pPr>
            <w:r>
              <w:rPr/>
              <w:t>5,777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0"/>
              <w:rPr/>
            </w:pPr>
            <w:r>
              <w:rPr/>
              <w:t>$</w:t>
            </w:r>
          </w:p>
        </w:tc>
        <w:tc>
          <w:tcPr>
            <w:tcW w:w="616" w:type="dxa"/>
            <w:tcBorders>
              <w:bottom w:val="double" w:sz="8" w:space="0" w:color="000000"/>
            </w:tcBorders>
            <w:shd w:fill="CCEEFF" w:val="clear"/>
            <w:tcMar>
              <w:bottom w:w="28" w:type="dxa"/>
            </w:tcMar>
            <w:vAlign w:val="bottom"/>
          </w:tcPr>
          <w:p>
            <w:pPr>
              <w:pStyle w:val="TableContents"/>
              <w:spacing w:before="0" w:after="0"/>
              <w:jc w:val="right"/>
              <w:rPr/>
            </w:pPr>
            <w:r>
              <w:rPr/>
              <w:t>2,421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1,147,892</w:t>
            </w:r>
          </w:p>
        </w:tc>
        <w:tc>
          <w:tcPr>
            <w:tcW w:w="75" w:type="dxa"/>
            <w:tcBorders/>
            <w:shd w:fill="CCEEFF" w:val="clear"/>
            <w:vAlign w:val="bottom"/>
          </w:tcPr>
          <w:p>
            <w:pPr>
              <w:pStyle w:val="TableContents"/>
              <w:spacing w:before="0" w:after="283"/>
              <w:rPr/>
            </w:pPr>
            <w:r>
              <w:rPr/>
              <w:t> </w:t>
            </w:r>
          </w:p>
        </w:tc>
      </w:tr>
      <w:tr>
        <w:trPr/>
        <w:tc>
          <w:tcPr>
            <w:tcW w:w="4390" w:type="dxa"/>
            <w:tcBorders/>
            <w:shd w:fill="FFFFFF" w:val="clear"/>
            <w:vAlign w:val="bottom"/>
          </w:tcPr>
          <w:p>
            <w:pPr>
              <w:pStyle w:val="TableContents"/>
              <w:spacing w:before="0" w:after="0"/>
              <w:ind w:left="144" w:right="0" w:hanging="144"/>
              <w:rPr/>
            </w:pPr>
            <w:r>
              <w:rPr/>
              <w:t>Accrued interest included in total</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3,107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174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4" w:type="dxa"/>
            <w:tcBorders>
              <w:bottom w:val="double" w:sz="8" w:space="0" w:color="000000"/>
            </w:tcBorders>
            <w:shd w:fill="FFFFFF" w:val="clear"/>
            <w:tcMar>
              <w:bottom w:w="28" w:type="dxa"/>
            </w:tcMar>
            <w:vAlign w:val="bottom"/>
          </w:tcPr>
          <w:p>
            <w:pPr>
              <w:pStyle w:val="TableContents"/>
              <w:spacing w:before="0" w:after="0"/>
              <w:rPr/>
            </w:pPr>
            <w:r>
              <w:rPr/>
              <w:t>$</w:t>
            </w:r>
          </w:p>
        </w:tc>
        <w:tc>
          <w:tcPr>
            <w:tcW w:w="1096" w:type="dxa"/>
            <w:tcBorders>
              <w:bottom w:val="double" w:sz="8" w:space="0" w:color="000000"/>
            </w:tcBorders>
            <w:shd w:fill="FFFFFF" w:val="clear"/>
            <w:tcMar>
              <w:bottom w:w="28" w:type="dxa"/>
            </w:tcMar>
            <w:vAlign w:val="bottom"/>
          </w:tcPr>
          <w:p>
            <w:pPr>
              <w:pStyle w:val="TableContents"/>
              <w:spacing w:before="0" w:after="0"/>
              <w:jc w:val="right"/>
              <w:rPr/>
            </w:pPr>
            <w:r>
              <w:rPr/>
              <w:t>130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bottom w:val="double" w:sz="8" w:space="0" w:color="000000"/>
            </w:tcBorders>
            <w:shd w:fill="FFFFFF" w:val="clear"/>
            <w:tcMar>
              <w:bottom w:w="28" w:type="dxa"/>
            </w:tcMar>
            <w:vAlign w:val="bottom"/>
          </w:tcPr>
          <w:p>
            <w:pPr>
              <w:pStyle w:val="TableContents"/>
              <w:spacing w:before="0" w:after="0"/>
              <w:rPr/>
            </w:pPr>
            <w:r>
              <w:rPr/>
              <w:t>$</w:t>
            </w:r>
          </w:p>
        </w:tc>
        <w:tc>
          <w:tcPr>
            <w:tcW w:w="616" w:type="dxa"/>
            <w:tcBorders>
              <w:bottom w:val="double" w:sz="8"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3,411</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For each of our mortgage and installment segment classes, we generally monitor credit quality based on the credit scores of the borrowers. These credit scores are generally updated semi-annually.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2" w:name="DSPFPageBreakArea27"/>
      <w:bookmarkStart w:id="293" w:name="DSPFPageBreakArea27"/>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294" w:name="DSPFPageNumber27"/>
      <w:bookmarkStart w:id="295" w:name="DSPFPageNumberArea26"/>
      <w:bookmarkEnd w:id="294"/>
      <w:bookmarkEnd w:id="295"/>
      <w:r>
        <w:rPr>
          <w:b w:val="false"/>
          <w:i w:val="false"/>
          <w:caps w:val="false"/>
          <w:smallCaps w:val="false"/>
          <w:sz w:val="13"/>
        </w:rPr>
        <w:t>28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6" w:name="DSPFPageBreak27"/>
      <w:bookmarkStart w:id="297" w:name="DSPFPageBreak27"/>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298" w:name="DSPFPageHeader26"/>
        <w:bookmarkEnd w:id="298"/>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The following tables summarize credit scores by loan class for our mortgage and installment loan segments:</w:t>
      </w:r>
    </w:p>
    <w:p>
      <w:pPr>
        <w:pStyle w:val="TextBody"/>
        <w:spacing w:before="0" w:after="0"/>
        <w:rPr/>
      </w:pPr>
      <w:r>
        <w:rPr/>
      </w:r>
    </w:p>
    <w:p>
      <w:pPr>
        <w:pStyle w:val="Normal"/>
        <w:spacing w:before="0" w:after="0"/>
        <w:rPr>
          <w:sz w:val="4"/>
          <w:szCs w:val="4"/>
        </w:rPr>
      </w:pPr>
      <w:r>
        <w:rPr>
          <w:sz w:val="4"/>
          <w:szCs w:val="4"/>
        </w:rPr>
      </w:r>
      <w:bookmarkStart w:id="299" w:name="zade0a7e112bb4af0af035c0a7dbd1d03"/>
      <w:bookmarkStart w:id="300" w:name="zade0a7e112bb4af0af035c0a7dbd1d03"/>
      <w:bookmarkEnd w:id="300"/>
    </w:p>
    <w:tbl>
      <w:tblPr>
        <w:tblW w:w="8555" w:type="dxa"/>
        <w:jc w:val="left"/>
        <w:tblInd w:w="0" w:type="dxa"/>
        <w:tblCellMar>
          <w:top w:w="0" w:type="dxa"/>
          <w:left w:w="0" w:type="dxa"/>
          <w:bottom w:w="0" w:type="dxa"/>
          <w:right w:w="0" w:type="dxa"/>
        </w:tblCellMar>
      </w:tblPr>
      <w:tblGrid>
        <w:gridCol w:w="3140"/>
        <w:gridCol w:w="60"/>
        <w:gridCol w:w="60"/>
        <w:gridCol w:w="157"/>
        <w:gridCol w:w="898"/>
        <w:gridCol w:w="60"/>
        <w:gridCol w:w="60"/>
        <w:gridCol w:w="140"/>
        <w:gridCol w:w="680"/>
        <w:gridCol w:w="60"/>
        <w:gridCol w:w="60"/>
        <w:gridCol w:w="140"/>
        <w:gridCol w:w="680"/>
        <w:gridCol w:w="60"/>
        <w:gridCol w:w="60"/>
        <w:gridCol w:w="140"/>
        <w:gridCol w:w="800"/>
        <w:gridCol w:w="60"/>
        <w:gridCol w:w="60"/>
        <w:gridCol w:w="140"/>
        <w:gridCol w:w="980"/>
        <w:gridCol w:w="60"/>
      </w:tblGrid>
      <w:tr>
        <w:trPr/>
        <w:tc>
          <w:tcPr>
            <w:tcW w:w="3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235" w:type="dxa"/>
            <w:gridSpan w:val="18"/>
            <w:tcBorders>
              <w:bottom w:val="single" w:sz="12" w:space="0" w:color="000000"/>
            </w:tcBorders>
            <w:shd w:fill="auto" w:val="clear"/>
            <w:tcMar>
              <w:bottom w:w="28" w:type="dxa"/>
            </w:tcMar>
            <w:vAlign w:val="bottom"/>
          </w:tcPr>
          <w:p>
            <w:pPr>
              <w:pStyle w:val="TableContents"/>
              <w:spacing w:before="0" w:after="0"/>
              <w:jc w:val="center"/>
              <w:rPr/>
            </w:pPr>
            <w:r>
              <w:rPr/>
              <w:t>Mortgage (1)</w:t>
            </w:r>
          </w:p>
        </w:tc>
        <w:tc>
          <w:tcPr>
            <w:tcW w:w="60"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1-4 Family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Resort</w:t>
            </w:r>
          </w:p>
          <w:p>
            <w:pPr>
              <w:pStyle w:val="TableContents"/>
              <w:spacing w:before="0" w:after="0"/>
              <w:jc w:val="center"/>
              <w:rPr/>
            </w:pPr>
            <w:r>
              <w:rPr/>
              <w:t>Lending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Home</w:t>
            </w:r>
          </w:p>
          <w:p>
            <w:pPr>
              <w:pStyle w:val="TableContents"/>
              <w:spacing w:before="0" w:after="0"/>
              <w:jc w:val="center"/>
              <w:rPr/>
            </w:pPr>
            <w:r>
              <w:rPr/>
              <w:t>Equity</w:t>
            </w:r>
          </w:p>
          <w:p>
            <w:pPr>
              <w:pStyle w:val="TableContents"/>
              <w:spacing w:before="0" w:after="0"/>
              <w:jc w:val="center"/>
              <w:rPr/>
            </w:pPr>
            <w:r>
              <w:rPr/>
              <w:t>1st Lien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Home</w:t>
            </w:r>
          </w:p>
          <w:p>
            <w:pPr>
              <w:pStyle w:val="TableContents"/>
              <w:spacing w:before="0" w:after="0"/>
              <w:jc w:val="center"/>
              <w:rPr/>
            </w:pPr>
            <w:r>
              <w:rPr/>
              <w:t>Equity</w:t>
            </w:r>
          </w:p>
          <w:p>
            <w:pPr>
              <w:pStyle w:val="TableContents"/>
              <w:spacing w:before="0" w:after="0"/>
              <w:jc w:val="center"/>
              <w:rPr/>
            </w:pPr>
            <w:r>
              <w:rPr/>
              <w:t>2nd Lien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60"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235" w:type="dxa"/>
            <w:gridSpan w:val="18"/>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0"/>
              <w:rPr/>
            </w:pPr>
            <w:r>
              <w:rPr/>
              <w:t>June 30, 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800 and above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rPr/>
            </w:pPr>
            <w:r>
              <w:rPr/>
              <w:t>$</w:t>
            </w:r>
          </w:p>
        </w:tc>
        <w:tc>
          <w:tcPr>
            <w:tcW w:w="898" w:type="dxa"/>
            <w:tcBorders/>
            <w:shd w:fill="CCEEFF" w:val="clear"/>
            <w:vAlign w:val="bottom"/>
          </w:tcPr>
          <w:p>
            <w:pPr>
              <w:pStyle w:val="TableContents"/>
              <w:spacing w:before="0" w:after="0"/>
              <w:jc w:val="right"/>
              <w:rPr/>
            </w:pPr>
            <w:r>
              <w:rPr/>
              <w:t>110,599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11,748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5,783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12,623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140,753</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750-799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0"/>
              <w:jc w:val="right"/>
              <w:rPr/>
            </w:pPr>
            <w:r>
              <w:rPr/>
              <w:t>391,241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32,894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15,624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52,785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492,544</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700-749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0"/>
              <w:jc w:val="right"/>
              <w:rPr/>
            </w:pPr>
            <w:r>
              <w:rPr/>
              <w:t>195,867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15,747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9,584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33,377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254,575</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650-699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0"/>
              <w:jc w:val="right"/>
              <w:rPr/>
            </w:pPr>
            <w:r>
              <w:rPr/>
              <w:t>89,819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8,074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3,623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13,055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114,571</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600-649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0"/>
              <w:jc w:val="right"/>
              <w:rPr/>
            </w:pPr>
            <w:r>
              <w:rPr/>
              <w:t>31,668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2,597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4,212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39,140</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550-599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0"/>
              <w:jc w:val="right"/>
              <w:rPr/>
            </w:pPr>
            <w:r>
              <w:rPr/>
              <w:t>16,755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1,465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652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1,929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20,801</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500-549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0"/>
              <w:jc w:val="right"/>
              <w:rPr/>
            </w:pPr>
            <w:r>
              <w:rPr/>
              <w:t>11,333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1,148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13,490</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Under 500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0"/>
              <w:jc w:val="right"/>
              <w:rPr/>
            </w:pPr>
            <w:r>
              <w:rPr/>
              <w:t>4,192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81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272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392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4,937</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Unknown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98" w:type="dxa"/>
            <w:tcBorders>
              <w:bottom w:val="single" w:sz="12" w:space="0" w:color="000000"/>
            </w:tcBorders>
            <w:shd w:fill="CCEEFF" w:val="clear"/>
            <w:tcMar>
              <w:bottom w:w="28" w:type="dxa"/>
            </w:tcMar>
            <w:vAlign w:val="bottom"/>
          </w:tcPr>
          <w:p>
            <w:pPr>
              <w:pStyle w:val="TableContents"/>
              <w:spacing w:before="0" w:after="0"/>
              <w:jc w:val="right"/>
              <w:rPr/>
            </w:pPr>
            <w:r>
              <w:rPr/>
              <w:t>8,186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1,443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419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10,048</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360" w:right="0" w:hanging="0"/>
              <w:rPr/>
            </w:pPr>
            <w:r>
              <w:rPr/>
              <w:t>Total</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rPr/>
            </w:pPr>
            <w:r>
              <w:rPr/>
              <w:t>$</w:t>
            </w:r>
          </w:p>
        </w:tc>
        <w:tc>
          <w:tcPr>
            <w:tcW w:w="898" w:type="dxa"/>
            <w:tcBorders>
              <w:bottom w:val="double" w:sz="8" w:space="0" w:color="000000"/>
            </w:tcBorders>
            <w:shd w:fill="FFFFFF" w:val="clear"/>
            <w:tcMar>
              <w:bottom w:w="28" w:type="dxa"/>
            </w:tcMar>
            <w:vAlign w:val="bottom"/>
          </w:tcPr>
          <w:p>
            <w:pPr>
              <w:pStyle w:val="TableContents"/>
              <w:spacing w:before="0" w:after="0"/>
              <w:jc w:val="right"/>
              <w:rPr/>
            </w:pPr>
            <w:r>
              <w:rPr/>
              <w:t>859,660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74,733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36,526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800" w:type="dxa"/>
            <w:tcBorders>
              <w:bottom w:val="double" w:sz="8" w:space="0" w:color="000000"/>
            </w:tcBorders>
            <w:shd w:fill="FFFFFF" w:val="clear"/>
            <w:tcMar>
              <w:bottom w:w="28" w:type="dxa"/>
            </w:tcMar>
            <w:vAlign w:val="bottom"/>
          </w:tcPr>
          <w:p>
            <w:pPr>
              <w:pStyle w:val="TableContents"/>
              <w:spacing w:before="0" w:after="0"/>
              <w:jc w:val="right"/>
              <w:rPr/>
            </w:pPr>
            <w:r>
              <w:rPr/>
              <w:t>119,940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1,090,859</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rPr/>
            </w:pPr>
            <w:r>
              <w:rPr/>
              <w:t>Accrued interest included in total</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double" w:sz="8" w:space="0" w:color="000000"/>
            </w:tcBorders>
            <w:shd w:fill="CCEEFF" w:val="clear"/>
            <w:tcMar>
              <w:bottom w:w="28" w:type="dxa"/>
            </w:tcMar>
            <w:vAlign w:val="bottom"/>
          </w:tcPr>
          <w:p>
            <w:pPr>
              <w:pStyle w:val="TableContents"/>
              <w:spacing w:before="0" w:after="0"/>
              <w:rPr/>
            </w:pPr>
            <w:r>
              <w:rPr/>
              <w:t>$</w:t>
            </w:r>
          </w:p>
        </w:tc>
        <w:tc>
          <w:tcPr>
            <w:tcW w:w="898" w:type="dxa"/>
            <w:tcBorders>
              <w:bottom w:val="double" w:sz="8" w:space="0" w:color="000000"/>
            </w:tcBorders>
            <w:shd w:fill="CCEEFF" w:val="clear"/>
            <w:tcMar>
              <w:bottom w:w="28" w:type="dxa"/>
            </w:tcMar>
            <w:vAlign w:val="bottom"/>
          </w:tcPr>
          <w:p>
            <w:pPr>
              <w:pStyle w:val="TableContents"/>
              <w:spacing w:before="0" w:after="0"/>
              <w:jc w:val="right"/>
              <w:rPr/>
            </w:pPr>
            <w:r>
              <w:rPr/>
              <w:t>3,503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176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pPr>
            <w:r>
              <w:rPr/>
              <w:t>504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4,550</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rPr/>
            </w:pPr>
            <w:r>
              <w:rPr/>
              <w:t>December 31, 2018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800 and above</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0"/>
              <w:rPr/>
            </w:pPr>
            <w:r>
              <w:rPr/>
              <w:t>$</w:t>
            </w:r>
          </w:p>
        </w:tc>
        <w:tc>
          <w:tcPr>
            <w:tcW w:w="898" w:type="dxa"/>
            <w:tcBorders/>
            <w:shd w:fill="FFFFFF" w:val="clear"/>
            <w:vAlign w:val="bottom"/>
          </w:tcPr>
          <w:p>
            <w:pPr>
              <w:pStyle w:val="TableContents"/>
              <w:spacing w:before="0" w:after="0"/>
              <w:jc w:val="right"/>
              <w:rPr/>
            </w:pPr>
            <w:r>
              <w:rPr/>
              <w:t>94,492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680" w:type="dxa"/>
            <w:tcBorders/>
            <w:shd w:fill="FFFFFF" w:val="clear"/>
            <w:vAlign w:val="bottom"/>
          </w:tcPr>
          <w:p>
            <w:pPr>
              <w:pStyle w:val="TableContents"/>
              <w:spacing w:before="0" w:after="0"/>
              <w:jc w:val="right"/>
              <w:rPr/>
            </w:pPr>
            <w:r>
              <w:rPr/>
              <w:t>10,898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680" w:type="dxa"/>
            <w:tcBorders/>
            <w:shd w:fill="FFFFFF" w:val="clear"/>
            <w:vAlign w:val="bottom"/>
          </w:tcPr>
          <w:p>
            <w:pPr>
              <w:pStyle w:val="TableContents"/>
              <w:spacing w:before="0" w:after="0"/>
              <w:jc w:val="right"/>
              <w:rPr/>
            </w:pPr>
            <w:r>
              <w:rPr/>
              <w:t>6,784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800" w:type="dxa"/>
            <w:tcBorders/>
            <w:shd w:fill="FFFFFF" w:val="clear"/>
            <w:vAlign w:val="bottom"/>
          </w:tcPr>
          <w:p>
            <w:pPr>
              <w:pStyle w:val="TableContents"/>
              <w:spacing w:before="0" w:after="0"/>
              <w:jc w:val="right"/>
              <w:rPr/>
            </w:pPr>
            <w:r>
              <w:rPr/>
              <w:t>8,838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980" w:type="dxa"/>
            <w:tcBorders/>
            <w:shd w:fill="FFFFFF" w:val="clear"/>
            <w:vAlign w:val="bottom"/>
          </w:tcPr>
          <w:p>
            <w:pPr>
              <w:pStyle w:val="TableContents"/>
              <w:spacing w:before="0" w:after="0"/>
              <w:jc w:val="right"/>
              <w:rPr/>
            </w:pPr>
            <w:r>
              <w:rPr/>
              <w:t>121,012</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750-799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0"/>
              <w:jc w:val="right"/>
              <w:rPr/>
            </w:pPr>
            <w:r>
              <w:rPr/>
              <w:t>384,344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36,542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17,303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38,295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476,484</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700-749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0"/>
              <w:jc w:val="right"/>
              <w:rPr/>
            </w:pPr>
            <w:r>
              <w:rPr/>
              <w:t>202,440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17,282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9,155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23,249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252,126</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650-699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0"/>
              <w:jc w:val="right"/>
              <w:rPr/>
            </w:pPr>
            <w:r>
              <w:rPr/>
              <w:t>91,847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9,945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3,987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8,681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114,460</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600-649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0"/>
              <w:jc w:val="right"/>
              <w:rPr/>
            </w:pPr>
            <w:r>
              <w:rPr/>
              <w:t>34,342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3,088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959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3,359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41,748</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550-599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0"/>
              <w:jc w:val="right"/>
              <w:rPr/>
            </w:pPr>
            <w:r>
              <w:rPr/>
              <w:t>13,771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1,867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427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1,236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17,301</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500-549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898" w:type="dxa"/>
            <w:tcBorders/>
            <w:shd w:fill="FFFFFF" w:val="clear"/>
            <w:vAlign w:val="bottom"/>
          </w:tcPr>
          <w:p>
            <w:pPr>
              <w:pStyle w:val="TableContents"/>
              <w:spacing w:before="0" w:after="0"/>
              <w:jc w:val="right"/>
              <w:rPr/>
            </w:pPr>
            <w:r>
              <w:rPr/>
              <w:t>8,439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106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418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826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9,789</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Under 500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98" w:type="dxa"/>
            <w:tcBorders/>
            <w:shd w:fill="CCEEFF" w:val="clear"/>
            <w:vAlign w:val="bottom"/>
          </w:tcPr>
          <w:p>
            <w:pPr>
              <w:pStyle w:val="TableContents"/>
              <w:spacing w:before="0" w:after="0"/>
              <w:jc w:val="right"/>
              <w:rPr/>
            </w:pPr>
            <w:r>
              <w:rPr/>
              <w:t>2,533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381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3,155</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Unknown</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98" w:type="dxa"/>
            <w:tcBorders>
              <w:bottom w:val="single" w:sz="12" w:space="0" w:color="000000"/>
            </w:tcBorders>
            <w:shd w:fill="FFFFFF" w:val="clear"/>
            <w:tcMar>
              <w:bottom w:w="28" w:type="dxa"/>
            </w:tcMar>
            <w:vAlign w:val="bottom"/>
          </w:tcPr>
          <w:p>
            <w:pPr>
              <w:pStyle w:val="TableContents"/>
              <w:spacing w:before="0" w:after="0"/>
              <w:jc w:val="right"/>
              <w:rPr/>
            </w:pPr>
            <w:r>
              <w:rPr/>
              <w:t>8,236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1,910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113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00" w:type="dxa"/>
            <w:tcBorders>
              <w:bottom w:val="single" w:sz="12" w:space="0" w:color="000000"/>
            </w:tcBorders>
            <w:shd w:fill="FFFFFF" w:val="clear"/>
            <w:tcMar>
              <w:bottom w:w="28" w:type="dxa"/>
            </w:tcMar>
            <w:vAlign w:val="bottom"/>
          </w:tcPr>
          <w:p>
            <w:pPr>
              <w:pStyle w:val="TableContents"/>
              <w:spacing w:before="0" w:after="0"/>
              <w:jc w:val="right"/>
              <w:rPr/>
            </w:pPr>
            <w:r>
              <w:rPr/>
              <w:t>653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10,912</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360" w:right="0" w:hanging="0"/>
              <w:rPr/>
            </w:pPr>
            <w:r>
              <w:rPr/>
              <w:t>Total</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double" w:sz="8" w:space="0" w:color="000000"/>
            </w:tcBorders>
            <w:shd w:fill="CCEEFF" w:val="clear"/>
            <w:tcMar>
              <w:bottom w:w="28" w:type="dxa"/>
            </w:tcMar>
            <w:vAlign w:val="bottom"/>
          </w:tcPr>
          <w:p>
            <w:pPr>
              <w:pStyle w:val="TableContents"/>
              <w:spacing w:before="0" w:after="0"/>
              <w:rPr/>
            </w:pPr>
            <w:r>
              <w:rPr/>
              <w:t>$</w:t>
            </w:r>
          </w:p>
        </w:tc>
        <w:tc>
          <w:tcPr>
            <w:tcW w:w="898" w:type="dxa"/>
            <w:tcBorders>
              <w:bottom w:val="double" w:sz="8" w:space="0" w:color="000000"/>
            </w:tcBorders>
            <w:shd w:fill="CCEEFF" w:val="clear"/>
            <w:tcMar>
              <w:bottom w:w="28" w:type="dxa"/>
            </w:tcMar>
            <w:vAlign w:val="bottom"/>
          </w:tcPr>
          <w:p>
            <w:pPr>
              <w:pStyle w:val="TableContents"/>
              <w:spacing w:before="0" w:after="0"/>
              <w:jc w:val="right"/>
              <w:rPr/>
            </w:pPr>
            <w:r>
              <w:rPr/>
              <w:t>840,444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81,781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39,244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pPr>
            <w:r>
              <w:rPr/>
              <w:t>85,518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1,046,987</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rPr/>
            </w:pPr>
            <w:r>
              <w:rPr/>
              <w:t>Accrued interest included in total</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rPr/>
            </w:pPr>
            <w:r>
              <w:rPr/>
              <w:t>$</w:t>
            </w:r>
          </w:p>
        </w:tc>
        <w:tc>
          <w:tcPr>
            <w:tcW w:w="898" w:type="dxa"/>
            <w:tcBorders>
              <w:bottom w:val="double" w:sz="8" w:space="0" w:color="000000"/>
            </w:tcBorders>
            <w:shd w:fill="FFFFFF" w:val="clear"/>
            <w:tcMar>
              <w:bottom w:w="28" w:type="dxa"/>
            </w:tcMar>
            <w:vAlign w:val="bottom"/>
          </w:tcPr>
          <w:p>
            <w:pPr>
              <w:pStyle w:val="TableContents"/>
              <w:spacing w:before="0" w:after="0"/>
              <w:jc w:val="right"/>
              <w:rPr/>
            </w:pPr>
            <w:r>
              <w:rPr/>
              <w:t>3,079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363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199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800" w:type="dxa"/>
            <w:tcBorders>
              <w:bottom w:val="double" w:sz="8" w:space="0" w:color="000000"/>
            </w:tcBorders>
            <w:shd w:fill="FFFFFF" w:val="clear"/>
            <w:tcMar>
              <w:bottom w:w="28" w:type="dxa"/>
            </w:tcMar>
            <w:vAlign w:val="bottom"/>
          </w:tcPr>
          <w:p>
            <w:pPr>
              <w:pStyle w:val="TableContents"/>
              <w:spacing w:before="0" w:after="0"/>
              <w:jc w:val="right"/>
              <w:rPr/>
            </w:pPr>
            <w:r>
              <w:rPr/>
              <w:t>456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4,097</w:t>
            </w:r>
          </w:p>
        </w:tc>
        <w:tc>
          <w:tcPr>
            <w:tcW w:w="60" w:type="dxa"/>
            <w:tcBorders/>
            <w:shd w:fill="FFFF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301" w:name="z5d68fbf50b8947f9b83583145fb11e8f"/>
      <w:bookmarkStart w:id="302" w:name="z5d68fbf50b8947f9b83583145fb11e8f"/>
      <w:bookmarkEnd w:id="302"/>
    </w:p>
    <w:tbl>
      <w:tblPr>
        <w:tblW w:w="6280" w:type="dxa"/>
        <w:jc w:val="left"/>
        <w:tblInd w:w="0" w:type="dxa"/>
        <w:tblCellMar>
          <w:top w:w="0" w:type="dxa"/>
          <w:left w:w="0" w:type="dxa"/>
          <w:bottom w:w="0" w:type="dxa"/>
          <w:right w:w="0" w:type="dxa"/>
        </w:tblCellMar>
      </w:tblPr>
      <w:tblGrid>
        <w:gridCol w:w="305"/>
        <w:gridCol w:w="5975"/>
      </w:tblGrid>
      <w:tr>
        <w:trPr/>
        <w:tc>
          <w:tcPr>
            <w:tcW w:w="305" w:type="dxa"/>
            <w:tcBorders/>
            <w:shd w:fill="auto" w:val="clear"/>
            <w:vAlign w:val="center"/>
          </w:tcPr>
          <w:p>
            <w:pPr>
              <w:pStyle w:val="TableContents"/>
              <w:spacing w:before="0" w:after="283"/>
              <w:rPr/>
            </w:pPr>
            <w:r>
              <w:rPr/>
              <w:t>(1)</w:t>
            </w:r>
          </w:p>
        </w:tc>
        <w:tc>
          <w:tcPr>
            <w:tcW w:w="5975" w:type="dxa"/>
            <w:tcBorders/>
            <w:shd w:fill="auto" w:val="clear"/>
            <w:vAlign w:val="center"/>
          </w:tcPr>
          <w:p>
            <w:pPr>
              <w:pStyle w:val="TableContents"/>
              <w:spacing w:before="0" w:after="0"/>
              <w:rPr/>
            </w:pPr>
            <w:r>
              <w:rPr/>
              <w:t>Credit scores have been updated within the last twelve months.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3" w:name="DSPFPageBreakArea28"/>
      <w:bookmarkStart w:id="304" w:name="DSPFPageBreakArea28"/>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305" w:name="DSPFPageNumber28"/>
      <w:bookmarkStart w:id="306" w:name="DSPFPageNumberArea27"/>
      <w:bookmarkEnd w:id="305"/>
      <w:bookmarkEnd w:id="306"/>
      <w:r>
        <w:rPr>
          <w:b w:val="false"/>
          <w:i w:val="false"/>
          <w:caps w:val="false"/>
          <w:smallCaps w:val="false"/>
          <w:sz w:val="13"/>
        </w:rPr>
        <w:t>29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7" w:name="DSPFPageBreak28"/>
      <w:bookmarkStart w:id="308" w:name="DSPFPageBreak28"/>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309" w:name="DSPFPageHeader27"/>
        <w:bookmarkEnd w:id="309"/>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Normal"/>
        <w:spacing w:before="0" w:after="0"/>
        <w:rPr>
          <w:sz w:val="4"/>
          <w:szCs w:val="4"/>
        </w:rPr>
      </w:pPr>
      <w:r>
        <w:rPr>
          <w:sz w:val="4"/>
          <w:szCs w:val="4"/>
        </w:rPr>
      </w:r>
      <w:bookmarkStart w:id="310" w:name="za89b2bbb6b6849529f336c4bfdf311cb"/>
      <w:bookmarkStart w:id="311" w:name="za89b2bbb6b6849529f336c4bfdf311cb"/>
      <w:bookmarkEnd w:id="311"/>
    </w:p>
    <w:tbl>
      <w:tblPr>
        <w:tblW w:w="9870" w:type="dxa"/>
        <w:jc w:val="left"/>
        <w:tblInd w:w="0" w:type="dxa"/>
        <w:tblCellMar>
          <w:top w:w="0" w:type="dxa"/>
          <w:left w:w="0" w:type="dxa"/>
          <w:bottom w:w="0" w:type="dxa"/>
          <w:right w:w="0" w:type="dxa"/>
        </w:tblCellMar>
      </w:tblPr>
      <w:tblGrid>
        <w:gridCol w:w="3140"/>
        <w:gridCol w:w="60"/>
        <w:gridCol w:w="60"/>
        <w:gridCol w:w="157"/>
        <w:gridCol w:w="628"/>
        <w:gridCol w:w="60"/>
        <w:gridCol w:w="60"/>
        <w:gridCol w:w="175"/>
        <w:gridCol w:w="700"/>
        <w:gridCol w:w="60"/>
        <w:gridCol w:w="60"/>
        <w:gridCol w:w="197"/>
        <w:gridCol w:w="1128"/>
        <w:gridCol w:w="60"/>
        <w:gridCol w:w="60"/>
        <w:gridCol w:w="179"/>
        <w:gridCol w:w="1026"/>
        <w:gridCol w:w="60"/>
        <w:gridCol w:w="60"/>
        <w:gridCol w:w="140"/>
        <w:gridCol w:w="680"/>
        <w:gridCol w:w="60"/>
        <w:gridCol w:w="60"/>
        <w:gridCol w:w="140"/>
        <w:gridCol w:w="800"/>
        <w:gridCol w:w="60"/>
      </w:tblGrid>
      <w:tr>
        <w:trPr/>
        <w:tc>
          <w:tcPr>
            <w:tcW w:w="3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50" w:type="dxa"/>
            <w:gridSpan w:val="22"/>
            <w:tcBorders>
              <w:bottom w:val="single" w:sz="12" w:space="0" w:color="000000"/>
            </w:tcBorders>
            <w:shd w:fill="auto" w:val="clear"/>
            <w:tcMar>
              <w:bottom w:w="28" w:type="dxa"/>
            </w:tcMar>
            <w:vAlign w:val="bottom"/>
          </w:tcPr>
          <w:p>
            <w:pPr>
              <w:pStyle w:val="TableContents"/>
              <w:spacing w:before="0" w:after="0"/>
              <w:jc w:val="center"/>
              <w:rPr/>
            </w:pPr>
            <w:r>
              <w:rPr/>
              <w:t>Installment(1)</w:t>
            </w:r>
          </w:p>
        </w:tc>
        <w:tc>
          <w:tcPr>
            <w:tcW w:w="60"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gridSpan w:val="2"/>
            <w:tcBorders>
              <w:bottom w:val="single" w:sz="12" w:space="0" w:color="000000"/>
            </w:tcBorders>
            <w:shd w:fill="auto" w:val="clear"/>
            <w:tcMar>
              <w:bottom w:w="28" w:type="dxa"/>
            </w:tcMar>
            <w:vAlign w:val="bottom"/>
          </w:tcPr>
          <w:p>
            <w:pPr>
              <w:pStyle w:val="TableContents"/>
              <w:spacing w:before="0" w:after="0"/>
              <w:jc w:val="center"/>
              <w:rPr/>
            </w:pPr>
            <w:r>
              <w:rPr/>
              <w:t>Home</w:t>
            </w:r>
          </w:p>
          <w:p>
            <w:pPr>
              <w:pStyle w:val="TableContents"/>
              <w:spacing w:before="0" w:after="0"/>
              <w:jc w:val="center"/>
              <w:rPr/>
            </w:pPr>
            <w:r>
              <w:rPr/>
              <w:t>Equity</w:t>
            </w:r>
          </w:p>
          <w:p>
            <w:pPr>
              <w:pStyle w:val="TableContents"/>
              <w:spacing w:before="0" w:after="0"/>
              <w:jc w:val="center"/>
              <w:rPr/>
            </w:pPr>
            <w:r>
              <w:rPr/>
              <w:t>1st Lien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2"/>
            <w:tcBorders>
              <w:bottom w:val="single" w:sz="12" w:space="0" w:color="000000"/>
            </w:tcBorders>
            <w:shd w:fill="auto" w:val="clear"/>
            <w:tcMar>
              <w:bottom w:w="28" w:type="dxa"/>
            </w:tcMar>
            <w:vAlign w:val="bottom"/>
          </w:tcPr>
          <w:p>
            <w:pPr>
              <w:pStyle w:val="TableContents"/>
              <w:spacing w:before="0" w:after="0"/>
              <w:jc w:val="center"/>
              <w:rPr/>
            </w:pPr>
            <w:r>
              <w:rPr/>
              <w:t>Home</w:t>
            </w:r>
          </w:p>
          <w:p>
            <w:pPr>
              <w:pStyle w:val="TableContents"/>
              <w:spacing w:before="0" w:after="0"/>
              <w:jc w:val="center"/>
              <w:rPr/>
            </w:pPr>
            <w:r>
              <w:rPr/>
              <w:t>Equity</w:t>
            </w:r>
          </w:p>
          <w:p>
            <w:pPr>
              <w:pStyle w:val="TableContents"/>
              <w:spacing w:before="0" w:after="0"/>
              <w:jc w:val="center"/>
              <w:rPr/>
            </w:pPr>
            <w:r>
              <w:rPr/>
              <w:t>2nd Lien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bottom"/>
          </w:tcPr>
          <w:p>
            <w:pPr>
              <w:pStyle w:val="TableContents"/>
              <w:spacing w:before="0" w:after="0"/>
              <w:jc w:val="center"/>
              <w:rPr/>
            </w:pPr>
            <w:r>
              <w:rPr/>
              <w:t>Boat Lending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bottom w:val="single" w:sz="12" w:space="0" w:color="000000"/>
            </w:tcBorders>
            <w:shd w:fill="auto" w:val="clear"/>
            <w:tcMar>
              <w:bottom w:w="28" w:type="dxa"/>
            </w:tcMar>
            <w:vAlign w:val="bottom"/>
          </w:tcPr>
          <w:p>
            <w:pPr>
              <w:pStyle w:val="TableContents"/>
              <w:spacing w:before="0" w:after="0"/>
              <w:jc w:val="center"/>
              <w:rPr/>
            </w:pPr>
            <w:r>
              <w:rPr/>
              <w:t>Recreational</w:t>
            </w:r>
          </w:p>
          <w:p>
            <w:pPr>
              <w:pStyle w:val="TableContents"/>
              <w:spacing w:before="0" w:after="0"/>
              <w:jc w:val="center"/>
              <w:rPr/>
            </w:pPr>
            <w:r>
              <w:rPr/>
              <w:t>Vehicle</w:t>
            </w:r>
          </w:p>
          <w:p>
            <w:pPr>
              <w:pStyle w:val="TableContents"/>
              <w:spacing w:before="0" w:after="0"/>
              <w:jc w:val="center"/>
              <w:rPr/>
            </w:pPr>
            <w:r>
              <w:rPr/>
              <w:t>Lending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60"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50" w:type="dxa"/>
            <w:gridSpan w:val="22"/>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0"/>
              <w:rPr/>
            </w:pPr>
            <w:r>
              <w:rPr/>
              <w:t>June 30, 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800 and above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0"/>
              <w:rPr/>
            </w:pPr>
            <w:r>
              <w:rPr/>
              <w:t>$</w:t>
            </w:r>
          </w:p>
        </w:tc>
        <w:tc>
          <w:tcPr>
            <w:tcW w:w="628" w:type="dxa"/>
            <w:tcBorders/>
            <w:shd w:fill="CCEEFF" w:val="clear"/>
            <w:vAlign w:val="bottom"/>
          </w:tcPr>
          <w:p>
            <w:pPr>
              <w:pStyle w:val="TableContents"/>
              <w:spacing w:before="0" w:after="0"/>
              <w:jc w:val="right"/>
              <w:rPr/>
            </w:pPr>
            <w:r>
              <w:rPr/>
              <w:t>449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pPr>
            <w:r>
              <w:rPr/>
              <w:t>$</w:t>
            </w:r>
          </w:p>
        </w:tc>
        <w:tc>
          <w:tcPr>
            <w:tcW w:w="700" w:type="dxa"/>
            <w:tcBorders/>
            <w:shd w:fill="CCEEFF" w:val="clear"/>
            <w:vAlign w:val="bottom"/>
          </w:tcPr>
          <w:p>
            <w:pPr>
              <w:pStyle w:val="TableContents"/>
              <w:spacing w:before="0" w:after="0"/>
              <w:jc w:val="right"/>
              <w:rPr/>
            </w:pPr>
            <w:r>
              <w:rPr/>
              <w:t>231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0"/>
              <w:rPr/>
            </w:pPr>
            <w:r>
              <w:rPr/>
              <w:t>$</w:t>
            </w:r>
          </w:p>
        </w:tc>
        <w:tc>
          <w:tcPr>
            <w:tcW w:w="1128" w:type="dxa"/>
            <w:tcBorders/>
            <w:shd w:fill="CCEEFF" w:val="clear"/>
            <w:vAlign w:val="bottom"/>
          </w:tcPr>
          <w:p>
            <w:pPr>
              <w:pStyle w:val="TableContents"/>
              <w:spacing w:before="0" w:after="0"/>
              <w:jc w:val="right"/>
              <w:rPr/>
            </w:pPr>
            <w:r>
              <w:rPr/>
              <w:t>26,585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0"/>
              <w:rPr/>
            </w:pPr>
            <w:r>
              <w:rPr/>
              <w:t>$</w:t>
            </w:r>
          </w:p>
        </w:tc>
        <w:tc>
          <w:tcPr>
            <w:tcW w:w="1026" w:type="dxa"/>
            <w:tcBorders/>
            <w:shd w:fill="CCEEFF" w:val="clear"/>
            <w:vAlign w:val="bottom"/>
          </w:tcPr>
          <w:p>
            <w:pPr>
              <w:pStyle w:val="TableContents"/>
              <w:spacing w:before="0" w:after="0"/>
              <w:jc w:val="right"/>
              <w:rPr/>
            </w:pPr>
            <w:r>
              <w:rPr/>
              <w:t>22,213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6,683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56,161</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750-799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628" w:type="dxa"/>
            <w:tcBorders/>
            <w:shd w:fill="FFFFFF" w:val="clear"/>
            <w:vAlign w:val="bottom"/>
          </w:tcPr>
          <w:p>
            <w:pPr>
              <w:pStyle w:val="TableContents"/>
              <w:spacing w:before="0" w:after="0"/>
              <w:jc w:val="right"/>
              <w:rPr/>
            </w:pPr>
            <w:r>
              <w:rPr/>
              <w:t>1,219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700" w:type="dxa"/>
            <w:tcBorders/>
            <w:shd w:fill="FFFFFF" w:val="clear"/>
            <w:vAlign w:val="bottom"/>
          </w:tcPr>
          <w:p>
            <w:pPr>
              <w:pStyle w:val="TableContents"/>
              <w:spacing w:before="0" w:after="0"/>
              <w:jc w:val="right"/>
              <w:rPr/>
            </w:pPr>
            <w:r>
              <w:rPr/>
              <w:t>1,517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115,402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0"/>
              <w:jc w:val="right"/>
              <w:rPr/>
            </w:pPr>
            <w:r>
              <w:rPr/>
              <w:t>85,635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34,760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238,533</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700-749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0"/>
              <w:jc w:val="right"/>
              <w:rPr/>
            </w:pPr>
            <w:r>
              <w:rPr/>
              <w:t>1,390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0"/>
              <w:jc w:val="right"/>
              <w:rPr/>
            </w:pPr>
            <w:r>
              <w:rPr/>
              <w:t>1,224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41,608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0"/>
              <w:jc w:val="right"/>
              <w:rPr/>
            </w:pPr>
            <w:r>
              <w:rPr/>
              <w:t>28,261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23,945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96,428</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650-699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628" w:type="dxa"/>
            <w:tcBorders/>
            <w:shd w:fill="FFFFFF" w:val="clear"/>
            <w:vAlign w:val="bottom"/>
          </w:tcPr>
          <w:p>
            <w:pPr>
              <w:pStyle w:val="TableContents"/>
              <w:spacing w:before="0" w:after="0"/>
              <w:jc w:val="right"/>
              <w:rPr/>
            </w:pPr>
            <w:r>
              <w:rPr/>
              <w:t>1,496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700" w:type="dxa"/>
            <w:tcBorders/>
            <w:shd w:fill="FFFFFF" w:val="clear"/>
            <w:vAlign w:val="bottom"/>
          </w:tcPr>
          <w:p>
            <w:pPr>
              <w:pStyle w:val="TableContents"/>
              <w:spacing w:before="0" w:after="0"/>
              <w:jc w:val="right"/>
              <w:rPr/>
            </w:pPr>
            <w:r>
              <w:rPr/>
              <w:t>1,161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10,612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0"/>
              <w:jc w:val="right"/>
              <w:rPr/>
            </w:pPr>
            <w:r>
              <w:rPr/>
              <w:t>5,728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10,426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29,423</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600-649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0"/>
              <w:jc w:val="right"/>
              <w:rPr/>
            </w:pPr>
            <w:r>
              <w:rPr/>
              <w:t>993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0"/>
              <w:jc w:val="right"/>
              <w:rPr/>
            </w:pPr>
            <w:r>
              <w:rPr/>
              <w:t>730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1,879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0"/>
              <w:jc w:val="right"/>
              <w:rPr/>
            </w:pPr>
            <w:r>
              <w:rPr/>
              <w:t>1,767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2,954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8,323</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550-599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628" w:type="dxa"/>
            <w:tcBorders/>
            <w:shd w:fill="FFFFFF" w:val="clear"/>
            <w:vAlign w:val="bottom"/>
          </w:tcPr>
          <w:p>
            <w:pPr>
              <w:pStyle w:val="TableContents"/>
              <w:spacing w:before="0" w:after="0"/>
              <w:jc w:val="right"/>
              <w:rPr/>
            </w:pPr>
            <w:r>
              <w:rPr/>
              <w:t>550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700" w:type="dxa"/>
            <w:tcBorders/>
            <w:shd w:fill="FFFFFF" w:val="clear"/>
            <w:vAlign w:val="bottom"/>
          </w:tcPr>
          <w:p>
            <w:pPr>
              <w:pStyle w:val="TableContents"/>
              <w:spacing w:before="0" w:after="0"/>
              <w:jc w:val="right"/>
              <w:rPr/>
            </w:pPr>
            <w:r>
              <w:rPr/>
              <w:t>573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831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0"/>
              <w:jc w:val="right"/>
              <w:rPr/>
            </w:pPr>
            <w:r>
              <w:rPr/>
              <w:t>653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853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3,460</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500-549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0"/>
              <w:jc w:val="right"/>
              <w:rPr/>
            </w:pPr>
            <w:r>
              <w:rPr/>
              <w:t>313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0"/>
              <w:jc w:val="right"/>
              <w:rPr/>
            </w:pPr>
            <w:r>
              <w:rPr/>
              <w:t>217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486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0"/>
              <w:jc w:val="right"/>
              <w:rPr/>
            </w:pPr>
            <w:r>
              <w:rPr/>
              <w:t>181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859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2,056</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Under 500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628" w:type="dxa"/>
            <w:tcBorders/>
            <w:shd w:fill="FFFFFF" w:val="clear"/>
            <w:vAlign w:val="bottom"/>
          </w:tcPr>
          <w:p>
            <w:pPr>
              <w:pStyle w:val="TableContents"/>
              <w:spacing w:before="0" w:after="0"/>
              <w:jc w:val="right"/>
              <w:rPr/>
            </w:pPr>
            <w:r>
              <w:rPr/>
              <w:t>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700" w:type="dxa"/>
            <w:tcBorders/>
            <w:shd w:fill="FFFFFF" w:val="clear"/>
            <w:vAlign w:val="bottom"/>
          </w:tcPr>
          <w:p>
            <w:pPr>
              <w:pStyle w:val="TableContents"/>
              <w:spacing w:before="0" w:after="0"/>
              <w:jc w:val="right"/>
              <w:rPr/>
            </w:pPr>
            <w:r>
              <w:rPr/>
              <w:t>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229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0"/>
              <w:jc w:val="right"/>
              <w:rPr/>
            </w:pPr>
            <w:r>
              <w:rPr/>
              <w:t>42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187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532</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Unknown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2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00" w:type="dxa"/>
            <w:tcBorders>
              <w:bottom w:val="single" w:sz="12" w:space="0" w:color="000000"/>
            </w:tcBorders>
            <w:shd w:fill="CCEEFF" w:val="clear"/>
            <w:tcMar>
              <w:bottom w:w="28" w:type="dxa"/>
            </w:tcMar>
            <w:vAlign w:val="bottom"/>
          </w:tcPr>
          <w:p>
            <w:pPr>
              <w:pStyle w:val="TableContents"/>
              <w:spacing w:before="0" w:after="0"/>
              <w:jc w:val="right"/>
              <w:rPr/>
            </w:pPr>
            <w:r>
              <w:rPr/>
              <w:t>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28" w:type="dxa"/>
            <w:tcBorders>
              <w:bottom w:val="single" w:sz="12" w:space="0" w:color="000000"/>
            </w:tcBorders>
            <w:shd w:fill="CCEEFF" w:val="clear"/>
            <w:tcMar>
              <w:bottom w:w="28" w:type="dxa"/>
            </w:tcMar>
            <w:vAlign w:val="bottom"/>
          </w:tcPr>
          <w:p>
            <w:pPr>
              <w:pStyle w:val="TableContents"/>
              <w:spacing w:before="0" w:after="0"/>
              <w:jc w:val="right"/>
              <w:rPr/>
            </w:pPr>
            <w:r>
              <w:rPr/>
              <w:t>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2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10,456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10,525</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360" w:right="0" w:hanging="0"/>
              <w:rPr/>
            </w:pPr>
            <w:r>
              <w:rPr/>
              <w:t>Total</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rPr/>
            </w:pPr>
            <w:r>
              <w:rPr/>
              <w:t>$</w:t>
            </w:r>
          </w:p>
        </w:tc>
        <w:tc>
          <w:tcPr>
            <w:tcW w:w="628" w:type="dxa"/>
            <w:tcBorders>
              <w:bottom w:val="double" w:sz="8" w:space="0" w:color="000000"/>
            </w:tcBorders>
            <w:shd w:fill="FFFFFF" w:val="clear"/>
            <w:tcMar>
              <w:bottom w:w="28" w:type="dxa"/>
            </w:tcMar>
            <w:vAlign w:val="bottom"/>
          </w:tcPr>
          <w:p>
            <w:pPr>
              <w:pStyle w:val="TableContents"/>
              <w:spacing w:before="0" w:after="0"/>
              <w:jc w:val="right"/>
              <w:rPr/>
            </w:pPr>
            <w:r>
              <w:rPr/>
              <w:t>6,429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bottom w:val="double" w:sz="8" w:space="0" w:color="000000"/>
            </w:tcBorders>
            <w:shd w:fill="FFFFFF" w:val="clear"/>
            <w:tcMar>
              <w:bottom w:w="28" w:type="dxa"/>
            </w:tcMar>
            <w:vAlign w:val="bottom"/>
          </w:tcPr>
          <w:p>
            <w:pPr>
              <w:pStyle w:val="TableContents"/>
              <w:spacing w:before="0" w:after="0"/>
              <w:rPr/>
            </w:pPr>
            <w:r>
              <w:rPr/>
              <w:t>$</w:t>
            </w:r>
          </w:p>
        </w:tc>
        <w:tc>
          <w:tcPr>
            <w:tcW w:w="700" w:type="dxa"/>
            <w:tcBorders>
              <w:bottom w:val="double" w:sz="8" w:space="0" w:color="000000"/>
            </w:tcBorders>
            <w:shd w:fill="FFFFFF" w:val="clear"/>
            <w:tcMar>
              <w:bottom w:w="28" w:type="dxa"/>
            </w:tcMar>
            <w:vAlign w:val="bottom"/>
          </w:tcPr>
          <w:p>
            <w:pPr>
              <w:pStyle w:val="TableContents"/>
              <w:spacing w:before="0" w:after="0"/>
              <w:jc w:val="right"/>
              <w:rPr/>
            </w:pPr>
            <w:r>
              <w:rPr/>
              <w:t>5,751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bottom w:val="double" w:sz="8" w:space="0" w:color="000000"/>
            </w:tcBorders>
            <w:shd w:fill="FFFFFF" w:val="clear"/>
            <w:tcMar>
              <w:bottom w:w="28" w:type="dxa"/>
            </w:tcMar>
            <w:vAlign w:val="bottom"/>
          </w:tcPr>
          <w:p>
            <w:pPr>
              <w:pStyle w:val="TableContents"/>
              <w:spacing w:before="0" w:after="0"/>
              <w:rPr/>
            </w:pPr>
            <w:r>
              <w:rPr/>
              <w:t>$</w:t>
            </w:r>
          </w:p>
        </w:tc>
        <w:tc>
          <w:tcPr>
            <w:tcW w:w="1128" w:type="dxa"/>
            <w:tcBorders>
              <w:bottom w:val="double" w:sz="8" w:space="0" w:color="000000"/>
            </w:tcBorders>
            <w:shd w:fill="FFFFFF" w:val="clear"/>
            <w:tcMar>
              <w:bottom w:w="28" w:type="dxa"/>
            </w:tcMar>
            <w:vAlign w:val="bottom"/>
          </w:tcPr>
          <w:p>
            <w:pPr>
              <w:pStyle w:val="TableContents"/>
              <w:spacing w:before="0" w:after="0"/>
              <w:jc w:val="right"/>
              <w:rPr/>
            </w:pPr>
            <w:r>
              <w:rPr/>
              <w:t>197,658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bottom w:val="double" w:sz="8" w:space="0" w:color="000000"/>
            </w:tcBorders>
            <w:shd w:fill="FFFFFF" w:val="clear"/>
            <w:tcMar>
              <w:bottom w:w="28" w:type="dxa"/>
            </w:tcMar>
            <w:vAlign w:val="bottom"/>
          </w:tcPr>
          <w:p>
            <w:pPr>
              <w:pStyle w:val="TableContents"/>
              <w:spacing w:before="0" w:after="0"/>
              <w:rPr/>
            </w:pPr>
            <w:r>
              <w:rPr/>
              <w:t>$</w:t>
            </w:r>
          </w:p>
        </w:tc>
        <w:tc>
          <w:tcPr>
            <w:tcW w:w="1026" w:type="dxa"/>
            <w:tcBorders>
              <w:bottom w:val="double" w:sz="8" w:space="0" w:color="000000"/>
            </w:tcBorders>
            <w:shd w:fill="FFFFFF" w:val="clear"/>
            <w:tcMar>
              <w:bottom w:w="28" w:type="dxa"/>
            </w:tcMar>
            <w:vAlign w:val="bottom"/>
          </w:tcPr>
          <w:p>
            <w:pPr>
              <w:pStyle w:val="TableContents"/>
              <w:spacing w:before="0" w:after="0"/>
              <w:jc w:val="right"/>
              <w:rPr/>
            </w:pPr>
            <w:r>
              <w:rPr/>
              <w:t>144,480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91,123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800" w:type="dxa"/>
            <w:tcBorders>
              <w:bottom w:val="double" w:sz="8" w:space="0" w:color="000000"/>
            </w:tcBorders>
            <w:shd w:fill="FFFFFF" w:val="clear"/>
            <w:tcMar>
              <w:bottom w:w="28" w:type="dxa"/>
            </w:tcMar>
            <w:vAlign w:val="bottom"/>
          </w:tcPr>
          <w:p>
            <w:pPr>
              <w:pStyle w:val="TableContents"/>
              <w:spacing w:before="0" w:after="0"/>
              <w:jc w:val="right"/>
              <w:rPr/>
            </w:pPr>
            <w:r>
              <w:rPr/>
              <w:t>445,441</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rPr/>
            </w:pPr>
            <w:r>
              <w:rPr/>
              <w:t>Accrued interest included in total</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double" w:sz="8" w:space="0" w:color="000000"/>
            </w:tcBorders>
            <w:shd w:fill="CCEEFF" w:val="clear"/>
            <w:tcMar>
              <w:bottom w:w="28" w:type="dxa"/>
            </w:tcMar>
            <w:vAlign w:val="bottom"/>
          </w:tcPr>
          <w:p>
            <w:pPr>
              <w:pStyle w:val="TableContents"/>
              <w:spacing w:before="0" w:after="0"/>
              <w:rPr/>
            </w:pPr>
            <w:r>
              <w:rPr/>
              <w:t>$</w:t>
            </w:r>
          </w:p>
        </w:tc>
        <w:tc>
          <w:tcPr>
            <w:tcW w:w="628" w:type="dxa"/>
            <w:tcBorders>
              <w:bottom w:val="double" w:sz="8" w:space="0" w:color="000000"/>
            </w:tcBorders>
            <w:shd w:fill="CCEEFF" w:val="clear"/>
            <w:tcMar>
              <w:bottom w:w="28" w:type="dxa"/>
            </w:tcMar>
            <w:vAlign w:val="bottom"/>
          </w:tcPr>
          <w:p>
            <w:pPr>
              <w:pStyle w:val="TableContents"/>
              <w:spacing w:before="0" w:after="0"/>
              <w:jc w:val="right"/>
              <w:rPr/>
            </w:pPr>
            <w:r>
              <w:rPr/>
              <w:t>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0"/>
              <w:rPr/>
            </w:pPr>
            <w:r>
              <w:rPr/>
              <w:t>$</w:t>
            </w:r>
          </w:p>
        </w:tc>
        <w:tc>
          <w:tcPr>
            <w:tcW w:w="700" w:type="dxa"/>
            <w:tcBorders>
              <w:bottom w:val="double" w:sz="8" w:space="0" w:color="000000"/>
            </w:tcBorders>
            <w:shd w:fill="CCEEFF" w:val="clear"/>
            <w:tcMar>
              <w:bottom w:w="28" w:type="dxa"/>
            </w:tcMar>
            <w:vAlign w:val="bottom"/>
          </w:tcPr>
          <w:p>
            <w:pPr>
              <w:pStyle w:val="TableContents"/>
              <w:spacing w:before="0" w:after="0"/>
              <w:jc w:val="right"/>
              <w:rPr/>
            </w:pPr>
            <w:r>
              <w:rPr/>
              <w:t>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0"/>
              <w:rPr/>
            </w:pPr>
            <w:r>
              <w:rPr/>
              <w:t>$</w:t>
            </w:r>
          </w:p>
        </w:tc>
        <w:tc>
          <w:tcPr>
            <w:tcW w:w="1128" w:type="dxa"/>
            <w:tcBorders>
              <w:bottom w:val="double" w:sz="8" w:space="0" w:color="000000"/>
            </w:tcBorders>
            <w:shd w:fill="CCEEFF" w:val="clear"/>
            <w:tcMar>
              <w:bottom w:w="28" w:type="dxa"/>
            </w:tcMar>
            <w:vAlign w:val="bottom"/>
          </w:tcPr>
          <w:p>
            <w:pPr>
              <w:pStyle w:val="TableContents"/>
              <w:spacing w:before="0" w:after="0"/>
              <w:jc w:val="right"/>
              <w:rPr/>
            </w:pPr>
            <w:r>
              <w:rPr/>
              <w:t>493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bottom w:val="double" w:sz="8" w:space="0" w:color="000000"/>
            </w:tcBorders>
            <w:shd w:fill="CCEEFF" w:val="clear"/>
            <w:tcMar>
              <w:bottom w:w="28" w:type="dxa"/>
            </w:tcMar>
            <w:vAlign w:val="bottom"/>
          </w:tcPr>
          <w:p>
            <w:pPr>
              <w:pStyle w:val="TableContents"/>
              <w:spacing w:before="0" w:after="0"/>
              <w:rPr/>
            </w:pPr>
            <w:r>
              <w:rPr/>
              <w:t>$</w:t>
            </w:r>
          </w:p>
        </w:tc>
        <w:tc>
          <w:tcPr>
            <w:tcW w:w="1026" w:type="dxa"/>
            <w:tcBorders>
              <w:bottom w:val="double" w:sz="8" w:space="0" w:color="000000"/>
            </w:tcBorders>
            <w:shd w:fill="CCEEFF" w:val="clear"/>
            <w:tcMar>
              <w:bottom w:w="28" w:type="dxa"/>
            </w:tcMar>
            <w:vAlign w:val="bottom"/>
          </w:tcPr>
          <w:p>
            <w:pPr>
              <w:pStyle w:val="TableContents"/>
              <w:spacing w:before="0" w:after="0"/>
              <w:jc w:val="right"/>
              <w:rPr/>
            </w:pPr>
            <w:r>
              <w:rPr/>
              <w:t>368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pPr>
            <w:r>
              <w:rPr/>
              <w:t>1,194</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283"/>
              <w:ind w:left="180" w:right="0" w:hanging="180"/>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62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7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rPr/>
            </w:pPr>
            <w:r>
              <w:rPr/>
              <w:t>December 31, 2018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800 and above</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0"/>
              <w:rPr/>
            </w:pPr>
            <w:r>
              <w:rPr/>
              <w:t>$</w:t>
            </w:r>
          </w:p>
        </w:tc>
        <w:tc>
          <w:tcPr>
            <w:tcW w:w="628" w:type="dxa"/>
            <w:tcBorders/>
            <w:shd w:fill="FFFFFF" w:val="clear"/>
            <w:vAlign w:val="bottom"/>
          </w:tcPr>
          <w:p>
            <w:pPr>
              <w:pStyle w:val="TableContents"/>
              <w:spacing w:before="0" w:after="0"/>
              <w:jc w:val="right"/>
              <w:rPr/>
            </w:pPr>
            <w:r>
              <w:rPr/>
              <w:t>555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0"/>
              <w:rPr/>
            </w:pPr>
            <w:r>
              <w:rPr/>
              <w:t>$</w:t>
            </w:r>
          </w:p>
        </w:tc>
        <w:tc>
          <w:tcPr>
            <w:tcW w:w="700" w:type="dxa"/>
            <w:tcBorders/>
            <w:shd w:fill="FFFFFF" w:val="clear"/>
            <w:vAlign w:val="bottom"/>
          </w:tcPr>
          <w:p>
            <w:pPr>
              <w:pStyle w:val="TableContents"/>
              <w:spacing w:before="0" w:after="0"/>
              <w:jc w:val="right"/>
              <w:rPr/>
            </w:pPr>
            <w:r>
              <w:rPr/>
              <w:t>235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0"/>
              <w:rPr/>
            </w:pPr>
            <w:r>
              <w:rPr/>
              <w:t>$</w:t>
            </w:r>
          </w:p>
        </w:tc>
        <w:tc>
          <w:tcPr>
            <w:tcW w:w="1128" w:type="dxa"/>
            <w:tcBorders/>
            <w:shd w:fill="FFFFFF" w:val="clear"/>
            <w:vAlign w:val="bottom"/>
          </w:tcPr>
          <w:p>
            <w:pPr>
              <w:pStyle w:val="TableContents"/>
              <w:spacing w:before="0" w:after="0"/>
              <w:jc w:val="right"/>
              <w:rPr/>
            </w:pPr>
            <w:r>
              <w:rPr/>
              <w:t>20,767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0"/>
              <w:rPr/>
            </w:pPr>
            <w:r>
              <w:rPr/>
              <w:t>$</w:t>
            </w:r>
          </w:p>
        </w:tc>
        <w:tc>
          <w:tcPr>
            <w:tcW w:w="1026" w:type="dxa"/>
            <w:tcBorders/>
            <w:shd w:fill="FFFFFF" w:val="clear"/>
            <w:vAlign w:val="bottom"/>
          </w:tcPr>
          <w:p>
            <w:pPr>
              <w:pStyle w:val="TableContents"/>
              <w:spacing w:before="0" w:after="0"/>
              <w:jc w:val="right"/>
              <w:rPr/>
            </w:pPr>
            <w:r>
              <w:rPr/>
              <w:t>20,197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680" w:type="dxa"/>
            <w:tcBorders/>
            <w:shd w:fill="FFFFFF" w:val="clear"/>
            <w:vAlign w:val="bottom"/>
          </w:tcPr>
          <w:p>
            <w:pPr>
              <w:pStyle w:val="TableContents"/>
              <w:spacing w:before="0" w:after="0"/>
              <w:jc w:val="right"/>
              <w:rPr/>
            </w:pPr>
            <w:r>
              <w:rPr/>
              <w:t>6,272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800" w:type="dxa"/>
            <w:tcBorders/>
            <w:shd w:fill="FFFFFF" w:val="clear"/>
            <w:vAlign w:val="bottom"/>
          </w:tcPr>
          <w:p>
            <w:pPr>
              <w:pStyle w:val="TableContents"/>
              <w:spacing w:before="0" w:after="0"/>
              <w:jc w:val="right"/>
              <w:rPr/>
            </w:pPr>
            <w:r>
              <w:rPr/>
              <w:t>48,026</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750-799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0"/>
              <w:jc w:val="right"/>
              <w:rPr/>
            </w:pPr>
            <w:r>
              <w:rPr/>
              <w:t>1,502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0"/>
              <w:jc w:val="right"/>
              <w:rPr/>
            </w:pPr>
            <w:r>
              <w:rPr/>
              <w:t>1,642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100,191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0"/>
              <w:jc w:val="right"/>
              <w:rPr/>
            </w:pPr>
            <w:r>
              <w:rPr/>
              <w:t>74,154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31,483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208,972</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700-749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628" w:type="dxa"/>
            <w:tcBorders/>
            <w:shd w:fill="FFFFFF" w:val="clear"/>
            <w:vAlign w:val="bottom"/>
          </w:tcPr>
          <w:p>
            <w:pPr>
              <w:pStyle w:val="TableContents"/>
              <w:spacing w:before="0" w:after="0"/>
              <w:jc w:val="right"/>
              <w:rPr/>
            </w:pPr>
            <w:r>
              <w:rPr/>
              <w:t>1,582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700" w:type="dxa"/>
            <w:tcBorders/>
            <w:shd w:fill="FFFFFF" w:val="clear"/>
            <w:vAlign w:val="bottom"/>
          </w:tcPr>
          <w:p>
            <w:pPr>
              <w:pStyle w:val="TableContents"/>
              <w:spacing w:before="0" w:after="0"/>
              <w:jc w:val="right"/>
              <w:rPr/>
            </w:pPr>
            <w:r>
              <w:rPr/>
              <w:t>1,682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35,455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0"/>
              <w:jc w:val="right"/>
              <w:rPr/>
            </w:pPr>
            <w:r>
              <w:rPr/>
              <w:t>24,890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24,369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87,978</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650-699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0"/>
              <w:jc w:val="right"/>
              <w:rPr/>
            </w:pPr>
            <w:r>
              <w:rPr/>
              <w:t>1,606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0"/>
              <w:jc w:val="right"/>
              <w:rPr/>
            </w:pPr>
            <w:r>
              <w:rPr/>
              <w:t>1,217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10,581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0"/>
              <w:jc w:val="right"/>
              <w:rPr/>
            </w:pPr>
            <w:r>
              <w:rPr/>
              <w:t>4,918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9,840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28,162</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600-649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628" w:type="dxa"/>
            <w:tcBorders/>
            <w:shd w:fill="FFFFFF" w:val="clear"/>
            <w:vAlign w:val="bottom"/>
          </w:tcPr>
          <w:p>
            <w:pPr>
              <w:pStyle w:val="TableContents"/>
              <w:spacing w:before="0" w:after="0"/>
              <w:jc w:val="right"/>
              <w:rPr/>
            </w:pPr>
            <w:r>
              <w:rPr/>
              <w:t>996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700" w:type="dxa"/>
            <w:tcBorders/>
            <w:shd w:fill="FFFFFF" w:val="clear"/>
            <w:vAlign w:val="bottom"/>
          </w:tcPr>
          <w:p>
            <w:pPr>
              <w:pStyle w:val="TableContents"/>
              <w:spacing w:before="0" w:after="0"/>
              <w:jc w:val="right"/>
              <w:rPr/>
            </w:pPr>
            <w:r>
              <w:rPr/>
              <w:t>1,272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1,657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0"/>
              <w:jc w:val="right"/>
              <w:rPr/>
            </w:pPr>
            <w:r>
              <w:rPr/>
              <w:t>992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2,751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7,668</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550-599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0"/>
              <w:jc w:val="right"/>
              <w:rPr/>
            </w:pPr>
            <w:r>
              <w:rPr/>
              <w:t>759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0"/>
              <w:jc w:val="right"/>
              <w:rPr/>
            </w:pPr>
            <w:r>
              <w:rPr/>
              <w:t>658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652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0"/>
              <w:jc w:val="right"/>
              <w:rPr/>
            </w:pPr>
            <w:r>
              <w:rPr/>
              <w:t>453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838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3,360</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500-549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c>
          <w:tcPr>
            <w:tcW w:w="628" w:type="dxa"/>
            <w:tcBorders/>
            <w:shd w:fill="FFFFFF" w:val="clear"/>
            <w:vAlign w:val="bottom"/>
          </w:tcPr>
          <w:p>
            <w:pPr>
              <w:pStyle w:val="TableContents"/>
              <w:spacing w:before="0" w:after="0"/>
              <w:jc w:val="right"/>
              <w:rPr/>
            </w:pPr>
            <w:r>
              <w:rPr/>
              <w:t>384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700" w:type="dxa"/>
            <w:tcBorders/>
            <w:shd w:fill="FFFFFF" w:val="clear"/>
            <w:vAlign w:val="bottom"/>
          </w:tcPr>
          <w:p>
            <w:pPr>
              <w:pStyle w:val="TableContents"/>
              <w:spacing w:before="0" w:after="0"/>
              <w:jc w:val="right"/>
              <w:rPr/>
            </w:pPr>
            <w:r>
              <w:rPr/>
              <w:t>229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shd w:fill="FFFFFF" w:val="clear"/>
            <w:vAlign w:val="bottom"/>
          </w:tcPr>
          <w:p>
            <w:pPr>
              <w:pStyle w:val="TableContents"/>
              <w:spacing w:before="0" w:after="283"/>
              <w:rPr/>
            </w:pPr>
            <w:r>
              <w:rPr/>
              <w:t> </w:t>
            </w:r>
          </w:p>
        </w:tc>
        <w:tc>
          <w:tcPr>
            <w:tcW w:w="1128" w:type="dxa"/>
            <w:tcBorders/>
            <w:shd w:fill="FFFFFF" w:val="clear"/>
            <w:vAlign w:val="bottom"/>
          </w:tcPr>
          <w:p>
            <w:pPr>
              <w:pStyle w:val="TableContents"/>
              <w:spacing w:before="0" w:after="0"/>
              <w:jc w:val="right"/>
              <w:rPr/>
            </w:pPr>
            <w:r>
              <w:rPr/>
              <w:t>286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0"/>
              <w:jc w:val="right"/>
              <w:rPr/>
            </w:pPr>
            <w:r>
              <w:rPr/>
              <w:t>225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651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1,775</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180" w:right="0" w:hanging="0"/>
              <w:rPr/>
            </w:pPr>
            <w:r>
              <w:rPr/>
              <w:t>Under 500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0"/>
              <w:jc w:val="right"/>
              <w:rPr/>
            </w:pPr>
            <w:r>
              <w:rPr/>
              <w:t>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0"/>
              <w:jc w:val="right"/>
              <w:rPr/>
            </w:pPr>
            <w:r>
              <w:rPr/>
              <w:t>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0"/>
              <w:jc w:val="right"/>
              <w:rPr/>
            </w:pPr>
            <w:r>
              <w:rPr/>
              <w:t>266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0"/>
              <w:jc w:val="right"/>
              <w:rPr/>
            </w:pPr>
            <w:r>
              <w:rPr/>
              <w:t>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548</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ind w:left="180" w:right="0" w:hanging="0"/>
              <w:rPr/>
            </w:pPr>
            <w:r>
              <w:rPr/>
              <w:t>Unknown</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28" w:type="dxa"/>
            <w:tcBorders>
              <w:bottom w:val="single" w:sz="12" w:space="0" w:color="000000"/>
            </w:tcBorders>
            <w:shd w:fill="FFFFFF" w:val="clear"/>
            <w:tcMar>
              <w:bottom w:w="28" w:type="dxa"/>
            </w:tcMar>
            <w:vAlign w:val="bottom"/>
          </w:tcPr>
          <w:p>
            <w:pPr>
              <w:pStyle w:val="TableContents"/>
              <w:spacing w:before="0" w:after="0"/>
              <w:jc w:val="right"/>
              <w:rPr/>
            </w:pPr>
            <w:r>
              <w:rPr/>
              <w:t>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00" w:type="dxa"/>
            <w:tcBorders>
              <w:bottom w:val="single" w:sz="12" w:space="0" w:color="000000"/>
            </w:tcBorders>
            <w:shd w:fill="FFFFFF" w:val="clear"/>
            <w:tcMar>
              <w:bottom w:w="28" w:type="dxa"/>
            </w:tcMar>
            <w:vAlign w:val="bottom"/>
          </w:tcPr>
          <w:p>
            <w:pPr>
              <w:pStyle w:val="TableContents"/>
              <w:spacing w:before="0" w:after="0"/>
              <w:jc w:val="right"/>
              <w:rPr/>
            </w:pPr>
            <w:r>
              <w:rPr/>
              <w:t>103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28" w:type="dxa"/>
            <w:tcBorders>
              <w:bottom w:val="single" w:sz="12" w:space="0" w:color="000000"/>
            </w:tcBorders>
            <w:shd w:fill="FFFFFF" w:val="clear"/>
            <w:tcMar>
              <w:bottom w:w="28" w:type="dxa"/>
            </w:tcMar>
            <w:vAlign w:val="bottom"/>
          </w:tcPr>
          <w:p>
            <w:pPr>
              <w:pStyle w:val="TableContents"/>
              <w:spacing w:before="0" w:after="0"/>
              <w:jc w:val="right"/>
              <w:rPr/>
            </w:pPr>
            <w:r>
              <w:rPr/>
              <w:t>39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26"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9,546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00" w:type="dxa"/>
            <w:tcBorders>
              <w:bottom w:val="single" w:sz="12" w:space="0" w:color="000000"/>
            </w:tcBorders>
            <w:shd w:fill="FFFFFF" w:val="clear"/>
            <w:tcMar>
              <w:bottom w:w="28" w:type="dxa"/>
            </w:tcMar>
            <w:vAlign w:val="bottom"/>
          </w:tcPr>
          <w:p>
            <w:pPr>
              <w:pStyle w:val="TableContents"/>
              <w:spacing w:before="0" w:after="0"/>
              <w:jc w:val="right"/>
              <w:rPr/>
            </w:pPr>
            <w:r>
              <w:rPr/>
              <w:t>9,690</w:t>
            </w:r>
          </w:p>
        </w:tc>
        <w:tc>
          <w:tcPr>
            <w:tcW w:w="60" w:type="dxa"/>
            <w:tcBorders/>
            <w:shd w:fill="FFFFFF" w:val="clear"/>
            <w:vAlign w:val="bottom"/>
          </w:tcPr>
          <w:p>
            <w:pPr>
              <w:pStyle w:val="TableContents"/>
              <w:spacing w:before="0" w:after="283"/>
              <w:rPr/>
            </w:pPr>
            <w:r>
              <w:rPr/>
              <w:t> </w:t>
            </w:r>
          </w:p>
        </w:tc>
      </w:tr>
      <w:tr>
        <w:trPr/>
        <w:tc>
          <w:tcPr>
            <w:tcW w:w="3140" w:type="dxa"/>
            <w:tcBorders/>
            <w:shd w:fill="CCEEFF" w:val="clear"/>
            <w:vAlign w:val="bottom"/>
          </w:tcPr>
          <w:p>
            <w:pPr>
              <w:pStyle w:val="TableContents"/>
              <w:spacing w:before="0" w:after="0"/>
              <w:ind w:left="360" w:right="0" w:hanging="0"/>
              <w:rPr/>
            </w:pPr>
            <w:r>
              <w:rPr/>
              <w:t>Total</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7" w:type="dxa"/>
            <w:tcBorders>
              <w:bottom w:val="double" w:sz="8" w:space="0" w:color="000000"/>
            </w:tcBorders>
            <w:shd w:fill="CCEEFF" w:val="clear"/>
            <w:tcMar>
              <w:bottom w:w="28" w:type="dxa"/>
            </w:tcMar>
            <w:vAlign w:val="bottom"/>
          </w:tcPr>
          <w:p>
            <w:pPr>
              <w:pStyle w:val="TableContents"/>
              <w:spacing w:before="0" w:after="0"/>
              <w:rPr/>
            </w:pPr>
            <w:r>
              <w:rPr/>
              <w:t>$</w:t>
            </w:r>
          </w:p>
        </w:tc>
        <w:tc>
          <w:tcPr>
            <w:tcW w:w="628" w:type="dxa"/>
            <w:tcBorders>
              <w:bottom w:val="double" w:sz="8" w:space="0" w:color="000000"/>
            </w:tcBorders>
            <w:shd w:fill="CCEEFF" w:val="clear"/>
            <w:tcMar>
              <w:bottom w:w="28" w:type="dxa"/>
            </w:tcMar>
            <w:vAlign w:val="bottom"/>
          </w:tcPr>
          <w:p>
            <w:pPr>
              <w:pStyle w:val="TableContents"/>
              <w:spacing w:before="0" w:after="0"/>
              <w:jc w:val="right"/>
              <w:rPr/>
            </w:pPr>
            <w:r>
              <w:rPr/>
              <w:t>7,437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0"/>
              <w:rPr/>
            </w:pPr>
            <w:r>
              <w:rPr/>
              <w:t>$</w:t>
            </w:r>
          </w:p>
        </w:tc>
        <w:tc>
          <w:tcPr>
            <w:tcW w:w="700" w:type="dxa"/>
            <w:tcBorders>
              <w:bottom w:val="double" w:sz="8" w:space="0" w:color="000000"/>
            </w:tcBorders>
            <w:shd w:fill="CCEEFF" w:val="clear"/>
            <w:tcMar>
              <w:bottom w:w="28" w:type="dxa"/>
            </w:tcMar>
            <w:vAlign w:val="bottom"/>
          </w:tcPr>
          <w:p>
            <w:pPr>
              <w:pStyle w:val="TableContents"/>
              <w:spacing w:before="0" w:after="0"/>
              <w:jc w:val="right"/>
              <w:rPr/>
            </w:pPr>
            <w:r>
              <w:rPr/>
              <w:t>7,044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7" w:type="dxa"/>
            <w:tcBorders>
              <w:bottom w:val="double" w:sz="8" w:space="0" w:color="000000"/>
            </w:tcBorders>
            <w:shd w:fill="CCEEFF" w:val="clear"/>
            <w:tcMar>
              <w:bottom w:w="28" w:type="dxa"/>
            </w:tcMar>
            <w:vAlign w:val="bottom"/>
          </w:tcPr>
          <w:p>
            <w:pPr>
              <w:pStyle w:val="TableContents"/>
              <w:spacing w:before="0" w:after="0"/>
              <w:rPr/>
            </w:pPr>
            <w:r>
              <w:rPr/>
              <w:t>$</w:t>
            </w:r>
          </w:p>
        </w:tc>
        <w:tc>
          <w:tcPr>
            <w:tcW w:w="1128" w:type="dxa"/>
            <w:tcBorders>
              <w:bottom w:val="double" w:sz="8" w:space="0" w:color="000000"/>
            </w:tcBorders>
            <w:shd w:fill="CCEEFF" w:val="clear"/>
            <w:tcMar>
              <w:bottom w:w="28" w:type="dxa"/>
            </w:tcMar>
            <w:vAlign w:val="bottom"/>
          </w:tcPr>
          <w:p>
            <w:pPr>
              <w:pStyle w:val="TableContents"/>
              <w:spacing w:before="0" w:after="0"/>
              <w:jc w:val="right"/>
              <w:rPr/>
            </w:pPr>
            <w:r>
              <w:rPr/>
              <w:t>169,894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 w:type="dxa"/>
            <w:tcBorders>
              <w:bottom w:val="double" w:sz="8" w:space="0" w:color="000000"/>
            </w:tcBorders>
            <w:shd w:fill="CCEEFF" w:val="clear"/>
            <w:tcMar>
              <w:bottom w:w="28" w:type="dxa"/>
            </w:tcMar>
            <w:vAlign w:val="bottom"/>
          </w:tcPr>
          <w:p>
            <w:pPr>
              <w:pStyle w:val="TableContents"/>
              <w:spacing w:before="0" w:after="0"/>
              <w:rPr/>
            </w:pPr>
            <w:r>
              <w:rPr/>
              <w:t>$</w:t>
            </w:r>
          </w:p>
        </w:tc>
        <w:tc>
          <w:tcPr>
            <w:tcW w:w="1026" w:type="dxa"/>
            <w:tcBorders>
              <w:bottom w:val="double" w:sz="8" w:space="0" w:color="000000"/>
            </w:tcBorders>
            <w:shd w:fill="CCEEFF" w:val="clear"/>
            <w:tcMar>
              <w:bottom w:w="28" w:type="dxa"/>
            </w:tcMar>
            <w:vAlign w:val="bottom"/>
          </w:tcPr>
          <w:p>
            <w:pPr>
              <w:pStyle w:val="TableContents"/>
              <w:spacing w:before="0" w:after="0"/>
              <w:jc w:val="right"/>
              <w:rPr/>
            </w:pPr>
            <w:r>
              <w:rPr/>
              <w:t>125,836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85,968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pPr>
            <w:r>
              <w:rPr/>
              <w:t>396,179</w:t>
            </w:r>
          </w:p>
        </w:tc>
        <w:tc>
          <w:tcPr>
            <w:tcW w:w="60" w:type="dxa"/>
            <w:tcBorders/>
            <w:shd w:fill="CCEEFF" w:val="clear"/>
            <w:vAlign w:val="bottom"/>
          </w:tcPr>
          <w:p>
            <w:pPr>
              <w:pStyle w:val="TableContents"/>
              <w:spacing w:before="0" w:after="283"/>
              <w:rPr/>
            </w:pPr>
            <w:r>
              <w:rPr/>
              <w:t> </w:t>
            </w:r>
          </w:p>
        </w:tc>
      </w:tr>
      <w:tr>
        <w:trPr/>
        <w:tc>
          <w:tcPr>
            <w:tcW w:w="3140" w:type="dxa"/>
            <w:tcBorders/>
            <w:shd w:fill="FFFFFF" w:val="clear"/>
            <w:vAlign w:val="bottom"/>
          </w:tcPr>
          <w:p>
            <w:pPr>
              <w:pStyle w:val="TableContents"/>
              <w:spacing w:before="0" w:after="0"/>
              <w:rPr/>
            </w:pPr>
            <w:r>
              <w:rPr/>
              <w:t>Accrued interest included in total</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7" w:type="dxa"/>
            <w:tcBorders>
              <w:bottom w:val="double" w:sz="8" w:space="0" w:color="000000"/>
            </w:tcBorders>
            <w:shd w:fill="FFFFFF" w:val="clear"/>
            <w:tcMar>
              <w:bottom w:w="28" w:type="dxa"/>
            </w:tcMar>
            <w:vAlign w:val="bottom"/>
          </w:tcPr>
          <w:p>
            <w:pPr>
              <w:pStyle w:val="TableContents"/>
              <w:spacing w:before="0" w:after="0"/>
              <w:rPr/>
            </w:pPr>
            <w:r>
              <w:rPr/>
              <w:t>$</w:t>
            </w:r>
          </w:p>
        </w:tc>
        <w:tc>
          <w:tcPr>
            <w:tcW w:w="628" w:type="dxa"/>
            <w:tcBorders>
              <w:bottom w:val="double" w:sz="8" w:space="0" w:color="000000"/>
            </w:tcBorders>
            <w:shd w:fill="FFFFFF" w:val="clear"/>
            <w:tcMar>
              <w:bottom w:w="28" w:type="dxa"/>
            </w:tcMar>
            <w:vAlign w:val="bottom"/>
          </w:tcPr>
          <w:p>
            <w:pPr>
              <w:pStyle w:val="TableContents"/>
              <w:spacing w:before="0" w:after="0"/>
              <w:jc w:val="right"/>
              <w:rPr/>
            </w:pPr>
            <w:r>
              <w:rPr/>
              <w:t>28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5" w:type="dxa"/>
            <w:tcBorders>
              <w:bottom w:val="double" w:sz="8" w:space="0" w:color="000000"/>
            </w:tcBorders>
            <w:shd w:fill="FFFFFF" w:val="clear"/>
            <w:tcMar>
              <w:bottom w:w="28" w:type="dxa"/>
            </w:tcMar>
            <w:vAlign w:val="bottom"/>
          </w:tcPr>
          <w:p>
            <w:pPr>
              <w:pStyle w:val="TableContents"/>
              <w:spacing w:before="0" w:after="0"/>
              <w:rPr/>
            </w:pPr>
            <w:r>
              <w:rPr/>
              <w:t>$</w:t>
            </w:r>
          </w:p>
        </w:tc>
        <w:tc>
          <w:tcPr>
            <w:tcW w:w="700" w:type="dxa"/>
            <w:tcBorders>
              <w:bottom w:val="double" w:sz="8" w:space="0" w:color="000000"/>
            </w:tcBorders>
            <w:shd w:fill="FFFFFF" w:val="clear"/>
            <w:tcMar>
              <w:bottom w:w="28" w:type="dxa"/>
            </w:tcMar>
            <w:vAlign w:val="bottom"/>
          </w:tcPr>
          <w:p>
            <w:pPr>
              <w:pStyle w:val="TableContents"/>
              <w:spacing w:before="0" w:after="0"/>
              <w:jc w:val="right"/>
              <w:rPr/>
            </w:pPr>
            <w:r>
              <w:rPr/>
              <w:t>25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7" w:type="dxa"/>
            <w:tcBorders>
              <w:bottom w:val="double" w:sz="8" w:space="0" w:color="000000"/>
            </w:tcBorders>
            <w:shd w:fill="FFFFFF" w:val="clear"/>
            <w:tcMar>
              <w:bottom w:w="28" w:type="dxa"/>
            </w:tcMar>
            <w:vAlign w:val="bottom"/>
          </w:tcPr>
          <w:p>
            <w:pPr>
              <w:pStyle w:val="TableContents"/>
              <w:spacing w:before="0" w:after="0"/>
              <w:rPr/>
            </w:pPr>
            <w:r>
              <w:rPr/>
              <w:t>$</w:t>
            </w:r>
          </w:p>
        </w:tc>
        <w:tc>
          <w:tcPr>
            <w:tcW w:w="1128" w:type="dxa"/>
            <w:tcBorders>
              <w:bottom w:val="double" w:sz="8" w:space="0" w:color="000000"/>
            </w:tcBorders>
            <w:shd w:fill="FFFFFF" w:val="clear"/>
            <w:tcMar>
              <w:bottom w:w="28" w:type="dxa"/>
            </w:tcMar>
            <w:vAlign w:val="bottom"/>
          </w:tcPr>
          <w:p>
            <w:pPr>
              <w:pStyle w:val="TableContents"/>
              <w:spacing w:before="0" w:after="0"/>
              <w:jc w:val="right"/>
              <w:rPr/>
            </w:pPr>
            <w:r>
              <w:rPr/>
              <w:t>403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9" w:type="dxa"/>
            <w:tcBorders>
              <w:bottom w:val="double" w:sz="8" w:space="0" w:color="000000"/>
            </w:tcBorders>
            <w:shd w:fill="FFFFFF" w:val="clear"/>
            <w:tcMar>
              <w:bottom w:w="28" w:type="dxa"/>
            </w:tcMar>
            <w:vAlign w:val="bottom"/>
          </w:tcPr>
          <w:p>
            <w:pPr>
              <w:pStyle w:val="TableContents"/>
              <w:spacing w:before="0" w:after="0"/>
              <w:rPr/>
            </w:pPr>
            <w:r>
              <w:rPr/>
              <w:t>$</w:t>
            </w:r>
          </w:p>
        </w:tc>
        <w:tc>
          <w:tcPr>
            <w:tcW w:w="1026" w:type="dxa"/>
            <w:tcBorders>
              <w:bottom w:val="double" w:sz="8" w:space="0" w:color="000000"/>
            </w:tcBorders>
            <w:shd w:fill="FFFFFF" w:val="clear"/>
            <w:tcMar>
              <w:bottom w:w="28" w:type="dxa"/>
            </w:tcMar>
            <w:vAlign w:val="bottom"/>
          </w:tcPr>
          <w:p>
            <w:pPr>
              <w:pStyle w:val="TableContents"/>
              <w:spacing w:before="0" w:after="0"/>
              <w:jc w:val="right"/>
              <w:rPr/>
            </w:pPr>
            <w:r>
              <w:rPr/>
              <w:t>311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263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800" w:type="dxa"/>
            <w:tcBorders>
              <w:bottom w:val="double" w:sz="8" w:space="0" w:color="000000"/>
            </w:tcBorders>
            <w:shd w:fill="FFFFFF" w:val="clear"/>
            <w:tcMar>
              <w:bottom w:w="28" w:type="dxa"/>
            </w:tcMar>
            <w:vAlign w:val="bottom"/>
          </w:tcPr>
          <w:p>
            <w:pPr>
              <w:pStyle w:val="TableContents"/>
              <w:spacing w:before="0" w:after="0"/>
              <w:jc w:val="right"/>
              <w:rPr/>
            </w:pPr>
            <w:r>
              <w:rPr/>
              <w:t>1,030</w:t>
            </w:r>
          </w:p>
        </w:tc>
        <w:tc>
          <w:tcPr>
            <w:tcW w:w="60" w:type="dxa"/>
            <w:tcBorders/>
            <w:shd w:fill="FFFF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312" w:name="zd81838e419214c5bb3f8daea95a7ab18"/>
      <w:bookmarkStart w:id="313" w:name="zd81838e419214c5bb3f8daea95a7ab18"/>
      <w:bookmarkEnd w:id="313"/>
    </w:p>
    <w:tbl>
      <w:tblPr>
        <w:tblW w:w="6280" w:type="dxa"/>
        <w:jc w:val="left"/>
        <w:tblInd w:w="0" w:type="dxa"/>
        <w:tblCellMar>
          <w:top w:w="0" w:type="dxa"/>
          <w:left w:w="0" w:type="dxa"/>
          <w:bottom w:w="0" w:type="dxa"/>
          <w:right w:w="0" w:type="dxa"/>
        </w:tblCellMar>
      </w:tblPr>
      <w:tblGrid>
        <w:gridCol w:w="305"/>
        <w:gridCol w:w="5975"/>
      </w:tblGrid>
      <w:tr>
        <w:trPr/>
        <w:tc>
          <w:tcPr>
            <w:tcW w:w="305" w:type="dxa"/>
            <w:tcBorders/>
            <w:shd w:fill="auto" w:val="clear"/>
            <w:vAlign w:val="center"/>
          </w:tcPr>
          <w:p>
            <w:pPr>
              <w:pStyle w:val="TableContents"/>
              <w:spacing w:before="0" w:after="283"/>
              <w:rPr/>
            </w:pPr>
            <w:r>
              <w:rPr/>
              <w:t>(1)</w:t>
            </w:r>
          </w:p>
        </w:tc>
        <w:tc>
          <w:tcPr>
            <w:tcW w:w="5975" w:type="dxa"/>
            <w:tcBorders/>
            <w:shd w:fill="auto" w:val="clear"/>
            <w:vAlign w:val="center"/>
          </w:tcPr>
          <w:p>
            <w:pPr>
              <w:pStyle w:val="TableContents"/>
              <w:spacing w:before="0" w:after="0"/>
              <w:rPr/>
            </w:pPr>
            <w:r>
              <w:rPr/>
              <w:t>Credit scores have been updated within the last twelve months.</w:t>
            </w:r>
          </w:p>
        </w:tc>
      </w:tr>
    </w:tbl>
    <w:p>
      <w:pPr>
        <w:pStyle w:val="TextBody"/>
        <w:spacing w:before="0" w:after="0"/>
        <w:rPr/>
      </w:pPr>
      <w:r>
        <w:rPr/>
      </w:r>
    </w:p>
    <w:p>
      <w:pPr>
        <w:pStyle w:val="TextBody"/>
        <w:spacing w:before="0" w:after="0"/>
        <w:jc w:val="both"/>
        <w:rPr/>
      </w:pPr>
      <w:r>
        <w:rPr/>
        <w:t>Foreclosed residential real estate properties included in other real estate and repossessed assets on our Condensed Consolidated Statements of Financial Condition totaled $1.2 million at both June 30, 2019 and December 31, 2018, respectively.  Retail mortgage loans secured by residential real estate properties for which formal foreclosure proceedings are in process according to local requirements totaled $0.6 million and $0.3 million at June 30, 2019 and December 31, 2018, respectively.</w:t>
      </w:r>
    </w:p>
    <w:p>
      <w:pPr>
        <w:pStyle w:val="TextBody"/>
        <w:spacing w:before="0" w:after="0"/>
        <w:rPr/>
      </w:pPr>
      <w:r>
        <w:rPr/>
      </w:r>
    </w:p>
    <w:p>
      <w:pPr>
        <w:pStyle w:val="TextBody"/>
        <w:spacing w:before="0" w:after="0"/>
        <w:jc w:val="both"/>
        <w:rPr/>
      </w:pPr>
      <w:r>
        <w:rPr/>
        <w:t>During the first quarter of 2019, we sold $40.6 million, of residential adjustable rate mortgage loans servicing released (classified on the Condensed Consolidated Statements of Financial Condition as held for sale, carried at the lower of cost or fair value at December 31, 2018) to another financial institution and recognized a gain on sale of $0.01 million.  During the first quarter of 2019 we also securitized $29.8 million, of portfolio residential fixed rate mortgage loans servicing retained with Freddie Mac and recognized a gain on sale of $0.53 million.  These transactions were done primarily for asset/liability management purposes.</w:t>
      </w:r>
    </w:p>
    <w:p>
      <w:pPr>
        <w:pStyle w:val="TextBody"/>
        <w:spacing w:before="0" w:after="0"/>
        <w:rPr/>
      </w:pPr>
      <w:r>
        <w:rPr/>
      </w:r>
    </w:p>
    <w:p>
      <w:pPr>
        <w:pStyle w:val="TextBody"/>
        <w:spacing w:before="0" w:after="0"/>
        <w:jc w:val="both"/>
        <w:rPr/>
      </w:pPr>
      <w:r>
        <w:rPr/>
        <w:t>During the first quarter of 2018, we sold $16.5 million, of residential fixed and adjustable rate portfolio mortgage loans servicing retained to another financial institution and recognized a gain on sale of $0.05 million.  These mortgage loans were sold primarily for asset/liability management purposes.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4" w:name="DSPFPageBreakArea29"/>
      <w:bookmarkStart w:id="315" w:name="DSPFPageBreakArea29"/>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316" w:name="DSPFPageNumber29"/>
      <w:bookmarkStart w:id="317" w:name="DSPFPageNumberArea28"/>
      <w:bookmarkEnd w:id="316"/>
      <w:bookmarkEnd w:id="317"/>
      <w:r>
        <w:rPr>
          <w:b w:val="false"/>
          <w:i w:val="false"/>
          <w:caps w:val="false"/>
          <w:smallCaps w:val="false"/>
          <w:sz w:val="13"/>
        </w:rPr>
        <w:t>30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8" w:name="DSPFPageBreak29"/>
      <w:bookmarkStart w:id="319" w:name="DSPFPageBreak29"/>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320" w:name="DSPFPageHeader28"/>
        <w:bookmarkEnd w:id="320"/>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b/>
          <w:u w:val="single"/>
        </w:rPr>
      </w:pPr>
      <w:r>
        <w:rPr>
          <w:b/>
          <w:u w:val="single"/>
        </w:rPr>
        <w:t>Purchase Credit Impaired (“PCI”) Loans</w:t>
      </w:r>
    </w:p>
    <w:p>
      <w:pPr>
        <w:pStyle w:val="TextBody"/>
        <w:spacing w:before="0" w:after="0"/>
        <w:rPr/>
      </w:pPr>
      <w:r>
        <w:rPr/>
      </w:r>
    </w:p>
    <w:p>
      <w:pPr>
        <w:pStyle w:val="TextBody"/>
        <w:spacing w:before="0" w:after="0"/>
        <w:jc w:val="both"/>
        <w:rPr/>
      </w:pPr>
      <w:r>
        <w:rPr/>
        <w:t>Loans acquired in a business combination are recorded at estimated fair value on their purchase date with no carryover of the related allowance for loan losses. In determining the estimated fair value of purchased loans, we consider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 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pStyle w:val="TextBody"/>
        <w:spacing w:before="0" w:after="0"/>
        <w:rPr/>
      </w:pPr>
      <w:r>
        <w:rPr/>
      </w:r>
    </w:p>
    <w:p>
      <w:pPr>
        <w:pStyle w:val="TextBody"/>
        <w:spacing w:before="0" w:after="0"/>
        <w:jc w:val="both"/>
        <w:rPr/>
      </w:pPr>
      <w:r>
        <w:rPr/>
        <w:t>As a result of our acquisition of TCSB Bancorp, Inc. (“TCSB”) (see note #17)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pStyle w:val="TextBody"/>
        <w:spacing w:before="0" w:after="0"/>
        <w:rPr/>
      </w:pPr>
      <w:r>
        <w:rPr/>
      </w:r>
    </w:p>
    <w:p>
      <w:pPr>
        <w:pStyle w:val="Normal"/>
        <w:spacing w:before="0" w:after="0"/>
        <w:rPr>
          <w:sz w:val="4"/>
          <w:szCs w:val="4"/>
        </w:rPr>
      </w:pPr>
      <w:r>
        <w:rPr>
          <w:sz w:val="4"/>
          <w:szCs w:val="4"/>
        </w:rPr>
      </w:r>
      <w:bookmarkStart w:id="321" w:name="z7ee97002c59e4d64a15af827d493d849"/>
      <w:bookmarkStart w:id="322" w:name="z7ee97002c59e4d64a15af827d493d849"/>
      <w:bookmarkEnd w:id="322"/>
    </w:p>
    <w:tbl>
      <w:tblPr>
        <w:tblW w:w="7155" w:type="dxa"/>
        <w:jc w:val="left"/>
        <w:tblInd w:w="0" w:type="dxa"/>
        <w:tblCellMar>
          <w:top w:w="0" w:type="dxa"/>
          <w:left w:w="0" w:type="dxa"/>
          <w:bottom w:w="0" w:type="dxa"/>
          <w:right w:w="0" w:type="dxa"/>
        </w:tblCellMar>
      </w:tblPr>
      <w:tblGrid>
        <w:gridCol w:w="4730"/>
        <w:gridCol w:w="60"/>
        <w:gridCol w:w="163"/>
        <w:gridCol w:w="652"/>
        <w:gridCol w:w="60"/>
        <w:gridCol w:w="60"/>
        <w:gridCol w:w="271"/>
        <w:gridCol w:w="1084"/>
        <w:gridCol w:w="75"/>
      </w:tblGrid>
      <w:tr>
        <w:trPr/>
        <w:tc>
          <w:tcPr>
            <w:tcW w:w="47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bottom"/>
          </w:tcPr>
          <w:p>
            <w:pPr>
              <w:pStyle w:val="TableContents"/>
              <w:spacing w:before="0" w:after="0"/>
              <w:jc w:val="center"/>
              <w:rPr/>
            </w:pPr>
            <w:r>
              <w:rPr/>
              <w:t>June 30,</w:t>
            </w:r>
          </w:p>
          <w:p>
            <w:pPr>
              <w:pStyle w:val="TableContents"/>
              <w:spacing w:before="0" w:after="0"/>
              <w:jc w:val="center"/>
              <w:rPr/>
            </w:pPr>
            <w:r>
              <w:rPr/>
              <w:t>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bottom"/>
          </w:tcPr>
          <w:p>
            <w:pPr>
              <w:pStyle w:val="TableContents"/>
              <w:spacing w:before="0" w:after="0"/>
              <w:rPr/>
            </w:pPr>
            <w:r>
              <w:rPr/>
              <w:t>December 31,</w:t>
            </w:r>
          </w:p>
          <w:p>
            <w:pPr>
              <w:pStyle w:val="TableContents"/>
              <w:spacing w:before="0" w:after="0"/>
              <w:jc w:val="center"/>
              <w:rPr/>
            </w:pPr>
            <w:r>
              <w:rPr/>
              <w:t>2018</w:t>
            </w:r>
          </w:p>
        </w:tc>
        <w:tc>
          <w:tcPr>
            <w:tcW w:w="75" w:type="dxa"/>
            <w:tcBorders/>
            <w:shd w:fill="auto" w:val="clear"/>
            <w:vAlign w:val="bottom"/>
          </w:tcPr>
          <w:p>
            <w:pPr>
              <w:pStyle w:val="TableContents"/>
              <w:spacing w:before="0" w:after="283"/>
              <w:rPr/>
            </w:pPr>
            <w:r>
              <w:rPr/>
              <w:t> </w:t>
            </w:r>
          </w:p>
        </w:tc>
      </w:tr>
      <w:tr>
        <w:trPr/>
        <w:tc>
          <w:tcPr>
            <w:tcW w:w="47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0" w:type="dxa"/>
            <w:gridSpan w:val="6"/>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4730" w:type="dxa"/>
            <w:tcBorders/>
            <w:shd w:fill="CCEEFF" w:val="clear"/>
            <w:vAlign w:val="bottom"/>
          </w:tcPr>
          <w:p>
            <w:pPr>
              <w:pStyle w:val="TableContents"/>
              <w:spacing w:before="0" w:after="0"/>
              <w:ind w:left="144" w:right="0" w:hanging="144"/>
              <w:rPr/>
            </w:pPr>
            <w:r>
              <w:rPr/>
              <w:t>Commercial</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pPr>
            <w:r>
              <w:rPr/>
              <w:t>$</w:t>
            </w:r>
          </w:p>
        </w:tc>
        <w:tc>
          <w:tcPr>
            <w:tcW w:w="652" w:type="dxa"/>
            <w:tcBorders/>
            <w:shd w:fill="CCEEFF" w:val="clear"/>
            <w:vAlign w:val="bottom"/>
          </w:tcPr>
          <w:p>
            <w:pPr>
              <w:pStyle w:val="TableContents"/>
              <w:spacing w:before="0" w:after="0"/>
              <w:jc w:val="right"/>
              <w:rPr/>
            </w:pPr>
            <w:r>
              <w:rPr/>
              <w:t>1,490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0"/>
              <w:rPr/>
            </w:pPr>
            <w:r>
              <w:rPr/>
              <w:t>$</w:t>
            </w:r>
          </w:p>
        </w:tc>
        <w:tc>
          <w:tcPr>
            <w:tcW w:w="1084" w:type="dxa"/>
            <w:tcBorders/>
            <w:shd w:fill="CCEEFF" w:val="clear"/>
            <w:vAlign w:val="bottom"/>
          </w:tcPr>
          <w:p>
            <w:pPr>
              <w:pStyle w:val="TableContents"/>
              <w:spacing w:before="0" w:after="0"/>
              <w:jc w:val="right"/>
              <w:rPr/>
            </w:pPr>
            <w:r>
              <w:rPr/>
              <w:t>1,609</w:t>
            </w:r>
          </w:p>
        </w:tc>
        <w:tc>
          <w:tcPr>
            <w:tcW w:w="75" w:type="dxa"/>
            <w:tcBorders/>
            <w:shd w:fill="CCEEFF" w:val="clear"/>
            <w:vAlign w:val="bottom"/>
          </w:tcPr>
          <w:p>
            <w:pPr>
              <w:pStyle w:val="TableContents"/>
              <w:spacing w:before="0" w:after="283"/>
              <w:rPr/>
            </w:pPr>
            <w:r>
              <w:rPr/>
              <w:t> </w:t>
            </w:r>
          </w:p>
        </w:tc>
      </w:tr>
      <w:tr>
        <w:trPr/>
        <w:tc>
          <w:tcPr>
            <w:tcW w:w="4730" w:type="dxa"/>
            <w:tcBorders/>
            <w:shd w:fill="FFFFFF" w:val="clear"/>
            <w:vAlign w:val="bottom"/>
          </w:tcPr>
          <w:p>
            <w:pPr>
              <w:pStyle w:val="TableContents"/>
              <w:spacing w:before="0" w:after="0"/>
              <w:ind w:left="144" w:right="0" w:hanging="144"/>
              <w:rPr/>
            </w:pPr>
            <w:r>
              <w:rPr/>
              <w:t>Mortgage</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52" w:type="dxa"/>
            <w:tcBorders/>
            <w:shd w:fill="FFFFFF" w:val="clear"/>
            <w:vAlign w:val="bottom"/>
          </w:tcPr>
          <w:p>
            <w:pPr>
              <w:pStyle w:val="TableContents"/>
              <w:spacing w:before="0" w:after="0"/>
              <w:jc w:val="right"/>
              <w:rPr/>
            </w:pPr>
            <w:r>
              <w:rPr/>
              <w:t>587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1" w:type="dxa"/>
            <w:tcBorders/>
            <w:shd w:fill="FFFFFF" w:val="clear"/>
            <w:vAlign w:val="bottom"/>
          </w:tcPr>
          <w:p>
            <w:pPr>
              <w:pStyle w:val="TableContents"/>
              <w:spacing w:before="0" w:after="283"/>
              <w:rPr/>
            </w:pPr>
            <w:r>
              <w:rPr/>
              <w:t> </w:t>
            </w:r>
          </w:p>
        </w:tc>
        <w:tc>
          <w:tcPr>
            <w:tcW w:w="1084" w:type="dxa"/>
            <w:tcBorders/>
            <w:shd w:fill="FFFFFF" w:val="clear"/>
            <w:vAlign w:val="bottom"/>
          </w:tcPr>
          <w:p>
            <w:pPr>
              <w:pStyle w:val="TableContents"/>
              <w:spacing w:before="0" w:after="0"/>
              <w:jc w:val="right"/>
              <w:rPr/>
            </w:pPr>
            <w:r>
              <w:rPr/>
              <w:t>555</w:t>
            </w:r>
          </w:p>
        </w:tc>
        <w:tc>
          <w:tcPr>
            <w:tcW w:w="75" w:type="dxa"/>
            <w:tcBorders/>
            <w:shd w:fill="FFFFFF" w:val="clear"/>
            <w:vAlign w:val="bottom"/>
          </w:tcPr>
          <w:p>
            <w:pPr>
              <w:pStyle w:val="TableContents"/>
              <w:spacing w:before="0" w:after="283"/>
              <w:rPr/>
            </w:pPr>
            <w:r>
              <w:rPr/>
              <w:t> </w:t>
            </w:r>
          </w:p>
        </w:tc>
      </w:tr>
      <w:tr>
        <w:trPr/>
        <w:tc>
          <w:tcPr>
            <w:tcW w:w="4730" w:type="dxa"/>
            <w:tcBorders/>
            <w:shd w:fill="CCEEFF" w:val="clear"/>
            <w:vAlign w:val="bottom"/>
          </w:tcPr>
          <w:p>
            <w:pPr>
              <w:pStyle w:val="TableContents"/>
              <w:spacing w:before="0" w:after="0"/>
              <w:ind w:left="144" w:right="0" w:hanging="144"/>
              <w:rPr/>
            </w:pPr>
            <w:r>
              <w:rPr/>
              <w:t>Installment</w:t>
            </w:r>
          </w:p>
        </w:tc>
        <w:tc>
          <w:tcPr>
            <w:tcW w:w="60" w:type="dxa"/>
            <w:tcBorders/>
            <w:shd w:fill="CCEEFF" w:val="clear"/>
            <w:vAlign w:val="bottom"/>
          </w:tcPr>
          <w:p>
            <w:pPr>
              <w:pStyle w:val="TableContents"/>
              <w:spacing w:before="0" w:after="283"/>
              <w:rPr/>
            </w:pPr>
            <w:r>
              <w:rPr/>
              <w:t> </w:t>
            </w:r>
          </w:p>
        </w:tc>
        <w:tc>
          <w:tcPr>
            <w:tcW w:w="16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52" w:type="dxa"/>
            <w:tcBorders>
              <w:bottom w:val="single" w:sz="12" w:space="0" w:color="000000"/>
            </w:tcBorders>
            <w:shd w:fill="CCEEFF" w:val="clear"/>
            <w:tcMar>
              <w:bottom w:w="28" w:type="dxa"/>
            </w:tcMar>
            <w:vAlign w:val="bottom"/>
          </w:tcPr>
          <w:p>
            <w:pPr>
              <w:pStyle w:val="TableContents"/>
              <w:spacing w:before="0" w:after="0"/>
              <w:jc w:val="right"/>
              <w:rPr/>
            </w:pPr>
            <w:r>
              <w:rPr/>
              <w:t>324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84" w:type="dxa"/>
            <w:tcBorders>
              <w:bottom w:val="single" w:sz="12" w:space="0" w:color="000000"/>
            </w:tcBorders>
            <w:shd w:fill="CCEEFF" w:val="clear"/>
            <w:tcMar>
              <w:bottom w:w="28" w:type="dxa"/>
            </w:tcMar>
            <w:vAlign w:val="bottom"/>
          </w:tcPr>
          <w:p>
            <w:pPr>
              <w:pStyle w:val="TableContents"/>
              <w:spacing w:before="0" w:after="0"/>
              <w:jc w:val="right"/>
              <w:rPr/>
            </w:pPr>
            <w:r>
              <w:rPr/>
              <w:t>349</w:t>
            </w:r>
          </w:p>
        </w:tc>
        <w:tc>
          <w:tcPr>
            <w:tcW w:w="75" w:type="dxa"/>
            <w:tcBorders/>
            <w:shd w:fill="CCEEFF" w:val="clear"/>
            <w:vAlign w:val="bottom"/>
          </w:tcPr>
          <w:p>
            <w:pPr>
              <w:pStyle w:val="TableContents"/>
              <w:spacing w:before="0" w:after="283"/>
              <w:rPr/>
            </w:pPr>
            <w:r>
              <w:rPr/>
              <w:t> </w:t>
            </w:r>
          </w:p>
        </w:tc>
      </w:tr>
      <w:tr>
        <w:trPr/>
        <w:tc>
          <w:tcPr>
            <w:tcW w:w="4730" w:type="dxa"/>
            <w:tcBorders/>
            <w:shd w:fill="FFFFFF" w:val="clear"/>
            <w:vAlign w:val="bottom"/>
          </w:tcPr>
          <w:p>
            <w:pPr>
              <w:pStyle w:val="TableContents"/>
              <w:spacing w:before="0" w:after="0"/>
              <w:ind w:left="324" w:right="0" w:hanging="144"/>
              <w:rPr/>
            </w:pPr>
            <w:r>
              <w:rPr/>
              <w:t>Total carrying amount</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52" w:type="dxa"/>
            <w:tcBorders/>
            <w:shd w:fill="FFFFFF" w:val="clear"/>
            <w:vAlign w:val="bottom"/>
          </w:tcPr>
          <w:p>
            <w:pPr>
              <w:pStyle w:val="TableContents"/>
              <w:spacing w:before="0" w:after="0"/>
              <w:jc w:val="right"/>
              <w:rPr/>
            </w:pPr>
            <w:r>
              <w:rPr/>
              <w:t>2,401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1" w:type="dxa"/>
            <w:tcBorders/>
            <w:shd w:fill="FFFFFF" w:val="clear"/>
            <w:vAlign w:val="bottom"/>
          </w:tcPr>
          <w:p>
            <w:pPr>
              <w:pStyle w:val="TableContents"/>
              <w:spacing w:before="0" w:after="283"/>
              <w:rPr/>
            </w:pPr>
            <w:r>
              <w:rPr/>
              <w:t> </w:t>
            </w:r>
          </w:p>
        </w:tc>
        <w:tc>
          <w:tcPr>
            <w:tcW w:w="1084" w:type="dxa"/>
            <w:tcBorders/>
            <w:shd w:fill="FFFFFF" w:val="clear"/>
            <w:vAlign w:val="bottom"/>
          </w:tcPr>
          <w:p>
            <w:pPr>
              <w:pStyle w:val="TableContents"/>
              <w:spacing w:before="0" w:after="0"/>
              <w:jc w:val="right"/>
              <w:rPr/>
            </w:pPr>
            <w:r>
              <w:rPr/>
              <w:t>2,513</w:t>
            </w:r>
          </w:p>
        </w:tc>
        <w:tc>
          <w:tcPr>
            <w:tcW w:w="75" w:type="dxa"/>
            <w:tcBorders/>
            <w:shd w:fill="FFFFFF" w:val="clear"/>
            <w:vAlign w:val="bottom"/>
          </w:tcPr>
          <w:p>
            <w:pPr>
              <w:pStyle w:val="TableContents"/>
              <w:spacing w:before="0" w:after="283"/>
              <w:rPr/>
            </w:pPr>
            <w:r>
              <w:rPr/>
              <w:t> </w:t>
            </w:r>
          </w:p>
        </w:tc>
      </w:tr>
      <w:tr>
        <w:trPr/>
        <w:tc>
          <w:tcPr>
            <w:tcW w:w="4730" w:type="dxa"/>
            <w:tcBorders/>
            <w:shd w:fill="CCEEFF" w:val="clear"/>
            <w:vAlign w:val="bottom"/>
          </w:tcPr>
          <w:p>
            <w:pPr>
              <w:pStyle w:val="TableContents"/>
              <w:spacing w:before="0" w:after="0"/>
              <w:ind w:left="144" w:right="0" w:hanging="144"/>
              <w:rPr/>
            </w:pPr>
            <w:r>
              <w:rPr/>
              <w:t>Allowance for loan losses</w:t>
            </w:r>
          </w:p>
        </w:tc>
        <w:tc>
          <w:tcPr>
            <w:tcW w:w="60" w:type="dxa"/>
            <w:tcBorders/>
            <w:shd w:fill="CCEEFF" w:val="clear"/>
            <w:vAlign w:val="bottom"/>
          </w:tcPr>
          <w:p>
            <w:pPr>
              <w:pStyle w:val="TableContents"/>
              <w:spacing w:before="0" w:after="283"/>
              <w:rPr/>
            </w:pPr>
            <w:r>
              <w:rPr/>
              <w:t> </w:t>
            </w:r>
          </w:p>
        </w:tc>
        <w:tc>
          <w:tcPr>
            <w:tcW w:w="16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52"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84"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30" w:type="dxa"/>
            <w:tcBorders/>
            <w:shd w:fill="FFFFFF" w:val="clear"/>
            <w:vAlign w:val="bottom"/>
          </w:tcPr>
          <w:p>
            <w:pPr>
              <w:pStyle w:val="TableContents"/>
              <w:spacing w:before="0" w:after="0"/>
              <w:ind w:left="324" w:right="0" w:hanging="144"/>
              <w:rPr/>
            </w:pPr>
            <w:r>
              <w:rPr/>
              <w:t>Carrying amount, net of allowance for loan losses</w:t>
            </w:r>
          </w:p>
        </w:tc>
        <w:tc>
          <w:tcPr>
            <w:tcW w:w="60" w:type="dxa"/>
            <w:tcBorders/>
            <w:shd w:fill="FFFFFF" w:val="clear"/>
            <w:vAlign w:val="bottom"/>
          </w:tcPr>
          <w:p>
            <w:pPr>
              <w:pStyle w:val="TableContents"/>
              <w:spacing w:before="0" w:after="283"/>
              <w:rPr/>
            </w:pPr>
            <w:r>
              <w:rPr/>
              <w:t> </w:t>
            </w:r>
          </w:p>
        </w:tc>
        <w:tc>
          <w:tcPr>
            <w:tcW w:w="163" w:type="dxa"/>
            <w:tcBorders>
              <w:bottom w:val="double" w:sz="8" w:space="0" w:color="000000"/>
            </w:tcBorders>
            <w:shd w:fill="FFFFFF" w:val="clear"/>
            <w:tcMar>
              <w:bottom w:w="28" w:type="dxa"/>
            </w:tcMar>
            <w:vAlign w:val="bottom"/>
          </w:tcPr>
          <w:p>
            <w:pPr>
              <w:pStyle w:val="TableContents"/>
              <w:spacing w:before="0" w:after="0"/>
              <w:rPr/>
            </w:pPr>
            <w:r>
              <w:rPr/>
              <w:t>$</w:t>
            </w:r>
          </w:p>
        </w:tc>
        <w:tc>
          <w:tcPr>
            <w:tcW w:w="652" w:type="dxa"/>
            <w:tcBorders>
              <w:bottom w:val="double" w:sz="8" w:space="0" w:color="000000"/>
            </w:tcBorders>
            <w:shd w:fill="FFFFFF" w:val="clear"/>
            <w:tcMar>
              <w:bottom w:w="28" w:type="dxa"/>
            </w:tcMar>
            <w:vAlign w:val="bottom"/>
          </w:tcPr>
          <w:p>
            <w:pPr>
              <w:pStyle w:val="TableContents"/>
              <w:spacing w:before="0" w:after="0"/>
              <w:jc w:val="right"/>
              <w:rPr/>
            </w:pPr>
            <w:r>
              <w:rPr/>
              <w:t>2,401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1" w:type="dxa"/>
            <w:tcBorders>
              <w:bottom w:val="double" w:sz="8" w:space="0" w:color="000000"/>
            </w:tcBorders>
            <w:shd w:fill="FFFFFF" w:val="clear"/>
            <w:tcMar>
              <w:bottom w:w="28" w:type="dxa"/>
            </w:tcMar>
            <w:vAlign w:val="bottom"/>
          </w:tcPr>
          <w:p>
            <w:pPr>
              <w:pStyle w:val="TableContents"/>
              <w:spacing w:before="0" w:after="0"/>
              <w:rPr/>
            </w:pPr>
            <w:r>
              <w:rPr/>
              <w:t>$</w:t>
            </w:r>
          </w:p>
        </w:tc>
        <w:tc>
          <w:tcPr>
            <w:tcW w:w="1084" w:type="dxa"/>
            <w:tcBorders>
              <w:bottom w:val="double" w:sz="8" w:space="0" w:color="000000"/>
            </w:tcBorders>
            <w:shd w:fill="FFFFFF" w:val="clear"/>
            <w:tcMar>
              <w:bottom w:w="28" w:type="dxa"/>
            </w:tcMar>
            <w:vAlign w:val="bottom"/>
          </w:tcPr>
          <w:p>
            <w:pPr>
              <w:pStyle w:val="TableContents"/>
              <w:spacing w:before="0" w:after="0"/>
              <w:jc w:val="right"/>
              <w:rPr/>
            </w:pPr>
            <w:r>
              <w:rPr/>
              <w:t>2,513</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is included in the table below.  Accretable yield of PCI loans, or income expected to be collected follows:</w:t>
      </w:r>
    </w:p>
    <w:p>
      <w:pPr>
        <w:pStyle w:val="TextBody"/>
        <w:spacing w:before="0" w:after="0"/>
        <w:rPr/>
      </w:pPr>
      <w:r>
        <w:rPr/>
      </w:r>
    </w:p>
    <w:p>
      <w:pPr>
        <w:pStyle w:val="Normal"/>
        <w:spacing w:before="0" w:after="0"/>
        <w:rPr>
          <w:sz w:val="4"/>
          <w:szCs w:val="4"/>
        </w:rPr>
      </w:pPr>
      <w:r>
        <w:rPr>
          <w:sz w:val="4"/>
          <w:szCs w:val="4"/>
        </w:rPr>
      </w:r>
      <w:bookmarkStart w:id="323" w:name="z59fe4eafe9b14ee182a76fd356e729c6"/>
      <w:bookmarkStart w:id="324" w:name="z59fe4eafe9b14ee182a76fd356e729c6"/>
      <w:bookmarkEnd w:id="324"/>
    </w:p>
    <w:tbl>
      <w:tblPr>
        <w:tblW w:w="8785" w:type="dxa"/>
        <w:jc w:val="left"/>
        <w:tblInd w:w="0" w:type="dxa"/>
        <w:tblCellMar>
          <w:top w:w="0" w:type="dxa"/>
          <w:left w:w="0" w:type="dxa"/>
          <w:bottom w:w="0" w:type="dxa"/>
          <w:right w:w="0" w:type="dxa"/>
        </w:tblCellMar>
      </w:tblPr>
      <w:tblGrid>
        <w:gridCol w:w="4790"/>
        <w:gridCol w:w="60"/>
        <w:gridCol w:w="229"/>
        <w:gridCol w:w="621"/>
        <w:gridCol w:w="155"/>
        <w:gridCol w:w="98"/>
        <w:gridCol w:w="229"/>
        <w:gridCol w:w="623"/>
        <w:gridCol w:w="95"/>
        <w:gridCol w:w="60"/>
        <w:gridCol w:w="200"/>
        <w:gridCol w:w="545"/>
        <w:gridCol w:w="136"/>
        <w:gridCol w:w="86"/>
        <w:gridCol w:w="200"/>
        <w:gridCol w:w="548"/>
        <w:gridCol w:w="110"/>
      </w:tblGrid>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5" w:type="dxa"/>
            <w:gridSpan w:val="6"/>
            <w:tcBorders>
              <w:bottom w:val="single" w:sz="12" w:space="0" w:color="000000"/>
            </w:tcBorders>
            <w:shd w:fill="auto" w:val="clear"/>
            <w:tcMar>
              <w:bottom w:w="28" w:type="dxa"/>
            </w:tcM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15" w:type="dxa"/>
            <w:gridSpan w:val="6"/>
            <w:tcBorders>
              <w:bottom w:val="single" w:sz="12" w:space="0" w:color="000000"/>
            </w:tcBorders>
            <w:shd w:fill="auto" w:val="clear"/>
            <w:tcMar>
              <w:bottom w:w="28" w:type="dxa"/>
            </w:tcM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110"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52"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5"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13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48"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110"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5" w:type="dxa"/>
            <w:gridSpan w:val="6"/>
            <w:tcBorders>
              <w:bottom w:val="single" w:sz="12" w:space="0" w:color="000000"/>
            </w:tcBorders>
            <w:shd w:fill="auto" w:val="clear"/>
            <w:tcMar>
              <w:bottom w:w="28" w:type="dxa"/>
            </w:tcMar>
            <w:vAlign w:val="bottom"/>
          </w:tcPr>
          <w:p>
            <w:pPr>
              <w:pStyle w:val="TableContents"/>
              <w:spacing w:before="0" w:after="0"/>
              <w:jc w:val="center"/>
              <w:rPr/>
            </w:pPr>
            <w:r>
              <w:rPr/>
              <w:t>(unaudited)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15" w:type="dxa"/>
            <w:gridSpan w:val="6"/>
            <w:tcBorders>
              <w:bottom w:val="single" w:sz="12" w:space="0" w:color="000000"/>
            </w:tcBorders>
            <w:shd w:fill="auto" w:val="clear"/>
            <w:tcMar>
              <w:bottom w:w="28" w:type="dxa"/>
            </w:tcMar>
            <w:vAlign w:val="bottom"/>
          </w:tcPr>
          <w:p>
            <w:pPr>
              <w:pStyle w:val="TableContents"/>
              <w:spacing w:before="0" w:after="0"/>
              <w:jc w:val="center"/>
              <w:rPr/>
            </w:pPr>
            <w:r>
              <w:rPr/>
              <w:t>(unaudited)</w:t>
            </w:r>
          </w:p>
        </w:tc>
        <w:tc>
          <w:tcPr>
            <w:tcW w:w="110"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5" w:type="dxa"/>
            <w:gridSpan w:val="6"/>
            <w:tcBorders/>
            <w:shd w:fill="auto" w:val="clear"/>
            <w:vAlign w:val="bottom"/>
          </w:tcPr>
          <w:p>
            <w:pPr>
              <w:pStyle w:val="TableContents"/>
              <w:spacing w:before="0" w:after="0"/>
              <w:jc w:val="center"/>
              <w:rPr/>
            </w:pPr>
            <w:r>
              <w:rPr/>
              <w:t>(In thousands)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15" w:type="dxa"/>
            <w:gridSpan w:val="6"/>
            <w:tcBorders/>
            <w:shd w:fill="auto" w:val="clear"/>
            <w:vAlign w:val="bottom"/>
          </w:tcPr>
          <w:p>
            <w:pPr>
              <w:pStyle w:val="TableContents"/>
              <w:spacing w:before="0" w:after="0"/>
              <w:jc w:val="center"/>
              <w:rPr/>
            </w:pPr>
            <w:r>
              <w:rPr/>
              <w:t>(In thousands)</w:t>
            </w:r>
          </w:p>
        </w:tc>
        <w:tc>
          <w:tcPr>
            <w:tcW w:w="110"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852"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5"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48"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144" w:right="0" w:hanging="144"/>
              <w:rPr/>
            </w:pPr>
            <w:r>
              <w:rPr/>
              <w:t>Balance at beginning of period</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0"/>
              <w:rPr/>
            </w:pPr>
            <w:r>
              <w:rPr/>
              <w:t>$</w:t>
            </w:r>
          </w:p>
        </w:tc>
        <w:tc>
          <w:tcPr>
            <w:tcW w:w="621" w:type="dxa"/>
            <w:tcBorders/>
            <w:shd w:fill="CCEEFF" w:val="clear"/>
            <w:vAlign w:val="bottom"/>
          </w:tcPr>
          <w:p>
            <w:pPr>
              <w:pStyle w:val="TableContents"/>
              <w:spacing w:before="0" w:after="0"/>
              <w:jc w:val="right"/>
              <w:rPr/>
            </w:pPr>
            <w:r>
              <w:rPr/>
              <w:t>788</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0"/>
              <w:rPr/>
            </w:pPr>
            <w:r>
              <w:rPr/>
              <w:t>$</w:t>
            </w:r>
          </w:p>
        </w:tc>
        <w:tc>
          <w:tcPr>
            <w:tcW w:w="623"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0"/>
              <w:rPr/>
            </w:pPr>
            <w:r>
              <w:rPr/>
              <w:t>$</w:t>
            </w:r>
          </w:p>
        </w:tc>
        <w:tc>
          <w:tcPr>
            <w:tcW w:w="545" w:type="dxa"/>
            <w:tcBorders/>
            <w:shd w:fill="CCEEFF" w:val="clear"/>
            <w:vAlign w:val="bottom"/>
          </w:tcPr>
          <w:p>
            <w:pPr>
              <w:pStyle w:val="TableContents"/>
              <w:spacing w:before="0" w:after="0"/>
              <w:jc w:val="right"/>
              <w:rPr/>
            </w:pPr>
            <w:r>
              <w:rPr/>
              <w:t>462</w:t>
            </w:r>
          </w:p>
        </w:tc>
        <w:tc>
          <w:tcPr>
            <w:tcW w:w="13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0"/>
              <w:rPr/>
            </w:pPr>
            <w:r>
              <w:rPr/>
              <w:t>$</w:t>
            </w:r>
          </w:p>
        </w:tc>
        <w:tc>
          <w:tcPr>
            <w:tcW w:w="548" w:type="dxa"/>
            <w:tcBorders/>
            <w:shd w:fill="CCEEFF" w:val="clear"/>
            <w:vAlign w:val="bottom"/>
          </w:tcPr>
          <w:p>
            <w:pPr>
              <w:pStyle w:val="TableContents"/>
              <w:spacing w:before="0" w:after="0"/>
              <w:jc w:val="right"/>
              <w:rPr/>
            </w:pPr>
            <w:r>
              <w:rPr/>
              <w:t>-</w:t>
            </w:r>
          </w:p>
        </w:tc>
        <w:tc>
          <w:tcPr>
            <w:tcW w:w="110"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324" w:right="0" w:hanging="144"/>
              <w:rPr/>
            </w:pPr>
            <w:r>
              <w:rPr/>
              <w:t>New loans purchased</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621" w:type="dxa"/>
            <w:tcBorders/>
            <w:shd w:fill="FFFFFF" w:val="clear"/>
            <w:vAlign w:val="bottom"/>
          </w:tcPr>
          <w:p>
            <w:pPr>
              <w:pStyle w:val="TableContents"/>
              <w:spacing w:before="0" w:after="0"/>
              <w:jc w:val="right"/>
              <w:rPr/>
            </w:pPr>
            <w:r>
              <w:rPr/>
              <w:t>-</w:t>
            </w:r>
          </w:p>
        </w:tc>
        <w:tc>
          <w:tcPr>
            <w:tcW w:w="155"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623" w:type="dxa"/>
            <w:tcBorders/>
            <w:shd w:fill="FFFFFF" w:val="clear"/>
            <w:vAlign w:val="bottom"/>
          </w:tcPr>
          <w:p>
            <w:pPr>
              <w:pStyle w:val="TableContents"/>
              <w:spacing w:before="0" w:after="0"/>
              <w:jc w:val="right"/>
              <w:rPr/>
            </w:pPr>
            <w:r>
              <w:rPr/>
              <w:t>568</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0"/>
              <w:jc w:val="right"/>
              <w:rPr/>
            </w:pPr>
            <w:r>
              <w:rPr/>
              <w:t>-</w:t>
            </w:r>
          </w:p>
        </w:tc>
        <w:tc>
          <w:tcPr>
            <w:tcW w:w="13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548" w:type="dxa"/>
            <w:tcBorders/>
            <w:shd w:fill="FFFFFF" w:val="clear"/>
            <w:vAlign w:val="bottom"/>
          </w:tcPr>
          <w:p>
            <w:pPr>
              <w:pStyle w:val="TableContents"/>
              <w:spacing w:before="0" w:after="0"/>
              <w:jc w:val="right"/>
              <w:rPr/>
            </w:pPr>
            <w:r>
              <w:rPr/>
              <w:t>568</w:t>
            </w:r>
          </w:p>
        </w:tc>
        <w:tc>
          <w:tcPr>
            <w:tcW w:w="110"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324" w:right="0" w:hanging="144"/>
              <w:rPr/>
            </w:pPr>
            <w:r>
              <w:rPr/>
              <w:t>Accretion recorded as loan interest income</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0"/>
              <w:jc w:val="right"/>
              <w:rPr/>
            </w:pPr>
            <w:r>
              <w:rPr/>
              <w:t>(39</w:t>
            </w:r>
          </w:p>
        </w:tc>
        <w:tc>
          <w:tcPr>
            <w:tcW w:w="155" w:type="dxa"/>
            <w:tcBorders/>
            <w:shd w:fill="CCEEFF" w:val="clear"/>
            <w:vAlign w:val="bottom"/>
          </w:tcPr>
          <w:p>
            <w:pPr>
              <w:pStyle w:val="TableContents"/>
              <w:spacing w:before="0" w:after="0"/>
              <w:rPr/>
            </w:pPr>
            <w:r>
              <w:rPr/>
              <w:t>)</w:t>
            </w:r>
          </w:p>
        </w:tc>
        <w:tc>
          <w:tcPr>
            <w:tcW w:w="98"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623" w:type="dxa"/>
            <w:tcBorders/>
            <w:shd w:fill="CCEEFF" w:val="clear"/>
            <w:vAlign w:val="bottom"/>
          </w:tcPr>
          <w:p>
            <w:pPr>
              <w:pStyle w:val="TableContents"/>
              <w:spacing w:before="0" w:after="0"/>
              <w:jc w:val="right"/>
              <w:rPr/>
            </w:pPr>
            <w:r>
              <w:rPr/>
              <w:t>(35</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0"/>
              <w:jc w:val="right"/>
              <w:rPr/>
            </w:pPr>
            <w:r>
              <w:rPr/>
              <w:t>(78</w:t>
            </w:r>
          </w:p>
        </w:tc>
        <w:tc>
          <w:tcPr>
            <w:tcW w:w="136" w:type="dxa"/>
            <w:tcBorders/>
            <w:shd w:fill="CCEEFF" w:val="clear"/>
            <w:vAlign w:val="bottom"/>
          </w:tcPr>
          <w:p>
            <w:pPr>
              <w:pStyle w:val="TableContents"/>
              <w:spacing w:before="0" w:after="0"/>
              <w:rPr/>
            </w:pPr>
            <w:r>
              <w:rPr/>
              <w:t>)</w:t>
            </w:r>
          </w:p>
        </w:tc>
        <w:tc>
          <w:tcPr>
            <w:tcW w:w="86"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0"/>
              <w:jc w:val="right"/>
              <w:rPr/>
            </w:pPr>
            <w:r>
              <w:rPr/>
              <w:t>(35</w:t>
            </w:r>
          </w:p>
        </w:tc>
        <w:tc>
          <w:tcPr>
            <w:tcW w:w="110" w:type="dxa"/>
            <w:tcBorders/>
            <w:shd w:fill="CCEEFF" w:val="clear"/>
            <w:vAlign w:val="bottom"/>
          </w:tcPr>
          <w:p>
            <w:pPr>
              <w:pStyle w:val="TableContents"/>
              <w:spacing w:before="0" w:after="0"/>
              <w:rPr/>
            </w:pPr>
            <w:r>
              <w:rPr/>
              <w:t>)</w:t>
            </w:r>
          </w:p>
        </w:tc>
      </w:tr>
      <w:tr>
        <w:trPr/>
        <w:tc>
          <w:tcPr>
            <w:tcW w:w="4790" w:type="dxa"/>
            <w:tcBorders/>
            <w:shd w:fill="FFFFFF" w:val="clear"/>
            <w:vAlign w:val="bottom"/>
          </w:tcPr>
          <w:p>
            <w:pPr>
              <w:pStyle w:val="TableContents"/>
              <w:spacing w:before="0" w:after="0"/>
              <w:ind w:left="324" w:right="0" w:hanging="144"/>
              <w:rPr/>
            </w:pPr>
            <w:r>
              <w:rPr/>
              <w:t>Reclassification from (to) nonaccretable difference</w:t>
            </w:r>
          </w:p>
        </w:tc>
        <w:tc>
          <w:tcPr>
            <w:tcW w:w="60"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621" w:type="dxa"/>
            <w:tcBorders/>
            <w:shd w:fill="FFFFFF" w:val="clear"/>
            <w:vAlign w:val="bottom"/>
          </w:tcPr>
          <w:p>
            <w:pPr>
              <w:pStyle w:val="TableContents"/>
              <w:spacing w:before="0" w:after="0"/>
              <w:jc w:val="right"/>
              <w:rPr/>
            </w:pPr>
            <w:r>
              <w:rPr/>
              <w:t>-</w:t>
            </w:r>
          </w:p>
        </w:tc>
        <w:tc>
          <w:tcPr>
            <w:tcW w:w="155"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229" w:type="dxa"/>
            <w:tcBorders/>
            <w:shd w:fill="FFFFFF" w:val="clear"/>
            <w:vAlign w:val="bottom"/>
          </w:tcPr>
          <w:p>
            <w:pPr>
              <w:pStyle w:val="TableContents"/>
              <w:spacing w:before="0" w:after="283"/>
              <w:rPr/>
            </w:pPr>
            <w:r>
              <w:rPr/>
              <w:t> </w:t>
            </w:r>
          </w:p>
        </w:tc>
        <w:tc>
          <w:tcPr>
            <w:tcW w:w="623"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545" w:type="dxa"/>
            <w:tcBorders/>
            <w:shd w:fill="FFFFFF" w:val="clear"/>
            <w:vAlign w:val="bottom"/>
          </w:tcPr>
          <w:p>
            <w:pPr>
              <w:pStyle w:val="TableContents"/>
              <w:spacing w:before="0" w:after="0"/>
              <w:jc w:val="right"/>
              <w:rPr/>
            </w:pPr>
            <w:r>
              <w:rPr/>
              <w:t>365</w:t>
            </w:r>
          </w:p>
        </w:tc>
        <w:tc>
          <w:tcPr>
            <w:tcW w:w="13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rPr/>
            </w:pPr>
            <w:r>
              <w:rPr/>
              <w:t> </w:t>
            </w:r>
          </w:p>
        </w:tc>
        <w:tc>
          <w:tcPr>
            <w:tcW w:w="548" w:type="dxa"/>
            <w:tcBorders/>
            <w:shd w:fill="FFFFFF" w:val="clear"/>
            <w:vAlign w:val="bottom"/>
          </w:tcPr>
          <w:p>
            <w:pPr>
              <w:pStyle w:val="TableContents"/>
              <w:spacing w:before="0" w:after="0"/>
              <w:jc w:val="right"/>
              <w:rPr/>
            </w:pPr>
            <w:r>
              <w:rPr/>
              <w:t>-</w:t>
            </w:r>
          </w:p>
        </w:tc>
        <w:tc>
          <w:tcPr>
            <w:tcW w:w="110"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324" w:right="0" w:hanging="144"/>
              <w:rPr/>
            </w:pPr>
            <w:r>
              <w:rPr/>
              <w:t>Displosals/other adjustments</w:t>
            </w:r>
          </w:p>
        </w:tc>
        <w:tc>
          <w:tcPr>
            <w:tcW w:w="60" w:type="dxa"/>
            <w:tcBorders/>
            <w:shd w:fill="CCEEFF" w:val="clear"/>
            <w:vAlign w:val="bottom"/>
          </w:tcPr>
          <w:p>
            <w:pPr>
              <w:pStyle w:val="TableContents"/>
              <w:spacing w:before="0" w:after="283"/>
              <w:rPr/>
            </w:pPr>
            <w:r>
              <w:rPr/>
              <w:t> </w:t>
            </w:r>
          </w:p>
        </w:tc>
        <w:tc>
          <w:tcPr>
            <w:tcW w:w="22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21"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2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23"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4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3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4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10"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144" w:right="0" w:hanging="144"/>
              <w:rPr/>
            </w:pPr>
            <w:r>
              <w:rPr/>
              <w:t>Balance at end of period</w:t>
            </w:r>
          </w:p>
        </w:tc>
        <w:tc>
          <w:tcPr>
            <w:tcW w:w="60" w:type="dxa"/>
            <w:tcBorders/>
            <w:shd w:fill="FFFFFF" w:val="clear"/>
            <w:vAlign w:val="bottom"/>
          </w:tcPr>
          <w:p>
            <w:pPr>
              <w:pStyle w:val="TableContents"/>
              <w:spacing w:before="0" w:after="283"/>
              <w:rPr/>
            </w:pPr>
            <w:r>
              <w:rPr/>
              <w:t> </w:t>
            </w:r>
          </w:p>
        </w:tc>
        <w:tc>
          <w:tcPr>
            <w:tcW w:w="229" w:type="dxa"/>
            <w:tcBorders>
              <w:bottom w:val="double" w:sz="8" w:space="0" w:color="000000"/>
            </w:tcBorders>
            <w:shd w:fill="FFFFFF" w:val="clear"/>
            <w:tcMar>
              <w:bottom w:w="28" w:type="dxa"/>
            </w:tcMar>
            <w:vAlign w:val="bottom"/>
          </w:tcPr>
          <w:p>
            <w:pPr>
              <w:pStyle w:val="TableContents"/>
              <w:spacing w:before="0" w:after="0"/>
              <w:rPr/>
            </w:pPr>
            <w:r>
              <w:rPr/>
              <w:t>$</w:t>
            </w:r>
          </w:p>
        </w:tc>
        <w:tc>
          <w:tcPr>
            <w:tcW w:w="621" w:type="dxa"/>
            <w:tcBorders>
              <w:bottom w:val="double" w:sz="8" w:space="0" w:color="000000"/>
            </w:tcBorders>
            <w:shd w:fill="FFFFFF" w:val="clear"/>
            <w:tcMar>
              <w:bottom w:w="28" w:type="dxa"/>
            </w:tcMar>
            <w:vAlign w:val="bottom"/>
          </w:tcPr>
          <w:p>
            <w:pPr>
              <w:pStyle w:val="TableContents"/>
              <w:spacing w:before="0" w:after="0"/>
              <w:jc w:val="right"/>
              <w:rPr/>
            </w:pPr>
            <w:r>
              <w:rPr/>
              <w:t>749</w:t>
            </w:r>
          </w:p>
        </w:tc>
        <w:tc>
          <w:tcPr>
            <w:tcW w:w="155"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229" w:type="dxa"/>
            <w:tcBorders>
              <w:bottom w:val="double" w:sz="8" w:space="0" w:color="000000"/>
            </w:tcBorders>
            <w:shd w:fill="FFFFFF" w:val="clear"/>
            <w:tcMar>
              <w:bottom w:w="28" w:type="dxa"/>
            </w:tcMar>
            <w:vAlign w:val="bottom"/>
          </w:tcPr>
          <w:p>
            <w:pPr>
              <w:pStyle w:val="TableContents"/>
              <w:spacing w:before="0" w:after="0"/>
              <w:rPr/>
            </w:pPr>
            <w:r>
              <w:rPr/>
              <w:t>$</w:t>
            </w:r>
          </w:p>
        </w:tc>
        <w:tc>
          <w:tcPr>
            <w:tcW w:w="623" w:type="dxa"/>
            <w:tcBorders>
              <w:bottom w:val="double" w:sz="8" w:space="0" w:color="000000"/>
            </w:tcBorders>
            <w:shd w:fill="FFFFFF" w:val="clear"/>
            <w:tcMar>
              <w:bottom w:w="28" w:type="dxa"/>
            </w:tcMar>
            <w:vAlign w:val="bottom"/>
          </w:tcPr>
          <w:p>
            <w:pPr>
              <w:pStyle w:val="TableContents"/>
              <w:spacing w:before="0" w:after="0"/>
              <w:jc w:val="right"/>
              <w:rPr/>
            </w:pPr>
            <w:r>
              <w:rPr/>
              <w:t>533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0" w:type="dxa"/>
            <w:tcBorders>
              <w:bottom w:val="double" w:sz="8" w:space="0" w:color="000000"/>
            </w:tcBorders>
            <w:shd w:fill="FFFFFF" w:val="clear"/>
            <w:tcMar>
              <w:bottom w:w="28" w:type="dxa"/>
            </w:tcMar>
            <w:vAlign w:val="bottom"/>
          </w:tcPr>
          <w:p>
            <w:pPr>
              <w:pStyle w:val="TableContents"/>
              <w:spacing w:before="0" w:after="0"/>
              <w:rPr/>
            </w:pPr>
            <w:r>
              <w:rPr/>
              <w:t>$</w:t>
            </w:r>
          </w:p>
        </w:tc>
        <w:tc>
          <w:tcPr>
            <w:tcW w:w="545" w:type="dxa"/>
            <w:tcBorders>
              <w:bottom w:val="double" w:sz="8" w:space="0" w:color="000000"/>
            </w:tcBorders>
            <w:shd w:fill="FFFFFF" w:val="clear"/>
            <w:tcMar>
              <w:bottom w:w="28" w:type="dxa"/>
            </w:tcMar>
            <w:vAlign w:val="bottom"/>
          </w:tcPr>
          <w:p>
            <w:pPr>
              <w:pStyle w:val="TableContents"/>
              <w:spacing w:before="0" w:after="0"/>
              <w:jc w:val="right"/>
              <w:rPr/>
            </w:pPr>
            <w:r>
              <w:rPr/>
              <w:t>749</w:t>
            </w:r>
          </w:p>
        </w:tc>
        <w:tc>
          <w:tcPr>
            <w:tcW w:w="13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200" w:type="dxa"/>
            <w:tcBorders>
              <w:bottom w:val="double" w:sz="8" w:space="0" w:color="000000"/>
            </w:tcBorders>
            <w:shd w:fill="FFFFFF" w:val="clear"/>
            <w:tcMar>
              <w:bottom w:w="28" w:type="dxa"/>
            </w:tcMar>
            <w:vAlign w:val="bottom"/>
          </w:tcPr>
          <w:p>
            <w:pPr>
              <w:pStyle w:val="TableContents"/>
              <w:spacing w:before="0" w:after="0"/>
              <w:rPr/>
            </w:pPr>
            <w:r>
              <w:rPr/>
              <w:t>$</w:t>
            </w:r>
          </w:p>
        </w:tc>
        <w:tc>
          <w:tcPr>
            <w:tcW w:w="548" w:type="dxa"/>
            <w:tcBorders>
              <w:bottom w:val="double" w:sz="8" w:space="0" w:color="000000"/>
            </w:tcBorders>
            <w:shd w:fill="FFFFFF" w:val="clear"/>
            <w:tcMar>
              <w:bottom w:w="28" w:type="dxa"/>
            </w:tcMar>
            <w:vAlign w:val="bottom"/>
          </w:tcPr>
          <w:p>
            <w:pPr>
              <w:pStyle w:val="TableContents"/>
              <w:spacing w:before="0" w:after="0"/>
              <w:jc w:val="right"/>
              <w:rPr/>
            </w:pPr>
            <w:r>
              <w:rPr/>
              <w:t>533</w:t>
            </w:r>
          </w:p>
        </w:tc>
        <w:tc>
          <w:tcPr>
            <w:tcW w:w="110"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5" w:name="DSPFPageBreakArea30"/>
      <w:bookmarkStart w:id="326" w:name="DSPFPageBreakArea30"/>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327" w:name="DSPFPageNumber30"/>
      <w:bookmarkStart w:id="328" w:name="DSPFPageNumberArea29"/>
      <w:bookmarkEnd w:id="327"/>
      <w:bookmarkEnd w:id="328"/>
      <w:r>
        <w:rPr>
          <w:b w:val="false"/>
          <w:i w:val="false"/>
          <w:caps w:val="false"/>
          <w:smallCaps w:val="false"/>
          <w:sz w:val="13"/>
        </w:rPr>
        <w:t>31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9" w:name="DSPFPageBreak30"/>
      <w:bookmarkStart w:id="330" w:name="DSPFPageBreak30"/>
      <w:bookmarkEnd w:id="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331" w:name="DSPFPageHeader29"/>
        <w:bookmarkEnd w:id="331"/>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 xml:space="preserve">5.    </w:t>
      </w:r>
      <w:r>
        <w:rPr>
          <w:u w:val="single"/>
        </w:rPr>
        <w:t>Shareholders’ Equity and Earnings Per Common Share</w:t>
      </w:r>
    </w:p>
    <w:p>
      <w:pPr>
        <w:pStyle w:val="TextBody"/>
        <w:spacing w:before="0" w:after="0"/>
        <w:rPr/>
      </w:pPr>
      <w:r>
        <w:rPr/>
      </w:r>
    </w:p>
    <w:p>
      <w:pPr>
        <w:pStyle w:val="TextBody"/>
        <w:spacing w:before="0" w:after="0"/>
        <w:jc w:val="both"/>
        <w:rPr>
          <w:color w:val="000000"/>
        </w:rPr>
      </w:pPr>
      <w:r>
        <w:rPr>
          <w:color w:val="000000"/>
        </w:rPr>
        <w:t xml:space="preserve">In December, 2018, our Board of Directors authorized a share repurchase plan (the “Repurchase Plan”) to buy back up to 5% of our outstanding common stock </w:t>
      </w:r>
      <w:r>
        <w:rPr>
          <w:color w:val="000000"/>
          <w:highlight w:val="white"/>
        </w:rPr>
        <w:t xml:space="preserve">through December 31, 2019.  During the first six months of 2019, we completed the repurchase of 5% of our outstanding common shares.  In June 2019, our Board of Directors authorized a 300,000 share expansion of the 2019 repurchase plan.  </w:t>
      </w:r>
      <w:r>
        <w:rPr>
          <w:color w:val="000000"/>
        </w:rPr>
        <w:t>We expect to accomplish any remaining repurchases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During the six month periods ended June 30, 2019 and 2018 repurchases were made totaling 1,179,688 shares and zero shares of common stock, respectively for an aggregate purchase price of $25.8 million and zero, respectively.</w:t>
      </w:r>
    </w:p>
    <w:p>
      <w:pPr>
        <w:pStyle w:val="TextBody"/>
        <w:spacing w:before="0" w:after="0"/>
        <w:rPr/>
      </w:pPr>
      <w:r>
        <w:rPr/>
      </w:r>
    </w:p>
    <w:p>
      <w:pPr>
        <w:pStyle w:val="TextBody"/>
        <w:spacing w:before="0" w:after="0"/>
        <w:jc w:val="both"/>
        <w:rPr/>
      </w:pPr>
      <w:r>
        <w:rPr/>
        <w:t>A reconciliation of basic and diluted net income per common share follows:</w:t>
      </w:r>
    </w:p>
    <w:p>
      <w:pPr>
        <w:pStyle w:val="TextBody"/>
        <w:spacing w:before="0" w:after="0"/>
        <w:rPr/>
      </w:pPr>
      <w:r>
        <w:rPr/>
      </w:r>
    </w:p>
    <w:p>
      <w:pPr>
        <w:pStyle w:val="Normal"/>
        <w:spacing w:before="0" w:after="0"/>
        <w:rPr>
          <w:sz w:val="4"/>
          <w:szCs w:val="4"/>
        </w:rPr>
      </w:pPr>
      <w:r>
        <w:rPr>
          <w:sz w:val="4"/>
          <w:szCs w:val="4"/>
        </w:rPr>
      </w:r>
      <w:bookmarkStart w:id="332" w:name="z0c272ad4d3aa4143b4f1e5c00302c852"/>
      <w:bookmarkStart w:id="333" w:name="z0c272ad4d3aa4143b4f1e5c00302c852"/>
      <w:bookmarkEnd w:id="333"/>
    </w:p>
    <w:tbl>
      <w:tblPr>
        <w:tblW w:w="10205" w:type="dxa"/>
        <w:jc w:val="left"/>
        <w:tblInd w:w="0" w:type="dxa"/>
        <w:tblCellMar>
          <w:top w:w="0" w:type="dxa"/>
          <w:left w:w="0" w:type="dxa"/>
          <w:bottom w:w="0" w:type="dxa"/>
          <w:right w:w="0" w:type="dxa"/>
        </w:tblCellMar>
      </w:tblPr>
      <w:tblGrid>
        <w:gridCol w:w="6130"/>
        <w:gridCol w:w="60"/>
        <w:gridCol w:w="161"/>
        <w:gridCol w:w="784"/>
        <w:gridCol w:w="69"/>
        <w:gridCol w:w="69"/>
        <w:gridCol w:w="161"/>
        <w:gridCol w:w="786"/>
        <w:gridCol w:w="60"/>
        <w:gridCol w:w="60"/>
        <w:gridCol w:w="142"/>
        <w:gridCol w:w="691"/>
        <w:gridCol w:w="61"/>
        <w:gridCol w:w="61"/>
        <w:gridCol w:w="142"/>
        <w:gridCol w:w="693"/>
        <w:gridCol w:w="75"/>
      </w:tblGrid>
      <w:tr>
        <w:trPr/>
        <w:tc>
          <w:tcPr>
            <w:tcW w:w="6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0" w:type="dxa"/>
            <w:gridSpan w:val="6"/>
            <w:tcBorders>
              <w:bottom w:val="single" w:sz="12" w:space="0" w:color="000000"/>
            </w:tcBorders>
            <w:shd w:fill="auto" w:val="clear"/>
            <w:tcMar>
              <w:bottom w:w="28" w:type="dxa"/>
            </w:tcM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0" w:type="dxa"/>
            <w:gridSpan w:val="6"/>
            <w:tcBorders>
              <w:bottom w:val="single" w:sz="12" w:space="0" w:color="000000"/>
            </w:tcBorders>
            <w:shd w:fill="auto" w:val="clear"/>
            <w:tcMar>
              <w:bottom w:w="28" w:type="dxa"/>
            </w:tcM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75" w:type="dxa"/>
            <w:tcBorders/>
            <w:shd w:fill="auto" w:val="clear"/>
            <w:vAlign w:val="bottom"/>
          </w:tcPr>
          <w:p>
            <w:pPr>
              <w:pStyle w:val="TableContents"/>
              <w:spacing w:before="0" w:after="283"/>
              <w:rPr/>
            </w:pPr>
            <w:r>
              <w:rPr/>
              <w:t> </w:t>
            </w:r>
          </w:p>
        </w:tc>
      </w:tr>
      <w:tr>
        <w:trPr/>
        <w:tc>
          <w:tcPr>
            <w:tcW w:w="6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947"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3"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35"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75" w:type="dxa"/>
            <w:tcBorders/>
            <w:shd w:fill="auto" w:val="clear"/>
            <w:vAlign w:val="bottom"/>
          </w:tcPr>
          <w:p>
            <w:pPr>
              <w:pStyle w:val="TableContents"/>
              <w:spacing w:before="0" w:after="283"/>
              <w:rPr/>
            </w:pPr>
            <w:r>
              <w:rPr/>
              <w:t> </w:t>
            </w:r>
          </w:p>
        </w:tc>
      </w:tr>
      <w:tr>
        <w:trPr/>
        <w:tc>
          <w:tcPr>
            <w:tcW w:w="6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40" w:type="dxa"/>
            <w:gridSpan w:val="14"/>
            <w:tcBorders/>
            <w:shd w:fill="auto" w:val="clear"/>
            <w:vAlign w:val="bottom"/>
          </w:tcPr>
          <w:p>
            <w:pPr>
              <w:pStyle w:val="TableContents"/>
              <w:spacing w:before="0" w:after="0"/>
              <w:jc w:val="center"/>
              <w:rPr/>
            </w:pPr>
            <w:r>
              <w:rPr/>
              <w:t>(In thousands, except per share data)</w:t>
            </w:r>
          </w:p>
        </w:tc>
        <w:tc>
          <w:tcPr>
            <w:tcW w:w="75" w:type="dxa"/>
            <w:tcBorders/>
            <w:shd w:fill="auto" w:val="clear"/>
            <w:vAlign w:val="bottom"/>
          </w:tcPr>
          <w:p>
            <w:pPr>
              <w:pStyle w:val="TableContents"/>
              <w:spacing w:before="0" w:after="283"/>
              <w:rPr/>
            </w:pPr>
            <w:r>
              <w:rPr/>
              <w:t> </w:t>
            </w:r>
          </w:p>
        </w:tc>
      </w:tr>
      <w:tr>
        <w:trPr/>
        <w:tc>
          <w:tcPr>
            <w:tcW w:w="6130" w:type="dxa"/>
            <w:tcBorders/>
            <w:shd w:fill="CCEEFF" w:val="clear"/>
            <w:vAlign w:val="bottom"/>
          </w:tcPr>
          <w:p>
            <w:pPr>
              <w:pStyle w:val="TableContents"/>
              <w:spacing w:before="0" w:after="0"/>
              <w:ind w:left="144" w:right="0" w:hanging="144"/>
              <w:rPr/>
            </w:pPr>
            <w:r>
              <w:rPr/>
              <w:t>Net income</w:t>
            </w:r>
          </w:p>
        </w:tc>
        <w:tc>
          <w:tcPr>
            <w:tcW w:w="60"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0"/>
              <w:rPr/>
            </w:pPr>
            <w:r>
              <w:rPr/>
              <w:t>$</w:t>
            </w:r>
          </w:p>
        </w:tc>
        <w:tc>
          <w:tcPr>
            <w:tcW w:w="784" w:type="dxa"/>
            <w:tcBorders>
              <w:bottom w:val="double" w:sz="8" w:space="0" w:color="000000"/>
            </w:tcBorders>
            <w:shd w:fill="CCEEFF" w:val="clear"/>
            <w:tcMar>
              <w:bottom w:w="28" w:type="dxa"/>
            </w:tcMar>
            <w:vAlign w:val="bottom"/>
          </w:tcPr>
          <w:p>
            <w:pPr>
              <w:pStyle w:val="TableContents"/>
              <w:spacing w:before="0" w:after="0"/>
              <w:jc w:val="right"/>
              <w:rPr/>
            </w:pPr>
            <w:r>
              <w:rPr/>
              <w:t>10,730</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0"/>
              <w:rPr/>
            </w:pPr>
            <w:r>
              <w:rPr/>
              <w:t>$</w:t>
            </w:r>
          </w:p>
        </w:tc>
        <w:tc>
          <w:tcPr>
            <w:tcW w:w="786" w:type="dxa"/>
            <w:tcBorders>
              <w:bottom w:val="double" w:sz="8" w:space="0" w:color="000000"/>
            </w:tcBorders>
            <w:shd w:fill="CCEEFF" w:val="clear"/>
            <w:tcMar>
              <w:bottom w:w="28" w:type="dxa"/>
            </w:tcMar>
            <w:vAlign w:val="bottom"/>
          </w:tcPr>
          <w:p>
            <w:pPr>
              <w:pStyle w:val="TableContents"/>
              <w:spacing w:before="0" w:after="0"/>
              <w:jc w:val="right"/>
              <w:rPr/>
            </w:pPr>
            <w:r>
              <w:rPr/>
              <w:t>8,817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2" w:type="dxa"/>
            <w:tcBorders>
              <w:bottom w:val="double" w:sz="8" w:space="0" w:color="000000"/>
            </w:tcBorders>
            <w:shd w:fill="CCEEFF" w:val="clear"/>
            <w:tcMar>
              <w:bottom w:w="28" w:type="dxa"/>
            </w:tcMar>
            <w:vAlign w:val="bottom"/>
          </w:tcPr>
          <w:p>
            <w:pPr>
              <w:pStyle w:val="TableContents"/>
              <w:spacing w:before="0" w:after="0"/>
              <w:rPr/>
            </w:pPr>
            <w:r>
              <w:rPr/>
              <w:t>$</w:t>
            </w:r>
          </w:p>
        </w:tc>
        <w:tc>
          <w:tcPr>
            <w:tcW w:w="691" w:type="dxa"/>
            <w:tcBorders>
              <w:bottom w:val="double" w:sz="8" w:space="0" w:color="000000"/>
            </w:tcBorders>
            <w:shd w:fill="CCEEFF" w:val="clear"/>
            <w:tcMar>
              <w:bottom w:w="28" w:type="dxa"/>
            </w:tcMar>
            <w:vAlign w:val="bottom"/>
          </w:tcPr>
          <w:p>
            <w:pPr>
              <w:pStyle w:val="TableContents"/>
              <w:spacing w:before="0" w:after="0"/>
              <w:jc w:val="right"/>
              <w:rPr/>
            </w:pPr>
            <w:r>
              <w:rPr/>
              <w:t>20,111</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2" w:type="dxa"/>
            <w:tcBorders>
              <w:bottom w:val="double" w:sz="8" w:space="0" w:color="000000"/>
            </w:tcBorders>
            <w:shd w:fill="CCEEFF" w:val="clear"/>
            <w:tcMar>
              <w:bottom w:w="28" w:type="dxa"/>
            </w:tcMar>
            <w:vAlign w:val="bottom"/>
          </w:tcPr>
          <w:p>
            <w:pPr>
              <w:pStyle w:val="TableContents"/>
              <w:spacing w:before="0" w:after="0"/>
              <w:rPr/>
            </w:pPr>
            <w:r>
              <w:rPr/>
              <w:t>$</w:t>
            </w:r>
          </w:p>
        </w:tc>
        <w:tc>
          <w:tcPr>
            <w:tcW w:w="693" w:type="dxa"/>
            <w:tcBorders>
              <w:bottom w:val="double" w:sz="8" w:space="0" w:color="000000"/>
            </w:tcBorders>
            <w:shd w:fill="CCEEFF" w:val="clear"/>
            <w:tcMar>
              <w:bottom w:w="28" w:type="dxa"/>
            </w:tcMar>
            <w:vAlign w:val="bottom"/>
          </w:tcPr>
          <w:p>
            <w:pPr>
              <w:pStyle w:val="TableContents"/>
              <w:spacing w:before="0" w:after="0"/>
              <w:jc w:val="right"/>
              <w:rPr/>
            </w:pPr>
            <w:r>
              <w:rPr/>
              <w:t>17,978</w:t>
            </w:r>
          </w:p>
        </w:tc>
        <w:tc>
          <w:tcPr>
            <w:tcW w:w="75" w:type="dxa"/>
            <w:tcBorders/>
            <w:shd w:fill="CCEEFF" w:val="clear"/>
            <w:vAlign w:val="bottom"/>
          </w:tcPr>
          <w:p>
            <w:pPr>
              <w:pStyle w:val="TableContents"/>
              <w:spacing w:before="0" w:after="283"/>
              <w:rPr/>
            </w:pPr>
            <w:r>
              <w:rPr/>
              <w:t> </w:t>
            </w:r>
          </w:p>
        </w:tc>
      </w:tr>
      <w:tr>
        <w:trPr/>
        <w:tc>
          <w:tcPr>
            <w:tcW w:w="613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84" w:type="dxa"/>
            <w:tcBorders/>
            <w:shd w:fill="FFFFFF" w:val="clear"/>
            <w:vAlign w:val="bottom"/>
          </w:tcPr>
          <w:p>
            <w:pPr>
              <w:pStyle w:val="TableContents"/>
              <w:spacing w:before="0" w:after="283"/>
              <w:jc w:val="right"/>
              <w:rPr/>
            </w:pPr>
            <w:r>
              <w:rPr/>
              <w:t> </w:t>
            </w:r>
          </w:p>
        </w:tc>
        <w:tc>
          <w:tcPr>
            <w:tcW w:w="69" w:type="dxa"/>
            <w:tcBorders/>
            <w:shd w:fill="FFFFFF" w:val="clear"/>
            <w:vAlign w:val="bottom"/>
          </w:tcPr>
          <w:p>
            <w:pPr>
              <w:pStyle w:val="TableContents"/>
              <w:spacing w:before="0" w:after="283"/>
              <w:rPr/>
            </w:pPr>
            <w:r>
              <w:rPr/>
              <w:t> </w:t>
            </w:r>
          </w:p>
        </w:tc>
        <w:tc>
          <w:tcPr>
            <w:tcW w:w="69"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8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rPr/>
            </w:pPr>
            <w:r>
              <w:rPr/>
              <w:t> </w:t>
            </w:r>
          </w:p>
        </w:tc>
        <w:tc>
          <w:tcPr>
            <w:tcW w:w="693"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6130" w:type="dxa"/>
            <w:tcBorders/>
            <w:shd w:fill="CCEEFF" w:val="clear"/>
            <w:vAlign w:val="bottom"/>
          </w:tcPr>
          <w:p>
            <w:pPr>
              <w:pStyle w:val="TableContents"/>
              <w:spacing w:before="0" w:after="0"/>
              <w:ind w:left="144" w:right="0" w:hanging="144"/>
              <w:rPr/>
            </w:pPr>
            <w:r>
              <w:rPr/>
              <w:t>Weighted average shares outstanding (1)</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0"/>
              <w:jc w:val="right"/>
              <w:rPr/>
            </w:pPr>
            <w:r>
              <w:rPr/>
              <w:t>23,036</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0"/>
              <w:jc w:val="right"/>
              <w:rPr/>
            </w:pPr>
            <w:r>
              <w:rPr/>
              <w:t>24,109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0"/>
              <w:jc w:val="right"/>
              <w:rPr/>
            </w:pPr>
            <w:r>
              <w:rPr/>
              <w:t>23,310</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0"/>
              <w:jc w:val="right"/>
              <w:rPr/>
            </w:pPr>
            <w:r>
              <w:rPr/>
              <w:t>22,745</w:t>
            </w:r>
          </w:p>
        </w:tc>
        <w:tc>
          <w:tcPr>
            <w:tcW w:w="75" w:type="dxa"/>
            <w:tcBorders/>
            <w:shd w:fill="CCEEFF" w:val="clear"/>
            <w:vAlign w:val="bottom"/>
          </w:tcPr>
          <w:p>
            <w:pPr>
              <w:pStyle w:val="TableContents"/>
              <w:spacing w:before="0" w:after="283"/>
              <w:rPr/>
            </w:pPr>
            <w:r>
              <w:rPr/>
              <w:t> </w:t>
            </w:r>
          </w:p>
        </w:tc>
      </w:tr>
      <w:tr>
        <w:trPr/>
        <w:tc>
          <w:tcPr>
            <w:tcW w:w="6130" w:type="dxa"/>
            <w:tcBorders/>
            <w:shd w:fill="FFFFFF" w:val="clear"/>
            <w:vAlign w:val="bottom"/>
          </w:tcPr>
          <w:p>
            <w:pPr>
              <w:pStyle w:val="TableContents"/>
              <w:spacing w:before="0" w:after="0"/>
              <w:ind w:left="360" w:right="0" w:hanging="180"/>
              <w:rPr/>
            </w:pPr>
            <w:r>
              <w:rPr/>
              <w:t>Stock units for deferred compensation plan for non-employee directors</w:t>
            </w:r>
          </w:p>
        </w:tc>
        <w:tc>
          <w:tcPr>
            <w:tcW w:w="6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84" w:type="dxa"/>
            <w:tcBorders/>
            <w:shd w:fill="FFFFFF" w:val="clear"/>
            <w:vAlign w:val="bottom"/>
          </w:tcPr>
          <w:p>
            <w:pPr>
              <w:pStyle w:val="TableContents"/>
              <w:spacing w:before="0" w:after="0"/>
              <w:jc w:val="right"/>
              <w:rPr/>
            </w:pPr>
            <w:r>
              <w:rPr/>
              <w:t>128</w:t>
            </w:r>
          </w:p>
        </w:tc>
        <w:tc>
          <w:tcPr>
            <w:tcW w:w="69" w:type="dxa"/>
            <w:tcBorders/>
            <w:shd w:fill="FFFFFF" w:val="clear"/>
            <w:vAlign w:val="bottom"/>
          </w:tcPr>
          <w:p>
            <w:pPr>
              <w:pStyle w:val="TableContents"/>
              <w:spacing w:before="0" w:after="283"/>
              <w:rPr/>
            </w:pPr>
            <w:r>
              <w:rPr/>
              <w:t> </w:t>
            </w:r>
          </w:p>
        </w:tc>
        <w:tc>
          <w:tcPr>
            <w:tcW w:w="69"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86" w:type="dxa"/>
            <w:tcBorders/>
            <w:shd w:fill="FFFFFF" w:val="clear"/>
            <w:vAlign w:val="bottom"/>
          </w:tcPr>
          <w:p>
            <w:pPr>
              <w:pStyle w:val="TableContents"/>
              <w:spacing w:before="0" w:after="0"/>
              <w:jc w:val="right"/>
              <w:rPr/>
            </w:pPr>
            <w:r>
              <w:rPr/>
              <w:t>126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0"/>
              <w:jc w:val="right"/>
              <w:rPr/>
            </w:pPr>
            <w:r>
              <w:rPr/>
              <w:t>130</w:t>
            </w:r>
          </w:p>
        </w:tc>
        <w:tc>
          <w:tcPr>
            <w:tcW w:w="61"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rPr/>
            </w:pPr>
            <w:r>
              <w:rPr/>
              <w:t> </w:t>
            </w:r>
          </w:p>
        </w:tc>
        <w:tc>
          <w:tcPr>
            <w:tcW w:w="693" w:type="dxa"/>
            <w:tcBorders/>
            <w:shd w:fill="FFFFFF" w:val="clear"/>
            <w:vAlign w:val="bottom"/>
          </w:tcPr>
          <w:p>
            <w:pPr>
              <w:pStyle w:val="TableContents"/>
              <w:spacing w:before="0" w:after="0"/>
              <w:jc w:val="right"/>
              <w:rPr/>
            </w:pPr>
            <w:r>
              <w:rPr/>
              <w:t>125</w:t>
            </w:r>
          </w:p>
        </w:tc>
        <w:tc>
          <w:tcPr>
            <w:tcW w:w="75" w:type="dxa"/>
            <w:tcBorders/>
            <w:shd w:fill="FFFFFF" w:val="clear"/>
            <w:vAlign w:val="bottom"/>
          </w:tcPr>
          <w:p>
            <w:pPr>
              <w:pStyle w:val="TableContents"/>
              <w:spacing w:before="0" w:after="283"/>
              <w:rPr/>
            </w:pPr>
            <w:r>
              <w:rPr/>
              <w:t> </w:t>
            </w:r>
          </w:p>
        </w:tc>
      </w:tr>
      <w:tr>
        <w:trPr/>
        <w:tc>
          <w:tcPr>
            <w:tcW w:w="6130" w:type="dxa"/>
            <w:tcBorders/>
            <w:shd w:fill="CCEEFF" w:val="clear"/>
            <w:vAlign w:val="bottom"/>
          </w:tcPr>
          <w:p>
            <w:pPr>
              <w:pStyle w:val="TableContents"/>
              <w:spacing w:before="0" w:after="0"/>
              <w:ind w:left="324" w:right="0" w:hanging="144"/>
              <w:rPr/>
            </w:pPr>
            <w:r>
              <w:rPr/>
              <w:t>Effect of stock options</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0"/>
              <w:jc w:val="right"/>
              <w:rPr/>
            </w:pPr>
            <w:r>
              <w:rPr/>
              <w:t>112</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0"/>
              <w:jc w:val="right"/>
              <w:rPr/>
            </w:pPr>
            <w:r>
              <w:rPr/>
              <w:t>224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0"/>
              <w:jc w:val="right"/>
              <w:rPr/>
            </w:pPr>
            <w:r>
              <w:rPr/>
              <w:t>119</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0"/>
              <w:jc w:val="right"/>
              <w:rPr/>
            </w:pPr>
            <w:r>
              <w:rPr/>
              <w:t>179</w:t>
            </w:r>
          </w:p>
        </w:tc>
        <w:tc>
          <w:tcPr>
            <w:tcW w:w="75" w:type="dxa"/>
            <w:tcBorders/>
            <w:shd w:fill="CCEEFF" w:val="clear"/>
            <w:vAlign w:val="bottom"/>
          </w:tcPr>
          <w:p>
            <w:pPr>
              <w:pStyle w:val="TableContents"/>
              <w:spacing w:before="0" w:after="283"/>
              <w:rPr/>
            </w:pPr>
            <w:r>
              <w:rPr/>
              <w:t> </w:t>
            </w:r>
          </w:p>
        </w:tc>
      </w:tr>
      <w:tr>
        <w:trPr/>
        <w:tc>
          <w:tcPr>
            <w:tcW w:w="6130" w:type="dxa"/>
            <w:tcBorders/>
            <w:shd w:fill="FFFFFF" w:val="clear"/>
            <w:vAlign w:val="bottom"/>
          </w:tcPr>
          <w:p>
            <w:pPr>
              <w:pStyle w:val="TableContents"/>
              <w:spacing w:before="0" w:after="0"/>
              <w:ind w:left="324" w:right="0" w:hanging="144"/>
              <w:rPr/>
            </w:pPr>
            <w:r>
              <w:rPr/>
              <w:t>Performance share units</w:t>
            </w:r>
          </w:p>
        </w:tc>
        <w:tc>
          <w:tcPr>
            <w:tcW w:w="60" w:type="dxa"/>
            <w:tcBorders/>
            <w:shd w:fill="FFFFFF" w:val="clear"/>
            <w:vAlign w:val="bottom"/>
          </w:tcPr>
          <w:p>
            <w:pPr>
              <w:pStyle w:val="TableContents"/>
              <w:spacing w:before="0" w:after="283"/>
              <w:rPr/>
            </w:pPr>
            <w:r>
              <w:rPr/>
              <w:t> </w:t>
            </w:r>
          </w:p>
        </w:tc>
        <w:tc>
          <w:tcPr>
            <w:tcW w:w="16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84" w:type="dxa"/>
            <w:tcBorders>
              <w:bottom w:val="single" w:sz="12" w:space="0" w:color="000000"/>
            </w:tcBorders>
            <w:shd w:fill="FFFFFF" w:val="clear"/>
            <w:tcMar>
              <w:bottom w:w="28" w:type="dxa"/>
            </w:tcMar>
            <w:vAlign w:val="bottom"/>
          </w:tcPr>
          <w:p>
            <w:pPr>
              <w:pStyle w:val="TableContents"/>
              <w:spacing w:before="0" w:after="0"/>
              <w:jc w:val="right"/>
              <w:rPr/>
            </w:pPr>
            <w:r>
              <w:rPr/>
              <w:t>37</w:t>
            </w:r>
          </w:p>
        </w:tc>
        <w:tc>
          <w:tcPr>
            <w:tcW w:w="69" w:type="dxa"/>
            <w:tcBorders/>
            <w:shd w:fill="FFFFFF" w:val="clear"/>
            <w:vAlign w:val="bottom"/>
          </w:tcPr>
          <w:p>
            <w:pPr>
              <w:pStyle w:val="TableContents"/>
              <w:spacing w:before="0" w:after="283"/>
              <w:rPr/>
            </w:pPr>
            <w:r>
              <w:rPr/>
              <w:t> </w:t>
            </w:r>
          </w:p>
        </w:tc>
        <w:tc>
          <w:tcPr>
            <w:tcW w:w="69" w:type="dxa"/>
            <w:tcBorders/>
            <w:shd w:fill="FFFFFF" w:val="clear"/>
            <w:vAlign w:val="bottom"/>
          </w:tcPr>
          <w:p>
            <w:pPr>
              <w:pStyle w:val="TableContents"/>
              <w:spacing w:before="0" w:after="283"/>
              <w:rPr/>
            </w:pPr>
            <w:r>
              <w:rPr/>
              <w:t> </w:t>
            </w:r>
          </w:p>
        </w:tc>
        <w:tc>
          <w:tcPr>
            <w:tcW w:w="16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86" w:type="dxa"/>
            <w:tcBorders>
              <w:bottom w:val="single" w:sz="12" w:space="0" w:color="000000"/>
            </w:tcBorders>
            <w:shd w:fill="FFFFFF" w:val="clear"/>
            <w:tcMar>
              <w:bottom w:w="28" w:type="dxa"/>
            </w:tcMar>
            <w:vAlign w:val="bottom"/>
          </w:tcPr>
          <w:p>
            <w:pPr>
              <w:pStyle w:val="TableContents"/>
              <w:spacing w:before="0" w:after="0"/>
              <w:jc w:val="right"/>
              <w:rPr/>
            </w:pPr>
            <w:r>
              <w:rPr/>
              <w:t>51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91" w:type="dxa"/>
            <w:tcBorders>
              <w:bottom w:val="single" w:sz="12" w:space="0" w:color="000000"/>
            </w:tcBorders>
            <w:shd w:fill="FFFFFF" w:val="clear"/>
            <w:tcMar>
              <w:bottom w:w="28" w:type="dxa"/>
            </w:tcMar>
            <w:vAlign w:val="bottom"/>
          </w:tcPr>
          <w:p>
            <w:pPr>
              <w:pStyle w:val="TableContents"/>
              <w:spacing w:before="0" w:after="0"/>
              <w:jc w:val="right"/>
              <w:rPr/>
            </w:pPr>
            <w:r>
              <w:rPr/>
              <w:t>39</w:t>
            </w:r>
          </w:p>
        </w:tc>
        <w:tc>
          <w:tcPr>
            <w:tcW w:w="61"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93" w:type="dxa"/>
            <w:tcBorders>
              <w:bottom w:val="single" w:sz="12" w:space="0" w:color="000000"/>
            </w:tcBorders>
            <w:shd w:fill="FFFFFF" w:val="clear"/>
            <w:tcMar>
              <w:bottom w:w="28" w:type="dxa"/>
            </w:tcMar>
            <w:vAlign w:val="bottom"/>
          </w:tcPr>
          <w:p>
            <w:pPr>
              <w:pStyle w:val="TableContents"/>
              <w:spacing w:before="0" w:after="0"/>
              <w:jc w:val="right"/>
              <w:rPr/>
            </w:pPr>
            <w:r>
              <w:rPr/>
              <w:t>50</w:t>
            </w:r>
          </w:p>
        </w:tc>
        <w:tc>
          <w:tcPr>
            <w:tcW w:w="75" w:type="dxa"/>
            <w:tcBorders/>
            <w:shd w:fill="FFFFFF" w:val="clear"/>
            <w:vAlign w:val="bottom"/>
          </w:tcPr>
          <w:p>
            <w:pPr>
              <w:pStyle w:val="TableContents"/>
              <w:spacing w:before="0" w:after="283"/>
              <w:rPr/>
            </w:pPr>
            <w:r>
              <w:rPr/>
              <w:t> </w:t>
            </w:r>
          </w:p>
        </w:tc>
      </w:tr>
      <w:tr>
        <w:trPr/>
        <w:tc>
          <w:tcPr>
            <w:tcW w:w="6130" w:type="dxa"/>
            <w:tcBorders/>
            <w:shd w:fill="CCEEFF" w:val="clear"/>
            <w:vAlign w:val="bottom"/>
          </w:tcPr>
          <w:p>
            <w:pPr>
              <w:pStyle w:val="TableContents"/>
              <w:spacing w:before="0" w:after="0"/>
              <w:ind w:left="504" w:right="0" w:hanging="144"/>
              <w:rPr/>
            </w:pPr>
            <w:r>
              <w:rPr/>
              <w:t>Weighted average shares outstanding for calculation of diluted earnings per share</w:t>
            </w:r>
          </w:p>
        </w:tc>
        <w:tc>
          <w:tcPr>
            <w:tcW w:w="60"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283"/>
              <w:rPr/>
            </w:pPr>
            <w:r>
              <w:rPr/>
              <w:t> </w:t>
            </w:r>
          </w:p>
        </w:tc>
        <w:tc>
          <w:tcPr>
            <w:tcW w:w="784" w:type="dxa"/>
            <w:tcBorders>
              <w:bottom w:val="double" w:sz="8" w:space="0" w:color="000000"/>
            </w:tcBorders>
            <w:shd w:fill="CCEEFF" w:val="clear"/>
            <w:tcMar>
              <w:bottom w:w="28" w:type="dxa"/>
            </w:tcMar>
            <w:vAlign w:val="bottom"/>
          </w:tcPr>
          <w:p>
            <w:pPr>
              <w:pStyle w:val="TableContents"/>
              <w:spacing w:before="0" w:after="0"/>
              <w:jc w:val="right"/>
              <w:rPr/>
            </w:pPr>
            <w:r>
              <w:rPr/>
              <w:t>23,313</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283"/>
              <w:rPr/>
            </w:pPr>
            <w:r>
              <w:rPr/>
              <w:t> </w:t>
            </w:r>
          </w:p>
        </w:tc>
        <w:tc>
          <w:tcPr>
            <w:tcW w:w="786" w:type="dxa"/>
            <w:tcBorders>
              <w:bottom w:val="double" w:sz="8" w:space="0" w:color="000000"/>
            </w:tcBorders>
            <w:shd w:fill="CCEEFF" w:val="clear"/>
            <w:tcMar>
              <w:bottom w:w="28" w:type="dxa"/>
            </w:tcMar>
            <w:vAlign w:val="bottom"/>
          </w:tcPr>
          <w:p>
            <w:pPr>
              <w:pStyle w:val="TableContents"/>
              <w:spacing w:before="0" w:after="0"/>
              <w:jc w:val="right"/>
              <w:rPr/>
            </w:pPr>
            <w:r>
              <w:rPr/>
              <w:t>24,510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2" w:type="dxa"/>
            <w:tcBorders>
              <w:bottom w:val="double" w:sz="8" w:space="0" w:color="000000"/>
            </w:tcBorders>
            <w:shd w:fill="CCEEFF" w:val="clear"/>
            <w:tcMar>
              <w:bottom w:w="28" w:type="dxa"/>
            </w:tcMar>
            <w:vAlign w:val="bottom"/>
          </w:tcPr>
          <w:p>
            <w:pPr>
              <w:pStyle w:val="TableContents"/>
              <w:spacing w:before="0" w:after="283"/>
              <w:rPr/>
            </w:pPr>
            <w:r>
              <w:rPr/>
              <w:t> </w:t>
            </w:r>
          </w:p>
        </w:tc>
        <w:tc>
          <w:tcPr>
            <w:tcW w:w="691" w:type="dxa"/>
            <w:tcBorders>
              <w:bottom w:val="double" w:sz="8" w:space="0" w:color="000000"/>
            </w:tcBorders>
            <w:shd w:fill="CCEEFF" w:val="clear"/>
            <w:tcMar>
              <w:bottom w:w="28" w:type="dxa"/>
            </w:tcMar>
            <w:vAlign w:val="bottom"/>
          </w:tcPr>
          <w:p>
            <w:pPr>
              <w:pStyle w:val="TableContents"/>
              <w:spacing w:before="0" w:after="0"/>
              <w:jc w:val="right"/>
              <w:rPr/>
            </w:pPr>
            <w:r>
              <w:rPr/>
              <w:t>23,598</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2" w:type="dxa"/>
            <w:tcBorders>
              <w:bottom w:val="double" w:sz="8" w:space="0" w:color="000000"/>
            </w:tcBorders>
            <w:shd w:fill="CCEEFF" w:val="clear"/>
            <w:tcMar>
              <w:bottom w:w="28" w:type="dxa"/>
            </w:tcMar>
            <w:vAlign w:val="bottom"/>
          </w:tcPr>
          <w:p>
            <w:pPr>
              <w:pStyle w:val="TableContents"/>
              <w:spacing w:before="0" w:after="283"/>
              <w:rPr/>
            </w:pPr>
            <w:r>
              <w:rPr/>
              <w:t> </w:t>
            </w:r>
          </w:p>
        </w:tc>
        <w:tc>
          <w:tcPr>
            <w:tcW w:w="693" w:type="dxa"/>
            <w:tcBorders>
              <w:bottom w:val="double" w:sz="8" w:space="0" w:color="000000"/>
            </w:tcBorders>
            <w:shd w:fill="CCEEFF" w:val="clear"/>
            <w:tcMar>
              <w:bottom w:w="28" w:type="dxa"/>
            </w:tcMar>
            <w:vAlign w:val="bottom"/>
          </w:tcPr>
          <w:p>
            <w:pPr>
              <w:pStyle w:val="TableContents"/>
              <w:spacing w:before="0" w:after="0"/>
              <w:jc w:val="right"/>
              <w:rPr/>
            </w:pPr>
            <w:r>
              <w:rPr/>
              <w:t>23,099</w:t>
            </w:r>
          </w:p>
        </w:tc>
        <w:tc>
          <w:tcPr>
            <w:tcW w:w="75" w:type="dxa"/>
            <w:tcBorders/>
            <w:shd w:fill="CCEEFF" w:val="clear"/>
            <w:vAlign w:val="bottom"/>
          </w:tcPr>
          <w:p>
            <w:pPr>
              <w:pStyle w:val="TableContents"/>
              <w:spacing w:before="0" w:after="283"/>
              <w:rPr/>
            </w:pPr>
            <w:r>
              <w:rPr/>
              <w:t> </w:t>
            </w:r>
          </w:p>
        </w:tc>
      </w:tr>
      <w:tr>
        <w:trPr/>
        <w:tc>
          <w:tcPr>
            <w:tcW w:w="613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84" w:type="dxa"/>
            <w:tcBorders/>
            <w:shd w:fill="FFFFFF" w:val="clear"/>
            <w:vAlign w:val="bottom"/>
          </w:tcPr>
          <w:p>
            <w:pPr>
              <w:pStyle w:val="TableContents"/>
              <w:spacing w:before="0" w:after="283"/>
              <w:jc w:val="right"/>
              <w:rPr/>
            </w:pPr>
            <w:r>
              <w:rPr/>
              <w:t> </w:t>
            </w:r>
          </w:p>
        </w:tc>
        <w:tc>
          <w:tcPr>
            <w:tcW w:w="69" w:type="dxa"/>
            <w:tcBorders/>
            <w:shd w:fill="FFFFFF" w:val="clear"/>
            <w:vAlign w:val="bottom"/>
          </w:tcPr>
          <w:p>
            <w:pPr>
              <w:pStyle w:val="TableContents"/>
              <w:spacing w:before="0" w:after="283"/>
              <w:rPr/>
            </w:pPr>
            <w:r>
              <w:rPr/>
              <w:t> </w:t>
            </w:r>
          </w:p>
        </w:tc>
        <w:tc>
          <w:tcPr>
            <w:tcW w:w="69" w:type="dxa"/>
            <w:tcBorders/>
            <w:shd w:fill="FFFFFF" w:val="clear"/>
            <w:vAlign w:val="bottom"/>
          </w:tcPr>
          <w:p>
            <w:pPr>
              <w:pStyle w:val="TableContents"/>
              <w:spacing w:before="0" w:after="283"/>
              <w:rPr/>
            </w:pPr>
            <w:r>
              <w:rPr/>
              <w:t> </w:t>
            </w:r>
          </w:p>
        </w:tc>
        <w:tc>
          <w:tcPr>
            <w:tcW w:w="161" w:type="dxa"/>
            <w:tcBorders/>
            <w:shd w:fill="FFFFFF" w:val="clear"/>
            <w:vAlign w:val="bottom"/>
          </w:tcPr>
          <w:p>
            <w:pPr>
              <w:pStyle w:val="TableContents"/>
              <w:spacing w:before="0" w:after="283"/>
              <w:rPr/>
            </w:pPr>
            <w:r>
              <w:rPr/>
              <w:t> </w:t>
            </w:r>
          </w:p>
        </w:tc>
        <w:tc>
          <w:tcPr>
            <w:tcW w:w="78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pPr>
            <w:r>
              <w:rPr/>
              <w:t> </w:t>
            </w:r>
          </w:p>
        </w:tc>
        <w:tc>
          <w:tcPr>
            <w:tcW w:w="61"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rPr/>
            </w:pPr>
            <w:r>
              <w:rPr/>
              <w:t> </w:t>
            </w:r>
          </w:p>
        </w:tc>
        <w:tc>
          <w:tcPr>
            <w:tcW w:w="693"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6130" w:type="dxa"/>
            <w:tcBorders/>
            <w:shd w:fill="CCEEFF" w:val="clear"/>
            <w:vAlign w:val="bottom"/>
          </w:tcPr>
          <w:p>
            <w:pPr>
              <w:pStyle w:val="TableContents"/>
              <w:spacing w:before="0" w:after="0"/>
              <w:ind w:left="144" w:right="0" w:hanging="144"/>
              <w:rPr/>
            </w:pPr>
            <w:r>
              <w:rPr/>
              <w:t>Net income per common share</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6130" w:type="dxa"/>
            <w:tcBorders/>
            <w:shd w:fill="FFFFFF" w:val="clear"/>
            <w:vAlign w:val="bottom"/>
          </w:tcPr>
          <w:p>
            <w:pPr>
              <w:pStyle w:val="TableContents"/>
              <w:spacing w:before="0" w:after="0"/>
              <w:ind w:left="324" w:right="0" w:hanging="144"/>
              <w:rPr/>
            </w:pPr>
            <w:r>
              <w:rPr/>
              <w:t>Basic (1)</w:t>
            </w:r>
          </w:p>
        </w:tc>
        <w:tc>
          <w:tcPr>
            <w:tcW w:w="60" w:type="dxa"/>
            <w:tcBorders/>
            <w:shd w:fill="FFFFFF" w:val="clear"/>
            <w:vAlign w:val="bottom"/>
          </w:tcPr>
          <w:p>
            <w:pPr>
              <w:pStyle w:val="TableContents"/>
              <w:spacing w:before="0" w:after="283"/>
              <w:rPr/>
            </w:pPr>
            <w:r>
              <w:rPr/>
              <w:t> </w:t>
            </w:r>
          </w:p>
        </w:tc>
        <w:tc>
          <w:tcPr>
            <w:tcW w:w="161" w:type="dxa"/>
            <w:tcBorders>
              <w:bottom w:val="double" w:sz="8" w:space="0" w:color="000000"/>
            </w:tcBorders>
            <w:shd w:fill="FFFFFF" w:val="clear"/>
            <w:tcMar>
              <w:bottom w:w="28" w:type="dxa"/>
            </w:tcMar>
            <w:vAlign w:val="bottom"/>
          </w:tcPr>
          <w:p>
            <w:pPr>
              <w:pStyle w:val="TableContents"/>
              <w:spacing w:before="0" w:after="0"/>
              <w:rPr/>
            </w:pPr>
            <w:r>
              <w:rPr/>
              <w:t>$</w:t>
            </w:r>
          </w:p>
        </w:tc>
        <w:tc>
          <w:tcPr>
            <w:tcW w:w="784" w:type="dxa"/>
            <w:tcBorders>
              <w:bottom w:val="double" w:sz="8" w:space="0" w:color="000000"/>
            </w:tcBorders>
            <w:shd w:fill="FFFFFF" w:val="clear"/>
            <w:tcMar>
              <w:bottom w:w="28" w:type="dxa"/>
            </w:tcMar>
            <w:vAlign w:val="bottom"/>
          </w:tcPr>
          <w:p>
            <w:pPr>
              <w:pStyle w:val="TableContents"/>
              <w:spacing w:before="0" w:after="0"/>
              <w:jc w:val="right"/>
              <w:rPr/>
            </w:pPr>
            <w:r>
              <w:rPr/>
              <w:t>0.47</w:t>
            </w:r>
          </w:p>
        </w:tc>
        <w:tc>
          <w:tcPr>
            <w:tcW w:w="69" w:type="dxa"/>
            <w:tcBorders/>
            <w:shd w:fill="FFFFFF" w:val="clear"/>
            <w:vAlign w:val="bottom"/>
          </w:tcPr>
          <w:p>
            <w:pPr>
              <w:pStyle w:val="TableContents"/>
              <w:spacing w:before="0" w:after="283"/>
              <w:rPr/>
            </w:pPr>
            <w:r>
              <w:rPr/>
              <w:t> </w:t>
            </w:r>
          </w:p>
        </w:tc>
        <w:tc>
          <w:tcPr>
            <w:tcW w:w="69" w:type="dxa"/>
            <w:tcBorders/>
            <w:shd w:fill="FFFFFF" w:val="clear"/>
            <w:vAlign w:val="bottom"/>
          </w:tcPr>
          <w:p>
            <w:pPr>
              <w:pStyle w:val="TableContents"/>
              <w:spacing w:before="0" w:after="283"/>
              <w:rPr/>
            </w:pPr>
            <w:r>
              <w:rPr/>
              <w:t> </w:t>
            </w:r>
          </w:p>
        </w:tc>
        <w:tc>
          <w:tcPr>
            <w:tcW w:w="161" w:type="dxa"/>
            <w:tcBorders>
              <w:bottom w:val="double" w:sz="8" w:space="0" w:color="000000"/>
            </w:tcBorders>
            <w:shd w:fill="FFFFFF" w:val="clear"/>
            <w:tcMar>
              <w:bottom w:w="28" w:type="dxa"/>
            </w:tcMar>
            <w:vAlign w:val="bottom"/>
          </w:tcPr>
          <w:p>
            <w:pPr>
              <w:pStyle w:val="TableContents"/>
              <w:spacing w:before="0" w:after="0"/>
              <w:rPr/>
            </w:pPr>
            <w:r>
              <w:rPr/>
              <w:t>$</w:t>
            </w:r>
          </w:p>
        </w:tc>
        <w:tc>
          <w:tcPr>
            <w:tcW w:w="786" w:type="dxa"/>
            <w:tcBorders>
              <w:bottom w:val="double" w:sz="8" w:space="0" w:color="000000"/>
            </w:tcBorders>
            <w:shd w:fill="FFFFFF" w:val="clear"/>
            <w:tcMar>
              <w:bottom w:w="28" w:type="dxa"/>
            </w:tcMar>
            <w:vAlign w:val="bottom"/>
          </w:tcPr>
          <w:p>
            <w:pPr>
              <w:pStyle w:val="TableContents"/>
              <w:spacing w:before="0" w:after="0"/>
              <w:jc w:val="right"/>
              <w:rPr/>
            </w:pPr>
            <w:r>
              <w:rPr/>
              <w:t>0.37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2" w:type="dxa"/>
            <w:tcBorders>
              <w:bottom w:val="double" w:sz="8" w:space="0" w:color="000000"/>
            </w:tcBorders>
            <w:shd w:fill="FFFFFF" w:val="clear"/>
            <w:tcMar>
              <w:bottom w:w="28" w:type="dxa"/>
            </w:tcMar>
            <w:vAlign w:val="bottom"/>
          </w:tcPr>
          <w:p>
            <w:pPr>
              <w:pStyle w:val="TableContents"/>
              <w:spacing w:before="0" w:after="0"/>
              <w:rPr/>
            </w:pPr>
            <w:r>
              <w:rPr/>
              <w:t>$</w:t>
            </w:r>
          </w:p>
        </w:tc>
        <w:tc>
          <w:tcPr>
            <w:tcW w:w="691" w:type="dxa"/>
            <w:tcBorders>
              <w:bottom w:val="double" w:sz="8" w:space="0" w:color="000000"/>
            </w:tcBorders>
            <w:shd w:fill="FFFFFF" w:val="clear"/>
            <w:tcMar>
              <w:bottom w:w="28" w:type="dxa"/>
            </w:tcMar>
            <w:vAlign w:val="bottom"/>
          </w:tcPr>
          <w:p>
            <w:pPr>
              <w:pStyle w:val="TableContents"/>
              <w:spacing w:before="0" w:after="0"/>
              <w:jc w:val="right"/>
              <w:rPr/>
            </w:pPr>
            <w:r>
              <w:rPr/>
              <w:t>0.86</w:t>
            </w:r>
          </w:p>
        </w:tc>
        <w:tc>
          <w:tcPr>
            <w:tcW w:w="61"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c>
          <w:tcPr>
            <w:tcW w:w="142" w:type="dxa"/>
            <w:tcBorders>
              <w:bottom w:val="double" w:sz="8" w:space="0" w:color="000000"/>
            </w:tcBorders>
            <w:shd w:fill="FFFFFF" w:val="clear"/>
            <w:tcMar>
              <w:bottom w:w="28" w:type="dxa"/>
            </w:tcMar>
            <w:vAlign w:val="bottom"/>
          </w:tcPr>
          <w:p>
            <w:pPr>
              <w:pStyle w:val="TableContents"/>
              <w:spacing w:before="0" w:after="0"/>
              <w:rPr/>
            </w:pPr>
            <w:r>
              <w:rPr/>
              <w:t>$</w:t>
            </w:r>
          </w:p>
        </w:tc>
        <w:tc>
          <w:tcPr>
            <w:tcW w:w="693" w:type="dxa"/>
            <w:tcBorders>
              <w:bottom w:val="double" w:sz="8" w:space="0" w:color="000000"/>
            </w:tcBorders>
            <w:shd w:fill="FFFFFF" w:val="clear"/>
            <w:tcMar>
              <w:bottom w:w="28" w:type="dxa"/>
            </w:tcMar>
            <w:vAlign w:val="bottom"/>
          </w:tcPr>
          <w:p>
            <w:pPr>
              <w:pStyle w:val="TableContents"/>
              <w:spacing w:before="0" w:after="0"/>
              <w:jc w:val="right"/>
              <w:rPr/>
            </w:pPr>
            <w:r>
              <w:rPr/>
              <w:t>0.79</w:t>
            </w:r>
          </w:p>
        </w:tc>
        <w:tc>
          <w:tcPr>
            <w:tcW w:w="75" w:type="dxa"/>
            <w:tcBorders/>
            <w:shd w:fill="FFFFFF" w:val="clear"/>
            <w:vAlign w:val="bottom"/>
          </w:tcPr>
          <w:p>
            <w:pPr>
              <w:pStyle w:val="TableContents"/>
              <w:spacing w:before="0" w:after="283"/>
              <w:rPr/>
            </w:pPr>
            <w:r>
              <w:rPr/>
              <w:t> </w:t>
            </w:r>
          </w:p>
        </w:tc>
      </w:tr>
      <w:tr>
        <w:trPr/>
        <w:tc>
          <w:tcPr>
            <w:tcW w:w="6130" w:type="dxa"/>
            <w:tcBorders/>
            <w:shd w:fill="CCEEFF" w:val="clear"/>
            <w:vAlign w:val="bottom"/>
          </w:tcPr>
          <w:p>
            <w:pPr>
              <w:pStyle w:val="TableContents"/>
              <w:spacing w:before="0" w:after="0"/>
              <w:ind w:left="324" w:right="0" w:hanging="144"/>
              <w:rPr/>
            </w:pPr>
            <w:r>
              <w:rPr/>
              <w:t>Diluted</w:t>
            </w:r>
          </w:p>
        </w:tc>
        <w:tc>
          <w:tcPr>
            <w:tcW w:w="60"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0"/>
              <w:rPr/>
            </w:pPr>
            <w:r>
              <w:rPr/>
              <w:t>$</w:t>
            </w:r>
          </w:p>
        </w:tc>
        <w:tc>
          <w:tcPr>
            <w:tcW w:w="784" w:type="dxa"/>
            <w:tcBorders>
              <w:bottom w:val="double" w:sz="8" w:space="0" w:color="000000"/>
            </w:tcBorders>
            <w:shd w:fill="CCEEFF" w:val="clear"/>
            <w:tcMar>
              <w:bottom w:w="28" w:type="dxa"/>
            </w:tcMar>
            <w:vAlign w:val="bottom"/>
          </w:tcPr>
          <w:p>
            <w:pPr>
              <w:pStyle w:val="TableContents"/>
              <w:spacing w:before="0" w:after="0"/>
              <w:jc w:val="right"/>
              <w:rPr/>
            </w:pPr>
            <w:r>
              <w:rPr/>
              <w:t>0.46</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0"/>
              <w:rPr/>
            </w:pPr>
            <w:r>
              <w:rPr/>
              <w:t>$</w:t>
            </w:r>
          </w:p>
        </w:tc>
        <w:tc>
          <w:tcPr>
            <w:tcW w:w="786" w:type="dxa"/>
            <w:tcBorders>
              <w:bottom w:val="double" w:sz="8" w:space="0" w:color="000000"/>
            </w:tcBorders>
            <w:shd w:fill="CCEEFF" w:val="clear"/>
            <w:tcMar>
              <w:bottom w:w="28" w:type="dxa"/>
            </w:tcMar>
            <w:vAlign w:val="bottom"/>
          </w:tcPr>
          <w:p>
            <w:pPr>
              <w:pStyle w:val="TableContents"/>
              <w:spacing w:before="0" w:after="0"/>
              <w:jc w:val="right"/>
              <w:rPr/>
            </w:pPr>
            <w:r>
              <w:rPr/>
              <w:t>0.36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2" w:type="dxa"/>
            <w:tcBorders>
              <w:bottom w:val="double" w:sz="8" w:space="0" w:color="000000"/>
            </w:tcBorders>
            <w:shd w:fill="CCEEFF" w:val="clear"/>
            <w:tcMar>
              <w:bottom w:w="28" w:type="dxa"/>
            </w:tcMar>
            <w:vAlign w:val="bottom"/>
          </w:tcPr>
          <w:p>
            <w:pPr>
              <w:pStyle w:val="TableContents"/>
              <w:spacing w:before="0" w:after="0"/>
              <w:rPr/>
            </w:pPr>
            <w:r>
              <w:rPr/>
              <w:t>$</w:t>
            </w:r>
          </w:p>
        </w:tc>
        <w:tc>
          <w:tcPr>
            <w:tcW w:w="691" w:type="dxa"/>
            <w:tcBorders>
              <w:bottom w:val="double" w:sz="8" w:space="0" w:color="000000"/>
            </w:tcBorders>
            <w:shd w:fill="CCEEFF" w:val="clear"/>
            <w:tcMar>
              <w:bottom w:w="28" w:type="dxa"/>
            </w:tcMar>
            <w:vAlign w:val="bottom"/>
          </w:tcPr>
          <w:p>
            <w:pPr>
              <w:pStyle w:val="TableContents"/>
              <w:spacing w:before="0" w:after="0"/>
              <w:jc w:val="right"/>
              <w:rPr/>
            </w:pPr>
            <w:r>
              <w:rPr/>
              <w:t>0.85</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2" w:type="dxa"/>
            <w:tcBorders>
              <w:bottom w:val="double" w:sz="8" w:space="0" w:color="000000"/>
            </w:tcBorders>
            <w:shd w:fill="CCEEFF" w:val="clear"/>
            <w:tcMar>
              <w:bottom w:w="28" w:type="dxa"/>
            </w:tcMar>
            <w:vAlign w:val="bottom"/>
          </w:tcPr>
          <w:p>
            <w:pPr>
              <w:pStyle w:val="TableContents"/>
              <w:spacing w:before="0" w:after="0"/>
              <w:rPr/>
            </w:pPr>
            <w:r>
              <w:rPr/>
              <w:t>$</w:t>
            </w:r>
          </w:p>
        </w:tc>
        <w:tc>
          <w:tcPr>
            <w:tcW w:w="693" w:type="dxa"/>
            <w:tcBorders>
              <w:bottom w:val="double" w:sz="8" w:space="0" w:color="000000"/>
            </w:tcBorders>
            <w:shd w:fill="CCEEFF" w:val="clear"/>
            <w:tcMar>
              <w:bottom w:w="28" w:type="dxa"/>
            </w:tcMar>
            <w:vAlign w:val="bottom"/>
          </w:tcPr>
          <w:p>
            <w:pPr>
              <w:pStyle w:val="TableContents"/>
              <w:spacing w:before="0" w:after="0"/>
              <w:jc w:val="right"/>
              <w:rPr/>
            </w:pPr>
            <w:r>
              <w:rPr/>
              <w:t>0.78</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lineRule="auto" w:line="240" w:before="0" w:after="0"/>
        <w:jc w:val="both"/>
        <w:rPr/>
      </w:pPr>
      <w:r>
        <w:rPr/>
        <w:t>(1)Basic net income per common share includes weighted average common shares outstanding during the period and participating share awards.</w:t>
      </w:r>
    </w:p>
    <w:p>
      <w:pPr>
        <w:pStyle w:val="TextBody"/>
        <w:spacing w:before="0" w:after="0"/>
        <w:rPr/>
      </w:pPr>
      <w:r>
        <w:rPr/>
        <w:t> </w:t>
      </w:r>
    </w:p>
    <w:p>
      <w:pPr>
        <w:pStyle w:val="TextBody"/>
        <w:spacing w:before="0" w:after="0"/>
        <w:jc w:val="both"/>
        <w:rPr/>
      </w:pPr>
      <w:r>
        <w:rPr/>
        <w:t>Weighted average stock options outstanding that were not considered in computing diluted net income per common share because they were anti-dilutive were zero for the three and six month periods ended June 30, 2019 and 2018, respectively.</w:t>
      </w:r>
    </w:p>
    <w:p>
      <w:pPr>
        <w:pStyle w:val="TextBody"/>
        <w:spacing w:before="0" w:after="0"/>
        <w:rPr/>
      </w:pPr>
      <w:r>
        <w:rPr/>
      </w:r>
    </w:p>
    <w:p>
      <w:pPr>
        <w:pStyle w:val="TextBody"/>
        <w:spacing w:before="0" w:after="0"/>
        <w:jc w:val="both"/>
        <w:rPr/>
      </w:pPr>
      <w:r>
        <w:rPr/>
        <w:t xml:space="preserve">6.    </w:t>
      </w:r>
      <w:r>
        <w:rPr>
          <w:u w:val="single"/>
        </w:rPr>
        <w:t>Derivative Financial Instruments</w:t>
      </w:r>
    </w:p>
    <w:p>
      <w:pPr>
        <w:pStyle w:val="TextBody"/>
        <w:spacing w:before="0" w:after="0"/>
        <w:rPr/>
      </w:pPr>
      <w:r>
        <w:rPr/>
        <w:t> </w:t>
      </w:r>
    </w:p>
    <w:p>
      <w:pPr>
        <w:pStyle w:val="TextBody"/>
        <w:spacing w:before="0" w:after="0"/>
        <w:jc w:val="both"/>
        <w:rPr/>
      </w:pPr>
      <w:r>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34" w:name="DSPFPageBreakArea31"/>
      <w:bookmarkStart w:id="335" w:name="DSPFPageBreakArea31"/>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336" w:name="DSPFPageNumber31"/>
      <w:bookmarkStart w:id="337" w:name="DSPFPageNumberArea30"/>
      <w:bookmarkEnd w:id="336"/>
      <w:bookmarkEnd w:id="337"/>
      <w:r>
        <w:rPr>
          <w:b w:val="false"/>
          <w:i w:val="false"/>
          <w:caps w:val="false"/>
          <w:smallCaps w:val="false"/>
          <w:sz w:val="13"/>
        </w:rPr>
        <w:t>32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38" w:name="DSPFPageBreak31"/>
      <w:bookmarkStart w:id="339" w:name="DSPFPageBreak31"/>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340" w:name="DSPFPageHeader30"/>
        <w:bookmarkEnd w:id="340"/>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t> </w:t>
      </w:r>
    </w:p>
    <w:p>
      <w:pPr>
        <w:pStyle w:val="TextBody"/>
        <w:spacing w:before="0" w:after="0"/>
        <w:jc w:val="both"/>
        <w:rPr/>
      </w:pPr>
      <w:r>
        <w:rPr/>
        <w:t>Our derivative financial instruments according to the type of hedge in which they are designated follows:</w:t>
      </w:r>
    </w:p>
    <w:p>
      <w:pPr>
        <w:pStyle w:val="TextBody"/>
        <w:spacing w:before="0" w:after="0"/>
        <w:jc w:val="both"/>
        <w:rPr/>
      </w:pPr>
      <w:r>
        <w:rPr/>
      </w:r>
    </w:p>
    <w:p>
      <w:pPr>
        <w:pStyle w:val="Normal"/>
        <w:spacing w:before="0" w:after="0"/>
        <w:rPr>
          <w:sz w:val="4"/>
          <w:szCs w:val="4"/>
        </w:rPr>
      </w:pPr>
      <w:r>
        <w:rPr>
          <w:sz w:val="4"/>
          <w:szCs w:val="4"/>
        </w:rPr>
      </w:r>
      <w:bookmarkStart w:id="341" w:name="z2d8cd99b377f4c4d802ec746cfe79107"/>
      <w:bookmarkStart w:id="342" w:name="z2d8cd99b377f4c4d802ec746cfe79107"/>
      <w:bookmarkEnd w:id="342"/>
    </w:p>
    <w:tbl>
      <w:tblPr>
        <w:tblW w:w="10205" w:type="dxa"/>
        <w:jc w:val="left"/>
        <w:tblInd w:w="0" w:type="dxa"/>
        <w:tblCellMar>
          <w:top w:w="0" w:type="dxa"/>
          <w:left w:w="0" w:type="dxa"/>
          <w:bottom w:w="0" w:type="dxa"/>
          <w:right w:w="0" w:type="dxa"/>
        </w:tblCellMar>
      </w:tblPr>
      <w:tblGrid>
        <w:gridCol w:w="6830"/>
        <w:gridCol w:w="60"/>
        <w:gridCol w:w="170"/>
        <w:gridCol w:w="995"/>
        <w:gridCol w:w="60"/>
        <w:gridCol w:w="60"/>
        <w:gridCol w:w="109"/>
        <w:gridCol w:w="721"/>
        <w:gridCol w:w="60"/>
        <w:gridCol w:w="60"/>
        <w:gridCol w:w="170"/>
        <w:gridCol w:w="785"/>
        <w:gridCol w:w="125"/>
      </w:tblGrid>
      <w:tr>
        <w:trPr/>
        <w:tc>
          <w:tcPr>
            <w:tcW w:w="68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90" w:type="dxa"/>
            <w:gridSpan w:val="10"/>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June 30, 2019</w:t>
            </w:r>
          </w:p>
        </w:tc>
        <w:tc>
          <w:tcPr>
            <w:tcW w:w="125" w:type="dxa"/>
            <w:tcBorders/>
            <w:shd w:fill="auto"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5" w:type="dxa"/>
            <w:gridSpan w:val="2"/>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Notional</w:t>
            </w:r>
          </w:p>
          <w:p>
            <w:pPr>
              <w:pStyle w:val="TableContents"/>
              <w:spacing w:before="0" w:after="0"/>
              <w:jc w:val="center"/>
              <w:rPr>
                <w:color w:val="000000"/>
              </w:rPr>
            </w:pPr>
            <w:r>
              <w:rPr>
                <w:color w:val="000000"/>
              </w:rPr>
              <w:t>Amount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30" w:type="dxa"/>
            <w:gridSpan w:val="2"/>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Average</w:t>
            </w:r>
          </w:p>
          <w:p>
            <w:pPr>
              <w:pStyle w:val="TableContents"/>
              <w:spacing w:before="0" w:after="0"/>
              <w:jc w:val="center"/>
              <w:rPr>
                <w:color w:val="000000"/>
              </w:rPr>
            </w:pPr>
            <w:r>
              <w:rPr>
                <w:color w:val="000000"/>
              </w:rPr>
              <w:t>Maturity</w:t>
            </w:r>
          </w:p>
          <w:p>
            <w:pPr>
              <w:pStyle w:val="TableContents"/>
              <w:spacing w:before="0" w:after="0"/>
              <w:jc w:val="center"/>
              <w:rPr>
                <w:color w:val="000000"/>
              </w:rPr>
            </w:pPr>
            <w:r>
              <w:rPr>
                <w:color w:val="000000"/>
              </w:rPr>
              <w:t>(years)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55" w:type="dxa"/>
            <w:gridSpan w:val="2"/>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Fair</w:t>
            </w:r>
          </w:p>
          <w:p>
            <w:pPr>
              <w:pStyle w:val="TableContents"/>
              <w:spacing w:before="0" w:after="0"/>
              <w:jc w:val="center"/>
              <w:rPr>
                <w:color w:val="000000"/>
              </w:rPr>
            </w:pPr>
            <w:r>
              <w:rPr>
                <w:color w:val="000000"/>
              </w:rPr>
              <w:t>Value</w:t>
            </w:r>
          </w:p>
        </w:tc>
        <w:tc>
          <w:tcPr>
            <w:tcW w:w="125" w:type="dxa"/>
            <w:tcBorders/>
            <w:shd w:fill="auto"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90" w:type="dxa"/>
            <w:gridSpan w:val="10"/>
            <w:tcBorders/>
            <w:shd w:fill="auto" w:val="clear"/>
            <w:vAlign w:val="bottom"/>
          </w:tcPr>
          <w:p>
            <w:pPr>
              <w:pStyle w:val="TableContents"/>
              <w:spacing w:before="0" w:after="0"/>
              <w:jc w:val="center"/>
              <w:rPr>
                <w:rFonts w:ascii="quot" w:hAnsi="quot"/>
              </w:rPr>
            </w:pPr>
            <w:r>
              <w:rPr>
                <w:rFonts w:ascii="quot" w:hAnsi="quot"/>
              </w:rPr>
              <w:t>(Dollars in thousands)</w:t>
            </w:r>
          </w:p>
        </w:tc>
        <w:tc>
          <w:tcPr>
            <w:tcW w:w="125" w:type="dxa"/>
            <w:tcBorders/>
            <w:shd w:fill="auto" w:val="clear"/>
            <w:vAlign w:val="bottom"/>
          </w:tcPr>
          <w:p>
            <w:pPr>
              <w:pStyle w:val="TableContents"/>
              <w:spacing w:before="0" w:after="283"/>
              <w:rPr/>
            </w:pPr>
            <w:r>
              <w:rPr/>
              <w:t> </w:t>
            </w:r>
          </w:p>
        </w:tc>
      </w:tr>
      <w:tr>
        <w:trPr/>
        <w:tc>
          <w:tcPr>
            <w:tcW w:w="683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11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rPr>
                <w:rFonts w:ascii="quot" w:hAnsi="quot"/>
                <w:color w:val="000000"/>
              </w:rPr>
            </w:pPr>
            <w:r>
              <w:rPr>
                <w:rFonts w:ascii="quot" w:hAnsi="quot"/>
                <w:color w:val="000000"/>
              </w:rPr>
              <w:t>Fair value hedge designation - Pay-fixed interest rate swap agreements</w:t>
            </w:r>
          </w:p>
        </w:tc>
        <w:tc>
          <w:tcPr>
            <w:tcW w:w="60"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0"/>
              <w:rPr>
                <w:rFonts w:ascii="quot" w:hAnsi="quot"/>
              </w:rPr>
            </w:pPr>
            <w:r>
              <w:rPr>
                <w:rFonts w:ascii="quot" w:hAnsi="quot"/>
              </w:rPr>
              <w:t>$</w:t>
            </w:r>
          </w:p>
        </w:tc>
        <w:tc>
          <w:tcPr>
            <w:tcW w:w="995" w:type="dxa"/>
            <w:tcBorders>
              <w:bottom w:val="double" w:sz="8" w:space="0" w:color="000000"/>
            </w:tcBorders>
            <w:shd w:fill="CCEEFF" w:val="clear"/>
            <w:tcMar>
              <w:bottom w:w="28" w:type="dxa"/>
            </w:tcMar>
            <w:vAlign w:val="bottom"/>
          </w:tcPr>
          <w:p>
            <w:pPr>
              <w:pStyle w:val="TableContents"/>
              <w:spacing w:before="0" w:after="0"/>
              <w:jc w:val="right"/>
              <w:rPr>
                <w:rFonts w:ascii="quot" w:hAnsi="quot"/>
              </w:rPr>
            </w:pPr>
            <w:r>
              <w:rPr>
                <w:rFonts w:ascii="quot" w:hAnsi="quot"/>
              </w:rPr>
              <w:t>7,117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0"/>
              <w:rPr>
                <w:rFonts w:ascii="quot" w:hAnsi="quot"/>
              </w:rPr>
            </w:pPr>
            <w:r>
              <w:rPr>
                <w:rFonts w:ascii="quot" w:hAnsi="quot"/>
              </w:rPr>
              <w:t>$</w:t>
            </w:r>
          </w:p>
        </w:tc>
        <w:tc>
          <w:tcPr>
            <w:tcW w:w="785" w:type="dxa"/>
            <w:tcBorders>
              <w:bottom w:val="double" w:sz="8" w:space="0" w:color="000000"/>
            </w:tcBorders>
            <w:shd w:fill="CCEEFF" w:val="clear"/>
            <w:tcMar>
              <w:bottom w:w="28" w:type="dxa"/>
            </w:tcMar>
            <w:vAlign w:val="bottom"/>
          </w:tcPr>
          <w:p>
            <w:pPr>
              <w:pStyle w:val="TableContents"/>
              <w:spacing w:before="0" w:after="0"/>
              <w:jc w:val="right"/>
              <w:rPr>
                <w:rFonts w:ascii="quot" w:hAnsi="quot"/>
              </w:rPr>
            </w:pPr>
            <w:r>
              <w:rPr>
                <w:rFonts w:ascii="quot" w:hAnsi="quot"/>
              </w:rPr>
              <w:t>(203</w:t>
            </w:r>
          </w:p>
        </w:tc>
        <w:tc>
          <w:tcPr>
            <w:tcW w:w="125" w:type="dxa"/>
            <w:tcBorders/>
            <w:shd w:fill="CCEEFF" w:val="clear"/>
            <w:vAlign w:val="bottom"/>
          </w:tcPr>
          <w:p>
            <w:pPr>
              <w:pStyle w:val="TableContents"/>
              <w:spacing w:before="0" w:after="0"/>
              <w:rPr>
                <w:rFonts w:ascii="quot" w:hAnsi="quot"/>
              </w:rPr>
            </w:pPr>
            <w:r>
              <w:rPr>
                <w:rFonts w:ascii="quot" w:hAnsi="quot"/>
              </w:rPr>
              <w:t>)</w:t>
            </w:r>
          </w:p>
        </w:tc>
      </w:tr>
      <w:tr>
        <w:trPr/>
        <w:tc>
          <w:tcPr>
            <w:tcW w:w="683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78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rPr>
                <w:rFonts w:ascii="quot" w:hAnsi="quot"/>
                <w:color w:val="000000"/>
              </w:rPr>
            </w:pPr>
            <w:r>
              <w:rPr>
                <w:rFonts w:ascii="quot" w:hAnsi="quot"/>
                <w:color w:val="000000"/>
              </w:rPr>
              <w:t>Cash flow hedge designation</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0"/>
              <w:ind w:left="180" w:right="0" w:hanging="0"/>
              <w:rPr>
                <w:color w:val="000000"/>
              </w:rPr>
            </w:pPr>
            <w:r>
              <w:rPr>
                <w:color w:val="000000"/>
              </w:rPr>
              <w:t>Pay-fixed interest rate swap agreements</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0"/>
              <w:rPr>
                <w:rFonts w:ascii="quot" w:hAnsi="quot"/>
              </w:rPr>
            </w:pPr>
            <w:r>
              <w:rPr>
                <w:rFonts w:ascii="quot" w:hAnsi="quot"/>
              </w:rPr>
              <w:t>$</w:t>
            </w:r>
          </w:p>
        </w:tc>
        <w:tc>
          <w:tcPr>
            <w:tcW w:w="995" w:type="dxa"/>
            <w:tcBorders/>
            <w:shd w:fill="FFFFFF" w:val="clear"/>
            <w:vAlign w:val="bottom"/>
          </w:tcPr>
          <w:p>
            <w:pPr>
              <w:pStyle w:val="TableContents"/>
              <w:spacing w:before="0" w:after="0"/>
              <w:jc w:val="right"/>
              <w:rPr>
                <w:rFonts w:ascii="quot" w:hAnsi="quot"/>
              </w:rPr>
            </w:pPr>
            <w:r>
              <w:rPr>
                <w:rFonts w:ascii="quot" w:hAnsi="quot"/>
              </w:rPr>
              <w:t>25,000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rFonts w:ascii="quot" w:hAnsi="quot"/>
                <w:color w:val="000000"/>
              </w:rPr>
            </w:pPr>
            <w:r>
              <w:rPr>
                <w:rFonts w:ascii="quot" w:hAnsi="quot"/>
                <w:color w:val="000000"/>
              </w:rPr>
              <w:t>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0"/>
              <w:rPr>
                <w:rFonts w:ascii="quot" w:hAnsi="quot"/>
              </w:rPr>
            </w:pPr>
            <w:r>
              <w:rPr>
                <w:rFonts w:ascii="quot" w:hAnsi="quot"/>
              </w:rPr>
              <w:t>$</w:t>
            </w:r>
          </w:p>
        </w:tc>
        <w:tc>
          <w:tcPr>
            <w:tcW w:w="785" w:type="dxa"/>
            <w:tcBorders/>
            <w:shd w:fill="FFFFFF" w:val="clear"/>
            <w:vAlign w:val="bottom"/>
          </w:tcPr>
          <w:p>
            <w:pPr>
              <w:pStyle w:val="TableContents"/>
              <w:spacing w:before="0" w:after="0"/>
              <w:jc w:val="right"/>
              <w:rPr>
                <w:rFonts w:ascii="quot" w:hAnsi="quot"/>
              </w:rPr>
            </w:pPr>
            <w:r>
              <w:rPr>
                <w:rFonts w:ascii="quot" w:hAnsi="quot"/>
              </w:rPr>
              <w:t>(171</w:t>
            </w:r>
          </w:p>
        </w:tc>
        <w:tc>
          <w:tcPr>
            <w:tcW w:w="125" w:type="dxa"/>
            <w:tcBorders/>
            <w:shd w:fill="FFFFFF" w:val="clear"/>
            <w:vAlign w:val="bottom"/>
          </w:tcPr>
          <w:p>
            <w:pPr>
              <w:pStyle w:val="TableContents"/>
              <w:spacing w:before="0" w:after="0"/>
              <w:rPr>
                <w:rFonts w:ascii="quot" w:hAnsi="quot"/>
              </w:rPr>
            </w:pPr>
            <w:r>
              <w:rPr>
                <w:rFonts w:ascii="quot" w:hAnsi="quot"/>
              </w:rPr>
              <w:t>)</w:t>
            </w:r>
          </w:p>
        </w:tc>
      </w:tr>
      <w:tr>
        <w:trPr/>
        <w:tc>
          <w:tcPr>
            <w:tcW w:w="6830" w:type="dxa"/>
            <w:tcBorders/>
            <w:shd w:fill="CCEEFF" w:val="clear"/>
            <w:vAlign w:val="bottom"/>
          </w:tcPr>
          <w:p>
            <w:pPr>
              <w:pStyle w:val="TableContents"/>
              <w:spacing w:before="0" w:after="0"/>
              <w:ind w:left="180" w:right="0" w:hanging="0"/>
              <w:rPr>
                <w:color w:val="000000"/>
              </w:rPr>
            </w:pPr>
            <w:r>
              <w:rPr>
                <w:color w:val="000000"/>
              </w:rPr>
              <w:t>Interest rate cap agreements</w:t>
            </w:r>
          </w:p>
        </w:tc>
        <w:tc>
          <w:tcPr>
            <w:tcW w:w="60" w:type="dxa"/>
            <w:tcBorders/>
            <w:shd w:fill="CCEEFF" w:val="clear"/>
            <w:vAlign w:val="bottom"/>
          </w:tcPr>
          <w:p>
            <w:pPr>
              <w:pStyle w:val="TableContents"/>
              <w:spacing w:before="0" w:after="283"/>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95" w:type="dxa"/>
            <w:tcBorders>
              <w:bottom w:val="single" w:sz="12" w:space="0" w:color="000000"/>
            </w:tcBorders>
            <w:shd w:fill="CCEEFF" w:val="clear"/>
            <w:tcMar>
              <w:bottom w:w="28" w:type="dxa"/>
            </w:tcMar>
            <w:vAlign w:val="bottom"/>
          </w:tcPr>
          <w:p>
            <w:pPr>
              <w:pStyle w:val="TableContents"/>
              <w:spacing w:before="0" w:after="0"/>
              <w:jc w:val="right"/>
              <w:rPr>
                <w:rFonts w:ascii="quot" w:hAnsi="quot"/>
              </w:rPr>
            </w:pPr>
            <w:r>
              <w:rPr>
                <w:rFonts w:ascii="quot" w:hAnsi="quot"/>
              </w:rPr>
              <w:t>150,000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85" w:type="dxa"/>
            <w:tcBorders>
              <w:bottom w:val="single" w:sz="12" w:space="0" w:color="000000"/>
            </w:tcBorders>
            <w:shd w:fill="CCEEFF" w:val="clear"/>
            <w:tcMar>
              <w:bottom w:w="28" w:type="dxa"/>
            </w:tcMar>
            <w:vAlign w:val="bottom"/>
          </w:tcPr>
          <w:p>
            <w:pPr>
              <w:pStyle w:val="TableContents"/>
              <w:spacing w:before="0" w:after="0"/>
              <w:jc w:val="right"/>
              <w:rPr>
                <w:rFonts w:ascii="quot" w:hAnsi="quot"/>
              </w:rPr>
            </w:pPr>
            <w:r>
              <w:rPr>
                <w:rFonts w:ascii="quot" w:hAnsi="quot"/>
              </w:rPr>
              <w:t>576</w:t>
            </w:r>
          </w:p>
        </w:tc>
        <w:tc>
          <w:tcPr>
            <w:tcW w:w="125"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0"/>
              <w:ind w:left="360" w:right="0" w:hanging="0"/>
              <w:rPr>
                <w:color w:val="000000"/>
              </w:rPr>
            </w:pPr>
            <w:r>
              <w:rPr>
                <w:color w:val="000000"/>
              </w:rPr>
              <w:t>Total</w:t>
            </w:r>
          </w:p>
        </w:tc>
        <w:tc>
          <w:tcPr>
            <w:tcW w:w="60" w:type="dxa"/>
            <w:tcBorders/>
            <w:shd w:fill="FFFFFF" w:val="clear"/>
            <w:vAlign w:val="bottom"/>
          </w:tcPr>
          <w:p>
            <w:pPr>
              <w:pStyle w:val="TableContents"/>
              <w:spacing w:before="0" w:after="283"/>
              <w:rPr/>
            </w:pPr>
            <w:r>
              <w:rPr/>
              <w:t> </w:t>
            </w:r>
          </w:p>
        </w:tc>
        <w:tc>
          <w:tcPr>
            <w:tcW w:w="170" w:type="dxa"/>
            <w:tcBorders>
              <w:bottom w:val="double" w:sz="8" w:space="0" w:color="000000"/>
            </w:tcBorders>
            <w:shd w:fill="FFFFFF" w:val="clear"/>
            <w:tcMar>
              <w:bottom w:w="28" w:type="dxa"/>
            </w:tcMar>
            <w:vAlign w:val="bottom"/>
          </w:tcPr>
          <w:p>
            <w:pPr>
              <w:pStyle w:val="TableContents"/>
              <w:spacing w:before="0" w:after="0"/>
              <w:rPr>
                <w:rFonts w:ascii="quot" w:hAnsi="quot"/>
              </w:rPr>
            </w:pPr>
            <w:r>
              <w:rPr>
                <w:rFonts w:ascii="quot" w:hAnsi="quot"/>
              </w:rPr>
              <w:t>$</w:t>
            </w:r>
          </w:p>
        </w:tc>
        <w:tc>
          <w:tcPr>
            <w:tcW w:w="995" w:type="dxa"/>
            <w:tcBorders>
              <w:bottom w:val="double" w:sz="8" w:space="0" w:color="000000"/>
            </w:tcBorders>
            <w:shd w:fill="FFFFFF" w:val="clear"/>
            <w:tcMar>
              <w:bottom w:w="28" w:type="dxa"/>
            </w:tcMar>
            <w:vAlign w:val="bottom"/>
          </w:tcPr>
          <w:p>
            <w:pPr>
              <w:pStyle w:val="TableContents"/>
              <w:spacing w:before="0" w:after="0"/>
              <w:jc w:val="right"/>
              <w:rPr>
                <w:rFonts w:ascii="quot" w:hAnsi="quot"/>
              </w:rPr>
            </w:pPr>
            <w:r>
              <w:rPr>
                <w:rFonts w:ascii="quot" w:hAnsi="quot"/>
              </w:rPr>
              <w:t>175,000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rFonts w:ascii="quot" w:hAnsi="quot"/>
                <w:color w:val="000000"/>
              </w:rPr>
            </w:pPr>
            <w:r>
              <w:rPr>
                <w:rFonts w:ascii="quot" w:hAnsi="quot"/>
                <w:color w:val="000000"/>
              </w:rPr>
              <w:t>3.0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bottom w:val="double" w:sz="8" w:space="0" w:color="000000"/>
            </w:tcBorders>
            <w:shd w:fill="FFFFFF" w:val="clear"/>
            <w:tcMar>
              <w:bottom w:w="28" w:type="dxa"/>
            </w:tcMar>
            <w:vAlign w:val="bottom"/>
          </w:tcPr>
          <w:p>
            <w:pPr>
              <w:pStyle w:val="TableContents"/>
              <w:spacing w:before="0" w:after="0"/>
              <w:rPr>
                <w:rFonts w:ascii="quot" w:hAnsi="quot"/>
              </w:rPr>
            </w:pPr>
            <w:r>
              <w:rPr>
                <w:rFonts w:ascii="quot" w:hAnsi="quot"/>
              </w:rPr>
              <w:t>$</w:t>
            </w:r>
          </w:p>
        </w:tc>
        <w:tc>
          <w:tcPr>
            <w:tcW w:w="785" w:type="dxa"/>
            <w:tcBorders>
              <w:bottom w:val="double" w:sz="8" w:space="0" w:color="000000"/>
            </w:tcBorders>
            <w:shd w:fill="FFFFFF" w:val="clear"/>
            <w:tcMar>
              <w:bottom w:w="28" w:type="dxa"/>
            </w:tcMar>
            <w:vAlign w:val="bottom"/>
          </w:tcPr>
          <w:p>
            <w:pPr>
              <w:pStyle w:val="TableContents"/>
              <w:spacing w:before="0" w:after="0"/>
              <w:jc w:val="right"/>
              <w:rPr>
                <w:rFonts w:ascii="quot" w:hAnsi="quot"/>
              </w:rPr>
            </w:pPr>
            <w:r>
              <w:rPr>
                <w:rFonts w:ascii="quot" w:hAnsi="quot"/>
              </w:rPr>
              <w:t>405</w:t>
            </w:r>
          </w:p>
        </w:tc>
        <w:tc>
          <w:tcPr>
            <w:tcW w:w="125" w:type="dxa"/>
            <w:tcBorders/>
            <w:shd w:fill="FFFFFF"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0"/>
              <w:rPr>
                <w:rFonts w:ascii="quot" w:hAnsi="quot"/>
                <w:color w:val="000000"/>
              </w:rPr>
            </w:pPr>
            <w:r>
              <w:rPr>
                <w:rFonts w:ascii="quot" w:hAnsi="quot"/>
                <w:color w:val="000000"/>
              </w:rPr>
              <w:t>No hedge designation</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78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180" w:right="0" w:hanging="0"/>
              <w:rPr/>
            </w:pPr>
            <w:r>
              <w:rPr/>
              <w:t>Rate-lock mortgage loan commitments</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0"/>
              <w:rPr>
                <w:rFonts w:ascii="quot" w:hAnsi="quot"/>
                <w:color w:val="000000"/>
              </w:rPr>
            </w:pPr>
            <w:r>
              <w:rPr>
                <w:rFonts w:ascii="quot" w:hAnsi="quot"/>
                <w:color w:val="000000"/>
              </w:rPr>
              <w:t>$</w:t>
            </w:r>
          </w:p>
        </w:tc>
        <w:tc>
          <w:tcPr>
            <w:tcW w:w="995" w:type="dxa"/>
            <w:tcBorders/>
            <w:shd w:fill="CCEEFF" w:val="clear"/>
            <w:vAlign w:val="bottom"/>
          </w:tcPr>
          <w:p>
            <w:pPr>
              <w:pStyle w:val="TableContents"/>
              <w:spacing w:before="0" w:after="0"/>
              <w:jc w:val="right"/>
              <w:rPr>
                <w:rFonts w:ascii="quot" w:hAnsi="quot"/>
                <w:color w:val="000000"/>
              </w:rPr>
            </w:pPr>
            <w:r>
              <w:rPr>
                <w:rFonts w:ascii="quot" w:hAnsi="quot"/>
                <w:color w:val="000000"/>
              </w:rPr>
              <w:t>81,784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0.1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0"/>
              <w:rPr>
                <w:rFonts w:ascii="quot" w:hAnsi="quot"/>
                <w:color w:val="000000"/>
              </w:rPr>
            </w:pPr>
            <w:r>
              <w:rPr>
                <w:rFonts w:ascii="quot" w:hAnsi="quot"/>
                <w:color w:val="000000"/>
              </w:rPr>
              <w:t>$</w:t>
            </w:r>
          </w:p>
        </w:tc>
        <w:tc>
          <w:tcPr>
            <w:tcW w:w="785" w:type="dxa"/>
            <w:tcBorders/>
            <w:shd w:fill="CCEEFF" w:val="clear"/>
            <w:vAlign w:val="bottom"/>
          </w:tcPr>
          <w:p>
            <w:pPr>
              <w:pStyle w:val="TableContents"/>
              <w:spacing w:before="0" w:after="0"/>
              <w:jc w:val="right"/>
              <w:rPr>
                <w:rFonts w:ascii="quot" w:hAnsi="quot"/>
                <w:color w:val="000000"/>
              </w:rPr>
            </w:pPr>
            <w:r>
              <w:rPr>
                <w:rFonts w:ascii="quot" w:hAnsi="quot"/>
                <w:color w:val="000000"/>
              </w:rPr>
              <w:t>2,147</w:t>
            </w:r>
          </w:p>
        </w:tc>
        <w:tc>
          <w:tcPr>
            <w:tcW w:w="125"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0"/>
              <w:ind w:left="180" w:right="0" w:hanging="0"/>
              <w:rPr/>
            </w:pPr>
            <w:r>
              <w:rPr/>
              <w:t>Mandatory commitments to sell mortgage loans</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0"/>
              <w:jc w:val="right"/>
              <w:rPr>
                <w:rFonts w:ascii="quot" w:hAnsi="quot"/>
                <w:color w:val="000000"/>
              </w:rPr>
            </w:pPr>
            <w:r>
              <w:rPr>
                <w:rFonts w:ascii="quot" w:hAnsi="quot"/>
                <w:color w:val="000000"/>
              </w:rPr>
              <w:t>141,434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rFonts w:ascii="quot" w:hAnsi="quot"/>
                <w:color w:val="000000"/>
              </w:rPr>
            </w:pPr>
            <w:r>
              <w:rPr>
                <w:rFonts w:ascii="quot" w:hAnsi="quot"/>
                <w:color w:val="000000"/>
              </w:rPr>
              <w:t>0.1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785" w:type="dxa"/>
            <w:tcBorders/>
            <w:shd w:fill="FFFFFF" w:val="clear"/>
            <w:vAlign w:val="bottom"/>
          </w:tcPr>
          <w:p>
            <w:pPr>
              <w:pStyle w:val="TableContents"/>
              <w:spacing w:before="0" w:after="0"/>
              <w:jc w:val="right"/>
              <w:rPr>
                <w:rFonts w:ascii="quot" w:hAnsi="quot"/>
                <w:color w:val="000000"/>
              </w:rPr>
            </w:pPr>
            <w:r>
              <w:rPr>
                <w:rFonts w:ascii="quot" w:hAnsi="quot"/>
                <w:color w:val="000000"/>
              </w:rPr>
              <w:t>(334</w:t>
            </w:r>
          </w:p>
        </w:tc>
        <w:tc>
          <w:tcPr>
            <w:tcW w:w="125" w:type="dxa"/>
            <w:tcBorders/>
            <w:shd w:fill="FFFFFF" w:val="clear"/>
            <w:vAlign w:val="bottom"/>
          </w:tcPr>
          <w:p>
            <w:pPr>
              <w:pStyle w:val="TableContents"/>
              <w:spacing w:before="0" w:after="0"/>
              <w:rPr>
                <w:rFonts w:ascii="quot" w:hAnsi="quot"/>
                <w:color w:val="000000"/>
              </w:rPr>
            </w:pPr>
            <w:r>
              <w:rPr>
                <w:rFonts w:ascii="quot" w:hAnsi="quot"/>
                <w:color w:val="000000"/>
              </w:rPr>
              <w:t>)</w:t>
            </w:r>
          </w:p>
        </w:tc>
      </w:tr>
      <w:tr>
        <w:trPr/>
        <w:tc>
          <w:tcPr>
            <w:tcW w:w="6830" w:type="dxa"/>
            <w:tcBorders/>
            <w:shd w:fill="CCEEFF" w:val="clear"/>
            <w:vAlign w:val="bottom"/>
          </w:tcPr>
          <w:p>
            <w:pPr>
              <w:pStyle w:val="TableContents"/>
              <w:spacing w:before="0" w:after="0"/>
              <w:ind w:left="180" w:right="0" w:hanging="0"/>
              <w:rPr>
                <w:color w:val="000000"/>
              </w:rPr>
            </w:pPr>
            <w:r>
              <w:rPr>
                <w:color w:val="000000"/>
              </w:rPr>
              <w:t>Pay-fixed interest rate swap agreements - commercial</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0"/>
              <w:jc w:val="right"/>
              <w:rPr>
                <w:rFonts w:ascii="quot" w:hAnsi="quot"/>
                <w:color w:val="000000"/>
              </w:rPr>
            </w:pPr>
            <w:r>
              <w:rPr>
                <w:rFonts w:ascii="quot" w:hAnsi="quot"/>
                <w:color w:val="000000"/>
              </w:rPr>
              <w:t>108,895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0"/>
              <w:jc w:val="right"/>
              <w:rPr>
                <w:rFonts w:ascii="quot" w:hAnsi="quot"/>
                <w:color w:val="000000"/>
              </w:rPr>
            </w:pPr>
            <w:r>
              <w:rPr>
                <w:rFonts w:ascii="quot" w:hAnsi="quot"/>
                <w:color w:val="000000"/>
              </w:rPr>
              <w:t>(3,179</w:t>
            </w:r>
          </w:p>
        </w:tc>
        <w:tc>
          <w:tcPr>
            <w:tcW w:w="125" w:type="dxa"/>
            <w:tcBorders/>
            <w:shd w:fill="CCEEFF" w:val="clear"/>
            <w:vAlign w:val="bottom"/>
          </w:tcPr>
          <w:p>
            <w:pPr>
              <w:pStyle w:val="TableContents"/>
              <w:spacing w:before="0" w:after="0"/>
              <w:rPr>
                <w:rFonts w:ascii="quot" w:hAnsi="quot"/>
                <w:color w:val="000000"/>
              </w:rPr>
            </w:pPr>
            <w:r>
              <w:rPr>
                <w:rFonts w:ascii="quot" w:hAnsi="quot"/>
                <w:color w:val="000000"/>
              </w:rPr>
              <w:t>)</w:t>
            </w:r>
          </w:p>
        </w:tc>
      </w:tr>
      <w:tr>
        <w:trPr/>
        <w:tc>
          <w:tcPr>
            <w:tcW w:w="6830" w:type="dxa"/>
            <w:tcBorders/>
            <w:shd w:fill="FFFFFF" w:val="clear"/>
            <w:vAlign w:val="bottom"/>
          </w:tcPr>
          <w:p>
            <w:pPr>
              <w:pStyle w:val="TableContents"/>
              <w:spacing w:before="0" w:after="0"/>
              <w:ind w:left="180" w:right="0" w:hanging="0"/>
              <w:rPr>
                <w:color w:val="000000"/>
              </w:rPr>
            </w:pPr>
            <w:r>
              <w:rPr>
                <w:color w:val="000000"/>
              </w:rPr>
              <w:t>Pay-variable interest rate swap agreements - commercial</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0"/>
              <w:jc w:val="right"/>
              <w:rPr>
                <w:rFonts w:ascii="quot" w:hAnsi="quot"/>
                <w:color w:val="000000"/>
              </w:rPr>
            </w:pPr>
            <w:r>
              <w:rPr>
                <w:rFonts w:ascii="quot" w:hAnsi="quot"/>
                <w:color w:val="000000"/>
              </w:rPr>
              <w:t>108,895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rFonts w:ascii="quot" w:hAnsi="quot"/>
                <w:color w:val="000000"/>
              </w:rPr>
            </w:pPr>
            <w:r>
              <w:rPr>
                <w:rFonts w:ascii="quot" w:hAnsi="quot"/>
                <w:color w:val="000000"/>
              </w:rPr>
              <w:t>5.3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785" w:type="dxa"/>
            <w:tcBorders/>
            <w:shd w:fill="FFFFFF" w:val="clear"/>
            <w:vAlign w:val="bottom"/>
          </w:tcPr>
          <w:p>
            <w:pPr>
              <w:pStyle w:val="TableContents"/>
              <w:spacing w:before="0" w:after="0"/>
              <w:jc w:val="right"/>
              <w:rPr>
                <w:rFonts w:ascii="quot" w:hAnsi="quot"/>
                <w:color w:val="000000"/>
              </w:rPr>
            </w:pPr>
            <w:r>
              <w:rPr>
                <w:rFonts w:ascii="quot" w:hAnsi="quot"/>
                <w:color w:val="000000"/>
              </w:rPr>
              <w:t>3,179</w:t>
            </w:r>
          </w:p>
        </w:tc>
        <w:tc>
          <w:tcPr>
            <w:tcW w:w="125" w:type="dxa"/>
            <w:tcBorders/>
            <w:shd w:fill="FFFFFF" w:val="clear"/>
            <w:vAlign w:val="bottom"/>
          </w:tcPr>
          <w:p>
            <w:pPr>
              <w:pStyle w:val="TableContents"/>
              <w:spacing w:before="0" w:after="283"/>
              <w:rPr/>
            </w:pPr>
            <w:r>
              <w:rPr/>
              <w:t> </w:t>
            </w:r>
          </w:p>
        </w:tc>
      </w:tr>
      <w:tr>
        <w:trPr/>
        <w:tc>
          <w:tcPr>
            <w:tcW w:w="6830" w:type="dxa"/>
            <w:tcBorders/>
            <w:shd w:fill="CCEEFF" w:val="clear"/>
            <w:vAlign w:val="bottom"/>
          </w:tcPr>
          <w:p>
            <w:pPr>
              <w:pStyle w:val="TableContents"/>
              <w:spacing w:before="0" w:after="0"/>
              <w:ind w:left="180" w:right="0" w:hanging="0"/>
              <w:rPr>
                <w:color w:val="000000"/>
              </w:rPr>
            </w:pPr>
            <w:r>
              <w:rPr>
                <w:color w:val="000000"/>
              </w:rPr>
              <w:t>Purchased options</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0"/>
              <w:jc w:val="right"/>
              <w:rPr>
                <w:rFonts w:ascii="quot" w:hAnsi="quot"/>
                <w:color w:val="000000"/>
              </w:rPr>
            </w:pPr>
            <w:r>
              <w:rPr>
                <w:rFonts w:ascii="quot" w:hAnsi="quot"/>
                <w:color w:val="000000"/>
              </w:rPr>
              <w:t>3,095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0"/>
              <w:jc w:val="right"/>
              <w:rPr>
                <w:rFonts w:ascii="quot" w:hAnsi="quot"/>
                <w:color w:val="000000"/>
              </w:rPr>
            </w:pPr>
            <w:r>
              <w:rPr>
                <w:rFonts w:ascii="quot" w:hAnsi="quot"/>
                <w:color w:val="000000"/>
              </w:rPr>
              <w:t>171</w:t>
            </w:r>
          </w:p>
        </w:tc>
        <w:tc>
          <w:tcPr>
            <w:tcW w:w="125" w:type="dxa"/>
            <w:tcBorders/>
            <w:shd w:fill="CCEEFF" w:val="clear"/>
            <w:vAlign w:val="bottom"/>
          </w:tcPr>
          <w:p>
            <w:pPr>
              <w:pStyle w:val="TableContents"/>
              <w:spacing w:before="0" w:after="283"/>
              <w:rPr/>
            </w:pPr>
            <w:r>
              <w:rPr/>
              <w:t> </w:t>
            </w:r>
          </w:p>
        </w:tc>
      </w:tr>
      <w:tr>
        <w:trPr/>
        <w:tc>
          <w:tcPr>
            <w:tcW w:w="6830" w:type="dxa"/>
            <w:tcBorders/>
            <w:shd w:fill="FFFFFF" w:val="clear"/>
            <w:vAlign w:val="bottom"/>
          </w:tcPr>
          <w:p>
            <w:pPr>
              <w:pStyle w:val="TableContents"/>
              <w:spacing w:before="0" w:after="0"/>
              <w:ind w:left="180" w:right="0" w:hanging="0"/>
              <w:rPr>
                <w:color w:val="000000"/>
              </w:rPr>
            </w:pPr>
            <w:r>
              <w:rPr>
                <w:color w:val="000000"/>
              </w:rPr>
              <w:t>Written options</w:t>
            </w:r>
          </w:p>
        </w:tc>
        <w:tc>
          <w:tcPr>
            <w:tcW w:w="60" w:type="dxa"/>
            <w:tcBorders/>
            <w:shd w:fill="FFFFFF" w:val="clear"/>
            <w:vAlign w:val="bottom"/>
          </w:tcPr>
          <w:p>
            <w:pPr>
              <w:pStyle w:val="TableContents"/>
              <w:spacing w:before="0" w:after="283"/>
              <w:rPr/>
            </w:pPr>
            <w:r>
              <w:rPr/>
              <w:t> </w:t>
            </w:r>
          </w:p>
        </w:tc>
        <w:tc>
          <w:tcPr>
            <w:tcW w:w="17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95" w:type="dxa"/>
            <w:tcBorders>
              <w:bottom w:val="single" w:sz="12" w:space="0" w:color="000000"/>
            </w:tcBorders>
            <w:shd w:fill="FFFFFF" w:val="clear"/>
            <w:tcMar>
              <w:bottom w:w="28" w:type="dxa"/>
            </w:tcMar>
            <w:vAlign w:val="bottom"/>
          </w:tcPr>
          <w:p>
            <w:pPr>
              <w:pStyle w:val="TableContents"/>
              <w:spacing w:before="0" w:after="0"/>
              <w:jc w:val="right"/>
              <w:rPr>
                <w:rFonts w:ascii="quot" w:hAnsi="quot"/>
                <w:color w:val="000000"/>
              </w:rPr>
            </w:pPr>
            <w:r>
              <w:rPr>
                <w:rFonts w:ascii="quot" w:hAnsi="quot"/>
                <w:color w:val="000000"/>
              </w:rPr>
              <w:t>3,035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rFonts w:ascii="quot" w:hAnsi="quot"/>
                <w:color w:val="000000"/>
              </w:rPr>
            </w:pPr>
            <w:r>
              <w:rPr>
                <w:rFonts w:ascii="quot" w:hAnsi="quot"/>
                <w:color w:val="000000"/>
              </w:rPr>
              <w:t>2.0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85" w:type="dxa"/>
            <w:tcBorders>
              <w:bottom w:val="single" w:sz="12" w:space="0" w:color="000000"/>
            </w:tcBorders>
            <w:shd w:fill="FFFFFF" w:val="clear"/>
            <w:tcMar>
              <w:bottom w:w="28" w:type="dxa"/>
            </w:tcMar>
            <w:vAlign w:val="bottom"/>
          </w:tcPr>
          <w:p>
            <w:pPr>
              <w:pStyle w:val="TableContents"/>
              <w:spacing w:before="0" w:after="0"/>
              <w:jc w:val="right"/>
              <w:rPr>
                <w:rFonts w:ascii="quot" w:hAnsi="quot"/>
                <w:color w:val="000000"/>
              </w:rPr>
            </w:pPr>
            <w:r>
              <w:rPr>
                <w:rFonts w:ascii="quot" w:hAnsi="quot"/>
                <w:color w:val="000000"/>
              </w:rPr>
              <w:t>(170</w:t>
            </w:r>
          </w:p>
        </w:tc>
        <w:tc>
          <w:tcPr>
            <w:tcW w:w="125" w:type="dxa"/>
            <w:tcBorders/>
            <w:shd w:fill="FFFFFF" w:val="clear"/>
            <w:vAlign w:val="bottom"/>
          </w:tcPr>
          <w:p>
            <w:pPr>
              <w:pStyle w:val="TableContents"/>
              <w:spacing w:before="0" w:after="0"/>
              <w:rPr>
                <w:rFonts w:ascii="quot" w:hAnsi="quot"/>
                <w:color w:val="000000"/>
              </w:rPr>
            </w:pPr>
            <w:r>
              <w:rPr>
                <w:rFonts w:ascii="quot" w:hAnsi="quot"/>
                <w:color w:val="000000"/>
              </w:rPr>
              <w:t>)</w:t>
            </w:r>
          </w:p>
        </w:tc>
      </w:tr>
      <w:tr>
        <w:trPr/>
        <w:tc>
          <w:tcPr>
            <w:tcW w:w="6830" w:type="dxa"/>
            <w:tcBorders/>
            <w:shd w:fill="CCEEFF" w:val="clear"/>
            <w:vAlign w:val="bottom"/>
          </w:tcPr>
          <w:p>
            <w:pPr>
              <w:pStyle w:val="TableContents"/>
              <w:spacing w:before="0" w:after="0"/>
              <w:ind w:left="360" w:right="0" w:hanging="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0"/>
              <w:rPr>
                <w:rFonts w:ascii="quot" w:hAnsi="quot"/>
              </w:rPr>
            </w:pPr>
            <w:r>
              <w:rPr>
                <w:rFonts w:ascii="quot" w:hAnsi="quot"/>
              </w:rPr>
              <w:t>$</w:t>
            </w:r>
          </w:p>
        </w:tc>
        <w:tc>
          <w:tcPr>
            <w:tcW w:w="995" w:type="dxa"/>
            <w:tcBorders>
              <w:bottom w:val="double" w:sz="8" w:space="0" w:color="000000"/>
            </w:tcBorders>
            <w:shd w:fill="CCEEFF" w:val="clear"/>
            <w:tcMar>
              <w:bottom w:w="28" w:type="dxa"/>
            </w:tcMar>
            <w:vAlign w:val="bottom"/>
          </w:tcPr>
          <w:p>
            <w:pPr>
              <w:pStyle w:val="TableContents"/>
              <w:spacing w:before="0" w:after="0"/>
              <w:jc w:val="right"/>
              <w:rPr>
                <w:rFonts w:ascii="quot" w:hAnsi="quot"/>
              </w:rPr>
            </w:pPr>
            <w:r>
              <w:rPr>
                <w:rFonts w:ascii="quot" w:hAnsi="quot"/>
              </w:rPr>
              <w:t>447,138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0"/>
              <w:rPr>
                <w:rFonts w:ascii="quot" w:hAnsi="quot"/>
              </w:rPr>
            </w:pPr>
            <w:r>
              <w:rPr>
                <w:rFonts w:ascii="quot" w:hAnsi="quot"/>
              </w:rPr>
              <w:t>$</w:t>
            </w:r>
          </w:p>
        </w:tc>
        <w:tc>
          <w:tcPr>
            <w:tcW w:w="785" w:type="dxa"/>
            <w:tcBorders>
              <w:bottom w:val="double" w:sz="8" w:space="0" w:color="000000"/>
            </w:tcBorders>
            <w:shd w:fill="CCEEFF" w:val="clear"/>
            <w:tcMar>
              <w:bottom w:w="28" w:type="dxa"/>
            </w:tcMar>
            <w:vAlign w:val="bottom"/>
          </w:tcPr>
          <w:p>
            <w:pPr>
              <w:pStyle w:val="TableContents"/>
              <w:spacing w:before="0" w:after="0"/>
              <w:jc w:val="right"/>
              <w:rPr>
                <w:rFonts w:ascii="quot" w:hAnsi="quot"/>
              </w:rPr>
            </w:pPr>
            <w:r>
              <w:rPr>
                <w:rFonts w:ascii="quot" w:hAnsi="quot"/>
              </w:rPr>
              <w:t>1,814</w:t>
            </w:r>
          </w:p>
        </w:tc>
        <w:tc>
          <w:tcPr>
            <w:tcW w:w="125" w:type="dxa"/>
            <w:tcBorders/>
            <w:shd w:fill="CCEE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343" w:name="zb915f02a37fd4d4fa5f156af880ad31b"/>
      <w:bookmarkStart w:id="344" w:name="zb915f02a37fd4d4fa5f156af880ad31b"/>
      <w:bookmarkEnd w:id="344"/>
    </w:p>
    <w:tbl>
      <w:tblPr>
        <w:tblW w:w="8585" w:type="dxa"/>
        <w:jc w:val="left"/>
        <w:tblInd w:w="0" w:type="dxa"/>
        <w:tblCellMar>
          <w:top w:w="0" w:type="dxa"/>
          <w:left w:w="0" w:type="dxa"/>
          <w:bottom w:w="0" w:type="dxa"/>
          <w:right w:w="0" w:type="dxa"/>
        </w:tblCellMar>
      </w:tblPr>
      <w:tblGrid>
        <w:gridCol w:w="5315"/>
        <w:gridCol w:w="60"/>
        <w:gridCol w:w="170"/>
        <w:gridCol w:w="995"/>
        <w:gridCol w:w="60"/>
        <w:gridCol w:w="60"/>
        <w:gridCol w:w="109"/>
        <w:gridCol w:w="721"/>
        <w:gridCol w:w="60"/>
        <w:gridCol w:w="60"/>
        <w:gridCol w:w="170"/>
        <w:gridCol w:w="695"/>
        <w:gridCol w:w="110"/>
      </w:tblGrid>
      <w:tr>
        <w:trPr/>
        <w:tc>
          <w:tcPr>
            <w:tcW w:w="53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00" w:type="dxa"/>
            <w:gridSpan w:val="10"/>
            <w:tcBorders>
              <w:bottom w:val="single" w:sz="12" w:space="0" w:color="000000"/>
            </w:tcBorders>
            <w:shd w:fill="auto" w:val="clear"/>
            <w:tcMar>
              <w:bottom w:w="28" w:type="dxa"/>
            </w:tcMar>
            <w:vAlign w:val="bottom"/>
          </w:tcPr>
          <w:p>
            <w:pPr>
              <w:pStyle w:val="TableContents"/>
              <w:spacing w:before="0" w:after="0"/>
              <w:jc w:val="center"/>
              <w:rPr>
                <w:rFonts w:ascii="quot" w:hAnsi="quot"/>
                <w:color w:val="000000"/>
              </w:rPr>
            </w:pPr>
            <w:r>
              <w:rPr>
                <w:rFonts w:ascii="quot" w:hAnsi="quot"/>
                <w:color w:val="000000"/>
              </w:rPr>
              <w:t>December 31, 2018</w:t>
            </w:r>
          </w:p>
        </w:tc>
        <w:tc>
          <w:tcPr>
            <w:tcW w:w="110" w:type="dxa"/>
            <w:tcBorders/>
            <w:shd w:fill="auto" w:val="clear"/>
            <w:vAlign w:val="bottom"/>
          </w:tcPr>
          <w:p>
            <w:pPr>
              <w:pStyle w:val="TableContents"/>
              <w:spacing w:before="0" w:after="283"/>
              <w:rPr/>
            </w:pPr>
            <w:r>
              <w:rPr/>
              <w:t> </w:t>
            </w:r>
          </w:p>
        </w:tc>
      </w:tr>
      <w:tr>
        <w:trPr/>
        <w:tc>
          <w:tcPr>
            <w:tcW w:w="53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5" w:type="dxa"/>
            <w:gridSpan w:val="2"/>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Notional</w:t>
            </w:r>
          </w:p>
          <w:p>
            <w:pPr>
              <w:pStyle w:val="TableContents"/>
              <w:spacing w:before="0" w:after="0"/>
              <w:jc w:val="center"/>
              <w:rPr>
                <w:color w:val="000000"/>
              </w:rPr>
            </w:pPr>
            <w:r>
              <w:rPr>
                <w:color w:val="000000"/>
              </w:rPr>
              <w:t>Amount</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30" w:type="dxa"/>
            <w:gridSpan w:val="2"/>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Average</w:t>
            </w:r>
          </w:p>
          <w:p>
            <w:pPr>
              <w:pStyle w:val="TableContents"/>
              <w:spacing w:before="0" w:after="0"/>
              <w:jc w:val="center"/>
              <w:rPr>
                <w:color w:val="000000"/>
              </w:rPr>
            </w:pPr>
            <w:r>
              <w:rPr>
                <w:color w:val="000000"/>
              </w:rPr>
              <w:t>Maturity</w:t>
            </w:r>
          </w:p>
          <w:p>
            <w:pPr>
              <w:pStyle w:val="TableContents"/>
              <w:spacing w:before="0" w:after="0"/>
              <w:jc w:val="center"/>
              <w:rPr>
                <w:color w:val="000000"/>
              </w:rPr>
            </w:pPr>
            <w:r>
              <w:rPr>
                <w:color w:val="000000"/>
              </w:rPr>
              <w:t>(years)</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65" w:type="dxa"/>
            <w:gridSpan w:val="2"/>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Fair</w:t>
            </w:r>
          </w:p>
          <w:p>
            <w:pPr>
              <w:pStyle w:val="TableContents"/>
              <w:spacing w:before="0" w:after="0"/>
              <w:jc w:val="center"/>
              <w:rPr>
                <w:color w:val="000000"/>
              </w:rPr>
            </w:pPr>
            <w:r>
              <w:rPr>
                <w:color w:val="000000"/>
              </w:rPr>
              <w:t>Value</w:t>
            </w:r>
          </w:p>
        </w:tc>
        <w:tc>
          <w:tcPr>
            <w:tcW w:w="110" w:type="dxa"/>
            <w:tcBorders/>
            <w:shd w:fill="auto" w:val="clear"/>
            <w:vAlign w:val="bottom"/>
          </w:tcPr>
          <w:p>
            <w:pPr>
              <w:pStyle w:val="TableContents"/>
              <w:spacing w:before="0" w:after="283"/>
              <w:rPr/>
            </w:pPr>
            <w:r>
              <w:rPr/>
              <w:t> </w:t>
            </w:r>
          </w:p>
        </w:tc>
      </w:tr>
      <w:tr>
        <w:trPr/>
        <w:tc>
          <w:tcPr>
            <w:tcW w:w="53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100" w:type="dxa"/>
            <w:gridSpan w:val="10"/>
            <w:tcBorders/>
            <w:shd w:fill="auto" w:val="clear"/>
            <w:vAlign w:val="bottom"/>
          </w:tcPr>
          <w:p>
            <w:pPr>
              <w:pStyle w:val="TableContents"/>
              <w:spacing w:before="0" w:after="0"/>
              <w:jc w:val="center"/>
              <w:rPr>
                <w:rFonts w:ascii="quot" w:hAnsi="quot"/>
              </w:rPr>
            </w:pPr>
            <w:r>
              <w:rPr>
                <w:rFonts w:ascii="quot" w:hAnsi="quot"/>
              </w:rPr>
              <w:t>(Dollars in thousands)</w:t>
            </w:r>
          </w:p>
        </w:tc>
        <w:tc>
          <w:tcPr>
            <w:tcW w:w="110" w:type="dxa"/>
            <w:tcBorders/>
            <w:shd w:fill="auto" w:val="clear"/>
            <w:vAlign w:val="bottom"/>
          </w:tcPr>
          <w:p>
            <w:pPr>
              <w:pStyle w:val="TableContents"/>
              <w:spacing w:before="0" w:after="283"/>
              <w:rPr/>
            </w:pPr>
            <w:r>
              <w:rPr/>
              <w:t> </w:t>
            </w:r>
          </w:p>
        </w:tc>
      </w:tr>
      <w:tr>
        <w:trPr/>
        <w:tc>
          <w:tcPr>
            <w:tcW w:w="5315" w:type="dxa"/>
            <w:tcBorders/>
            <w:shd w:fill="auto" w:val="clear"/>
            <w:vAlign w:val="bottom"/>
          </w:tcPr>
          <w:p>
            <w:pPr>
              <w:pStyle w:val="TableContents"/>
              <w:spacing w:before="0" w:after="0"/>
              <w:rPr>
                <w:rFonts w:ascii="quot" w:hAnsi="quot"/>
                <w:color w:val="000000"/>
              </w:rPr>
            </w:pPr>
            <w:r>
              <w:rPr>
                <w:rFonts w:ascii="quot" w:hAnsi="quot"/>
                <w:color w:val="000000"/>
              </w:rPr>
              <w:t>Cash flow hedge designation</w:t>
            </w:r>
          </w:p>
        </w:tc>
        <w:tc>
          <w:tcPr>
            <w:tcW w:w="60" w:type="dxa"/>
            <w:tcBorders/>
            <w:shd w:fill="auto" w:val="clear"/>
            <w:vAlign w:val="bottom"/>
          </w:tcPr>
          <w:p>
            <w:pPr>
              <w:pStyle w:val="TableContents"/>
              <w:spacing w:before="0" w:after="283"/>
              <w:rPr/>
            </w:pPr>
            <w:r>
              <w:rPr/>
              <w:t> </w:t>
            </w:r>
          </w:p>
        </w:tc>
        <w:tc>
          <w:tcPr>
            <w:tcW w:w="116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5315" w:type="dxa"/>
            <w:tcBorders/>
            <w:shd w:fill="CCEEFF" w:val="clear"/>
            <w:vAlign w:val="bottom"/>
          </w:tcPr>
          <w:p>
            <w:pPr>
              <w:pStyle w:val="TableContents"/>
              <w:spacing w:before="0" w:after="0"/>
              <w:ind w:left="180" w:right="0" w:hanging="0"/>
              <w:rPr>
                <w:color w:val="000000"/>
              </w:rPr>
            </w:pPr>
            <w:r>
              <w:rPr>
                <w:color w:val="000000"/>
              </w:rPr>
              <w:t>Pay-fixed interest rate swap agreements</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0"/>
              <w:rPr>
                <w:rFonts w:ascii="quot" w:hAnsi="quot"/>
              </w:rPr>
            </w:pPr>
            <w:r>
              <w:rPr>
                <w:rFonts w:ascii="quot" w:hAnsi="quot"/>
              </w:rPr>
              <w:t>$</w:t>
            </w:r>
          </w:p>
        </w:tc>
        <w:tc>
          <w:tcPr>
            <w:tcW w:w="995" w:type="dxa"/>
            <w:tcBorders/>
            <w:shd w:fill="CCEEFF" w:val="clear"/>
            <w:vAlign w:val="bottom"/>
          </w:tcPr>
          <w:p>
            <w:pPr>
              <w:pStyle w:val="TableContents"/>
              <w:spacing w:before="0" w:after="0"/>
              <w:jc w:val="right"/>
              <w:rPr>
                <w:rFonts w:ascii="quot" w:hAnsi="quot"/>
              </w:rPr>
            </w:pPr>
            <w:r>
              <w:rPr>
                <w:rFonts w:ascii="quot" w:hAnsi="quot"/>
              </w:rPr>
              <w:t>25,000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0"/>
              <w:rPr>
                <w:rFonts w:ascii="quot" w:hAnsi="quot"/>
              </w:rPr>
            </w:pPr>
            <w:r>
              <w:rPr>
                <w:rFonts w:ascii="quot" w:hAnsi="quot"/>
              </w:rPr>
              <w:t>$</w:t>
            </w:r>
          </w:p>
        </w:tc>
        <w:tc>
          <w:tcPr>
            <w:tcW w:w="695" w:type="dxa"/>
            <w:tcBorders/>
            <w:shd w:fill="CCEEFF" w:val="clear"/>
            <w:vAlign w:val="bottom"/>
          </w:tcPr>
          <w:p>
            <w:pPr>
              <w:pStyle w:val="TableContents"/>
              <w:spacing w:before="0" w:after="0"/>
              <w:jc w:val="right"/>
              <w:rPr>
                <w:rFonts w:ascii="quot" w:hAnsi="quot"/>
              </w:rPr>
            </w:pPr>
            <w:r>
              <w:rPr>
                <w:rFonts w:ascii="quot" w:hAnsi="quot"/>
              </w:rPr>
              <w:t>280</w:t>
            </w:r>
          </w:p>
        </w:tc>
        <w:tc>
          <w:tcPr>
            <w:tcW w:w="110" w:type="dxa"/>
            <w:tcBorders/>
            <w:shd w:fill="CCEEFF" w:val="clear"/>
            <w:vAlign w:val="bottom"/>
          </w:tcPr>
          <w:p>
            <w:pPr>
              <w:pStyle w:val="TableContents"/>
              <w:spacing w:before="0" w:after="283"/>
              <w:rPr/>
            </w:pPr>
            <w:r>
              <w:rPr/>
              <w:t> </w:t>
            </w:r>
          </w:p>
        </w:tc>
      </w:tr>
      <w:tr>
        <w:trPr/>
        <w:tc>
          <w:tcPr>
            <w:tcW w:w="5315" w:type="dxa"/>
            <w:tcBorders/>
            <w:shd w:fill="FFFFFF" w:val="clear"/>
            <w:vAlign w:val="bottom"/>
          </w:tcPr>
          <w:p>
            <w:pPr>
              <w:pStyle w:val="TableContents"/>
              <w:spacing w:before="0" w:after="0"/>
              <w:ind w:left="180" w:right="0" w:hanging="0"/>
              <w:rPr>
                <w:color w:val="000000"/>
              </w:rPr>
            </w:pPr>
            <w:r>
              <w:rPr>
                <w:color w:val="000000"/>
              </w:rPr>
              <w:t>Interest rate cap agreements</w:t>
            </w:r>
          </w:p>
        </w:tc>
        <w:tc>
          <w:tcPr>
            <w:tcW w:w="60" w:type="dxa"/>
            <w:tcBorders/>
            <w:shd w:fill="FFFFFF" w:val="clear"/>
            <w:vAlign w:val="bottom"/>
          </w:tcPr>
          <w:p>
            <w:pPr>
              <w:pStyle w:val="TableContents"/>
              <w:spacing w:before="0" w:after="283"/>
              <w:rPr/>
            </w:pPr>
            <w:r>
              <w:rPr/>
              <w:t> </w:t>
            </w:r>
          </w:p>
        </w:tc>
        <w:tc>
          <w:tcPr>
            <w:tcW w:w="17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95" w:type="dxa"/>
            <w:tcBorders>
              <w:bottom w:val="single" w:sz="12" w:space="0" w:color="000000"/>
            </w:tcBorders>
            <w:shd w:fill="FFFFFF" w:val="clear"/>
            <w:tcMar>
              <w:bottom w:w="28" w:type="dxa"/>
            </w:tcMar>
            <w:vAlign w:val="bottom"/>
          </w:tcPr>
          <w:p>
            <w:pPr>
              <w:pStyle w:val="TableContents"/>
              <w:spacing w:before="0" w:after="0"/>
              <w:jc w:val="right"/>
              <w:rPr>
                <w:rFonts w:ascii="quot" w:hAnsi="quot"/>
              </w:rPr>
            </w:pPr>
            <w:r>
              <w:rPr>
                <w:rFonts w:ascii="quot" w:hAnsi="quot"/>
              </w:rPr>
              <w:t>150,000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rFonts w:ascii="quot" w:hAnsi="quot"/>
                <w:color w:val="000000"/>
              </w:rPr>
            </w:pPr>
            <w:r>
              <w:rPr>
                <w:rFonts w:ascii="quot" w:hAnsi="quot"/>
                <w:color w:val="000000"/>
              </w:rPr>
              <w:t>3.6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95" w:type="dxa"/>
            <w:tcBorders>
              <w:bottom w:val="single" w:sz="12" w:space="0" w:color="000000"/>
            </w:tcBorders>
            <w:shd w:fill="FFFFFF" w:val="clear"/>
            <w:tcMar>
              <w:bottom w:w="28" w:type="dxa"/>
            </w:tcMar>
            <w:vAlign w:val="bottom"/>
          </w:tcPr>
          <w:p>
            <w:pPr>
              <w:pStyle w:val="TableContents"/>
              <w:spacing w:before="0" w:after="0"/>
              <w:jc w:val="right"/>
              <w:rPr>
                <w:rFonts w:ascii="quot" w:hAnsi="quot"/>
              </w:rPr>
            </w:pPr>
            <w:r>
              <w:rPr>
                <w:rFonts w:ascii="quot" w:hAnsi="quot"/>
              </w:rPr>
              <w:t>2,245</w:t>
            </w:r>
          </w:p>
        </w:tc>
        <w:tc>
          <w:tcPr>
            <w:tcW w:w="110" w:type="dxa"/>
            <w:tcBorders/>
            <w:shd w:fill="FFFFFF" w:val="clear"/>
            <w:vAlign w:val="bottom"/>
          </w:tcPr>
          <w:p>
            <w:pPr>
              <w:pStyle w:val="TableContents"/>
              <w:spacing w:before="0" w:after="283"/>
              <w:rPr/>
            </w:pPr>
            <w:r>
              <w:rPr/>
              <w:t> </w:t>
            </w:r>
          </w:p>
        </w:tc>
      </w:tr>
      <w:tr>
        <w:trPr/>
        <w:tc>
          <w:tcPr>
            <w:tcW w:w="5315" w:type="dxa"/>
            <w:tcBorders/>
            <w:shd w:fill="CCEEFF" w:val="clear"/>
            <w:vAlign w:val="bottom"/>
          </w:tcPr>
          <w:p>
            <w:pPr>
              <w:pStyle w:val="TableContents"/>
              <w:spacing w:before="0" w:after="0"/>
              <w:ind w:left="360" w:right="0" w:hanging="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0"/>
              <w:rPr>
                <w:rFonts w:ascii="quot" w:hAnsi="quot"/>
              </w:rPr>
            </w:pPr>
            <w:r>
              <w:rPr>
                <w:rFonts w:ascii="quot" w:hAnsi="quot"/>
              </w:rPr>
              <w:t>$</w:t>
            </w:r>
          </w:p>
        </w:tc>
        <w:tc>
          <w:tcPr>
            <w:tcW w:w="995" w:type="dxa"/>
            <w:tcBorders>
              <w:bottom w:val="double" w:sz="8" w:space="0" w:color="000000"/>
            </w:tcBorders>
            <w:shd w:fill="CCEEFF" w:val="clear"/>
            <w:tcMar>
              <w:bottom w:w="28" w:type="dxa"/>
            </w:tcMar>
            <w:vAlign w:val="bottom"/>
          </w:tcPr>
          <w:p>
            <w:pPr>
              <w:pStyle w:val="TableContents"/>
              <w:spacing w:before="0" w:after="0"/>
              <w:jc w:val="right"/>
              <w:rPr>
                <w:rFonts w:ascii="quot" w:hAnsi="quot"/>
              </w:rPr>
            </w:pPr>
            <w:r>
              <w:rPr>
                <w:rFonts w:ascii="quot" w:hAnsi="quot"/>
              </w:rPr>
              <w:t>175,000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0"/>
              <w:rPr>
                <w:rFonts w:ascii="quot" w:hAnsi="quot"/>
              </w:rPr>
            </w:pPr>
            <w:r>
              <w:rPr>
                <w:rFonts w:ascii="quot" w:hAnsi="quot"/>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rFonts w:ascii="quot" w:hAnsi="quot"/>
              </w:rPr>
            </w:pPr>
            <w:r>
              <w:rPr>
                <w:rFonts w:ascii="quot" w:hAnsi="quot"/>
              </w:rPr>
              <w:t>2,525</w:t>
            </w:r>
          </w:p>
        </w:tc>
        <w:tc>
          <w:tcPr>
            <w:tcW w:w="110" w:type="dxa"/>
            <w:tcBorders/>
            <w:shd w:fill="CCEEFF" w:val="clear"/>
            <w:vAlign w:val="bottom"/>
          </w:tcPr>
          <w:p>
            <w:pPr>
              <w:pStyle w:val="TableContents"/>
              <w:spacing w:before="0" w:after="283"/>
              <w:rPr/>
            </w:pPr>
            <w:r>
              <w:rPr/>
              <w:t> </w:t>
            </w:r>
          </w:p>
        </w:tc>
      </w:tr>
      <w:tr>
        <w:trPr/>
        <w:tc>
          <w:tcPr>
            <w:tcW w:w="53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95"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5315" w:type="dxa"/>
            <w:tcBorders/>
            <w:shd w:fill="CCEEFF" w:val="clear"/>
            <w:vAlign w:val="bottom"/>
          </w:tcPr>
          <w:p>
            <w:pPr>
              <w:pStyle w:val="TableContents"/>
              <w:spacing w:before="0" w:after="0"/>
              <w:rPr>
                <w:rFonts w:ascii="quot" w:hAnsi="quot"/>
                <w:color w:val="000000"/>
              </w:rPr>
            </w:pPr>
            <w:r>
              <w:rPr>
                <w:rFonts w:ascii="quot" w:hAnsi="quot"/>
                <w:color w:val="000000"/>
              </w:rPr>
              <w:t>No hedge designation</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5315" w:type="dxa"/>
            <w:tcBorders/>
            <w:shd w:fill="FFFFFF" w:val="clear"/>
            <w:vAlign w:val="bottom"/>
          </w:tcPr>
          <w:p>
            <w:pPr>
              <w:pStyle w:val="TableContents"/>
              <w:spacing w:before="0" w:after="0"/>
              <w:ind w:left="180" w:right="0" w:hanging="0"/>
              <w:rPr/>
            </w:pPr>
            <w:r>
              <w:rPr/>
              <w:t>Rate-lock mortgage loan commitments</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0"/>
              <w:rPr>
                <w:rFonts w:ascii="quot" w:hAnsi="quot"/>
                <w:color w:val="000000"/>
              </w:rPr>
            </w:pPr>
            <w:r>
              <w:rPr>
                <w:rFonts w:ascii="quot" w:hAnsi="quot"/>
                <w:color w:val="000000"/>
              </w:rPr>
              <w:t>$</w:t>
            </w:r>
          </w:p>
        </w:tc>
        <w:tc>
          <w:tcPr>
            <w:tcW w:w="995" w:type="dxa"/>
            <w:tcBorders/>
            <w:shd w:fill="FFFFFF" w:val="clear"/>
            <w:vAlign w:val="bottom"/>
          </w:tcPr>
          <w:p>
            <w:pPr>
              <w:pStyle w:val="TableContents"/>
              <w:spacing w:before="0" w:after="0"/>
              <w:jc w:val="right"/>
              <w:rPr>
                <w:rFonts w:ascii="quot" w:hAnsi="quot"/>
                <w:color w:val="000000"/>
              </w:rPr>
            </w:pPr>
            <w:r>
              <w:rPr>
                <w:rFonts w:ascii="quot" w:hAnsi="quot"/>
                <w:color w:val="000000"/>
              </w:rPr>
              <w:t>32,473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rFonts w:ascii="quot" w:hAnsi="quot"/>
                <w:color w:val="000000"/>
              </w:rPr>
            </w:pPr>
            <w:r>
              <w:rPr>
                <w:rFonts w:ascii="quot" w:hAnsi="quot"/>
                <w:color w:val="000000"/>
              </w:rPr>
              <w:t>0.1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0"/>
              <w:rPr>
                <w:rFonts w:ascii="quot" w:hAnsi="quot"/>
                <w:color w:val="000000"/>
              </w:rPr>
            </w:pPr>
            <w:r>
              <w:rPr>
                <w:rFonts w:ascii="quot" w:hAnsi="quot"/>
                <w:color w:val="000000"/>
              </w:rPr>
              <w:t>$</w:t>
            </w:r>
          </w:p>
        </w:tc>
        <w:tc>
          <w:tcPr>
            <w:tcW w:w="695" w:type="dxa"/>
            <w:tcBorders/>
            <w:shd w:fill="FFFFFF" w:val="clear"/>
            <w:vAlign w:val="bottom"/>
          </w:tcPr>
          <w:p>
            <w:pPr>
              <w:pStyle w:val="TableContents"/>
              <w:spacing w:before="0" w:after="0"/>
              <w:jc w:val="right"/>
              <w:rPr>
                <w:rFonts w:ascii="quot" w:hAnsi="quot"/>
                <w:color w:val="000000"/>
              </w:rPr>
            </w:pPr>
            <w:r>
              <w:rPr>
                <w:rFonts w:ascii="quot" w:hAnsi="quot"/>
                <w:color w:val="000000"/>
              </w:rPr>
              <w:t>687</w:t>
            </w:r>
          </w:p>
        </w:tc>
        <w:tc>
          <w:tcPr>
            <w:tcW w:w="110" w:type="dxa"/>
            <w:tcBorders/>
            <w:shd w:fill="FFFFFF" w:val="clear"/>
            <w:vAlign w:val="bottom"/>
          </w:tcPr>
          <w:p>
            <w:pPr>
              <w:pStyle w:val="TableContents"/>
              <w:spacing w:before="0" w:after="283"/>
              <w:rPr/>
            </w:pPr>
            <w:r>
              <w:rPr/>
              <w:t> </w:t>
            </w:r>
          </w:p>
        </w:tc>
      </w:tr>
      <w:tr>
        <w:trPr/>
        <w:tc>
          <w:tcPr>
            <w:tcW w:w="5315" w:type="dxa"/>
            <w:tcBorders/>
            <w:shd w:fill="CCEEFF" w:val="clear"/>
            <w:vAlign w:val="bottom"/>
          </w:tcPr>
          <w:p>
            <w:pPr>
              <w:pStyle w:val="TableContents"/>
              <w:spacing w:before="0" w:after="0"/>
              <w:ind w:left="180" w:right="0" w:hanging="0"/>
              <w:rPr/>
            </w:pPr>
            <w:r>
              <w:rPr/>
              <w:t>Mandatory commitments to sell mortgage loans</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0"/>
              <w:jc w:val="right"/>
              <w:rPr>
                <w:rFonts w:ascii="quot" w:hAnsi="quot"/>
                <w:color w:val="000000"/>
              </w:rPr>
            </w:pPr>
            <w:r>
              <w:rPr>
                <w:rFonts w:ascii="quot" w:hAnsi="quot"/>
                <w:color w:val="000000"/>
              </w:rPr>
              <w:t>57,583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0.1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0"/>
              <w:jc w:val="right"/>
              <w:rPr>
                <w:rFonts w:ascii="quot" w:hAnsi="quot"/>
                <w:color w:val="000000"/>
              </w:rPr>
            </w:pPr>
            <w:r>
              <w:rPr>
                <w:rFonts w:ascii="quot" w:hAnsi="quot"/>
                <w:color w:val="000000"/>
              </w:rPr>
              <w:t>(383</w:t>
            </w:r>
          </w:p>
        </w:tc>
        <w:tc>
          <w:tcPr>
            <w:tcW w:w="110" w:type="dxa"/>
            <w:tcBorders/>
            <w:shd w:fill="CCEEFF" w:val="clear"/>
            <w:vAlign w:val="bottom"/>
          </w:tcPr>
          <w:p>
            <w:pPr>
              <w:pStyle w:val="TableContents"/>
              <w:spacing w:before="0" w:after="0"/>
              <w:rPr>
                <w:rFonts w:ascii="quot" w:hAnsi="quot"/>
                <w:color w:val="000000"/>
              </w:rPr>
            </w:pPr>
            <w:r>
              <w:rPr>
                <w:rFonts w:ascii="quot" w:hAnsi="quot"/>
                <w:color w:val="000000"/>
              </w:rPr>
              <w:t>)</w:t>
            </w:r>
          </w:p>
        </w:tc>
      </w:tr>
      <w:tr>
        <w:trPr/>
        <w:tc>
          <w:tcPr>
            <w:tcW w:w="5315" w:type="dxa"/>
            <w:tcBorders/>
            <w:shd w:fill="FFFFFF" w:val="clear"/>
            <w:vAlign w:val="bottom"/>
          </w:tcPr>
          <w:p>
            <w:pPr>
              <w:pStyle w:val="TableContents"/>
              <w:spacing w:before="0" w:after="0"/>
              <w:ind w:left="180" w:right="0" w:hanging="0"/>
              <w:rPr>
                <w:color w:val="000000"/>
              </w:rPr>
            </w:pPr>
            <w:r>
              <w:rPr>
                <w:color w:val="000000"/>
              </w:rPr>
              <w:t>Pay-fixed interest rate swap agreements - commercial</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0"/>
              <w:jc w:val="right"/>
              <w:rPr>
                <w:rFonts w:ascii="quot" w:hAnsi="quot"/>
                <w:color w:val="000000"/>
              </w:rPr>
            </w:pPr>
            <w:r>
              <w:rPr>
                <w:rFonts w:ascii="quot" w:hAnsi="quot"/>
                <w:color w:val="000000"/>
              </w:rPr>
              <w:t>94,451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rFonts w:ascii="quot" w:hAnsi="quot"/>
                <w:color w:val="000000"/>
              </w:rPr>
            </w:pPr>
            <w:r>
              <w:rPr>
                <w:rFonts w:ascii="quot" w:hAnsi="quot"/>
                <w:color w:val="000000"/>
              </w:rPr>
              <w:t>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95" w:type="dxa"/>
            <w:tcBorders/>
            <w:shd w:fill="FFFFFF" w:val="clear"/>
            <w:vAlign w:val="bottom"/>
          </w:tcPr>
          <w:p>
            <w:pPr>
              <w:pStyle w:val="TableContents"/>
              <w:spacing w:before="0" w:after="0"/>
              <w:jc w:val="right"/>
              <w:rPr>
                <w:rFonts w:ascii="quot" w:hAnsi="quot"/>
                <w:color w:val="000000"/>
              </w:rPr>
            </w:pPr>
            <w:r>
              <w:rPr>
                <w:rFonts w:ascii="quot" w:hAnsi="quot"/>
                <w:color w:val="000000"/>
              </w:rPr>
              <w:t>405</w:t>
            </w:r>
          </w:p>
        </w:tc>
        <w:tc>
          <w:tcPr>
            <w:tcW w:w="110" w:type="dxa"/>
            <w:tcBorders/>
            <w:shd w:fill="FFFFFF" w:val="clear"/>
            <w:vAlign w:val="bottom"/>
          </w:tcPr>
          <w:p>
            <w:pPr>
              <w:pStyle w:val="TableContents"/>
              <w:spacing w:before="0" w:after="283"/>
              <w:rPr/>
            </w:pPr>
            <w:r>
              <w:rPr/>
              <w:t> </w:t>
            </w:r>
          </w:p>
        </w:tc>
      </w:tr>
      <w:tr>
        <w:trPr/>
        <w:tc>
          <w:tcPr>
            <w:tcW w:w="5315" w:type="dxa"/>
            <w:tcBorders/>
            <w:shd w:fill="CCEEFF" w:val="clear"/>
            <w:vAlign w:val="bottom"/>
          </w:tcPr>
          <w:p>
            <w:pPr>
              <w:pStyle w:val="TableContents"/>
              <w:spacing w:before="0" w:after="0"/>
              <w:ind w:left="180" w:right="0" w:hanging="0"/>
              <w:rPr>
                <w:color w:val="000000"/>
              </w:rPr>
            </w:pPr>
            <w:r>
              <w:rPr>
                <w:color w:val="000000"/>
              </w:rPr>
              <w:t>Pay-variable interest rate swap agreements - commercial</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0"/>
              <w:jc w:val="right"/>
              <w:rPr>
                <w:rFonts w:ascii="quot" w:hAnsi="quot"/>
                <w:color w:val="000000"/>
              </w:rPr>
            </w:pPr>
            <w:r>
              <w:rPr>
                <w:rFonts w:ascii="quot" w:hAnsi="quot"/>
                <w:color w:val="000000"/>
              </w:rPr>
              <w:t>94,451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0"/>
              <w:jc w:val="right"/>
              <w:rPr>
                <w:rFonts w:ascii="quot" w:hAnsi="quot"/>
                <w:color w:val="000000"/>
              </w:rPr>
            </w:pPr>
            <w:r>
              <w:rPr>
                <w:rFonts w:ascii="quot" w:hAnsi="quot"/>
                <w:color w:val="000000"/>
              </w:rPr>
              <w:t>(405</w:t>
            </w:r>
          </w:p>
        </w:tc>
        <w:tc>
          <w:tcPr>
            <w:tcW w:w="110" w:type="dxa"/>
            <w:tcBorders/>
            <w:shd w:fill="CCEEFF" w:val="clear"/>
            <w:vAlign w:val="bottom"/>
          </w:tcPr>
          <w:p>
            <w:pPr>
              <w:pStyle w:val="TableContents"/>
              <w:spacing w:before="0" w:after="0"/>
              <w:rPr>
                <w:rFonts w:ascii="quot" w:hAnsi="quot"/>
                <w:color w:val="000000"/>
              </w:rPr>
            </w:pPr>
            <w:r>
              <w:rPr>
                <w:rFonts w:ascii="quot" w:hAnsi="quot"/>
                <w:color w:val="000000"/>
              </w:rPr>
              <w:t>)</w:t>
            </w:r>
          </w:p>
        </w:tc>
      </w:tr>
      <w:tr>
        <w:trPr/>
        <w:tc>
          <w:tcPr>
            <w:tcW w:w="5315" w:type="dxa"/>
            <w:tcBorders/>
            <w:shd w:fill="FFFFFF" w:val="clear"/>
            <w:vAlign w:val="bottom"/>
          </w:tcPr>
          <w:p>
            <w:pPr>
              <w:pStyle w:val="TableContents"/>
              <w:spacing w:before="0" w:after="0"/>
              <w:ind w:left="180" w:right="0" w:hanging="0"/>
              <w:rPr>
                <w:color w:val="000000"/>
              </w:rPr>
            </w:pPr>
            <w:r>
              <w:rPr>
                <w:color w:val="000000"/>
              </w:rPr>
              <w:t>Purchased options</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995" w:type="dxa"/>
            <w:tcBorders/>
            <w:shd w:fill="FFFFFF" w:val="clear"/>
            <w:vAlign w:val="bottom"/>
          </w:tcPr>
          <w:p>
            <w:pPr>
              <w:pStyle w:val="TableContents"/>
              <w:spacing w:before="0" w:after="0"/>
              <w:jc w:val="right"/>
              <w:rPr>
                <w:rFonts w:ascii="quot" w:hAnsi="quot"/>
                <w:color w:val="000000"/>
              </w:rPr>
            </w:pPr>
            <w:r>
              <w:rPr>
                <w:rFonts w:ascii="quot" w:hAnsi="quot"/>
                <w:color w:val="000000"/>
              </w:rPr>
              <w:t>3,095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rFonts w:ascii="quot" w:hAnsi="quot"/>
                <w:color w:val="000000"/>
              </w:rPr>
            </w:pPr>
            <w:r>
              <w:rPr>
                <w:rFonts w:ascii="quot" w:hAnsi="quot"/>
                <w:color w:val="000000"/>
              </w:rPr>
              <w:t>2.5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95" w:type="dxa"/>
            <w:tcBorders/>
            <w:shd w:fill="FFFFFF" w:val="clear"/>
            <w:vAlign w:val="bottom"/>
          </w:tcPr>
          <w:p>
            <w:pPr>
              <w:pStyle w:val="TableContents"/>
              <w:spacing w:before="0" w:after="0"/>
              <w:jc w:val="right"/>
              <w:rPr>
                <w:rFonts w:ascii="quot" w:hAnsi="quot"/>
                <w:color w:val="000000"/>
              </w:rPr>
            </w:pPr>
            <w:r>
              <w:rPr>
                <w:rFonts w:ascii="quot" w:hAnsi="quot"/>
                <w:color w:val="000000"/>
              </w:rPr>
              <w:t>116</w:t>
            </w:r>
          </w:p>
        </w:tc>
        <w:tc>
          <w:tcPr>
            <w:tcW w:w="110" w:type="dxa"/>
            <w:tcBorders/>
            <w:shd w:fill="FFFFFF" w:val="clear"/>
            <w:vAlign w:val="bottom"/>
          </w:tcPr>
          <w:p>
            <w:pPr>
              <w:pStyle w:val="TableContents"/>
              <w:spacing w:before="0" w:after="283"/>
              <w:rPr/>
            </w:pPr>
            <w:r>
              <w:rPr/>
              <w:t> </w:t>
            </w:r>
          </w:p>
        </w:tc>
      </w:tr>
      <w:tr>
        <w:trPr/>
        <w:tc>
          <w:tcPr>
            <w:tcW w:w="5315" w:type="dxa"/>
            <w:tcBorders/>
            <w:shd w:fill="CCEEFF" w:val="clear"/>
            <w:vAlign w:val="bottom"/>
          </w:tcPr>
          <w:p>
            <w:pPr>
              <w:pStyle w:val="TableContents"/>
              <w:spacing w:before="0" w:after="0"/>
              <w:ind w:left="180" w:right="0" w:hanging="0"/>
              <w:rPr>
                <w:color w:val="000000"/>
              </w:rPr>
            </w:pPr>
            <w:r>
              <w:rPr>
                <w:color w:val="000000"/>
              </w:rPr>
              <w:t>Written options</w:t>
            </w:r>
          </w:p>
        </w:tc>
        <w:tc>
          <w:tcPr>
            <w:tcW w:w="60" w:type="dxa"/>
            <w:tcBorders/>
            <w:shd w:fill="CCEEFF" w:val="clear"/>
            <w:vAlign w:val="bottom"/>
          </w:tcPr>
          <w:p>
            <w:pPr>
              <w:pStyle w:val="TableContents"/>
              <w:spacing w:before="0" w:after="283"/>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95" w:type="dxa"/>
            <w:tcBorders>
              <w:bottom w:val="single" w:sz="12" w:space="0" w:color="000000"/>
            </w:tcBorders>
            <w:shd w:fill="CCEEFF" w:val="clear"/>
            <w:tcMar>
              <w:bottom w:w="28" w:type="dxa"/>
            </w:tcMar>
            <w:vAlign w:val="bottom"/>
          </w:tcPr>
          <w:p>
            <w:pPr>
              <w:pStyle w:val="TableContents"/>
              <w:spacing w:before="0" w:after="0"/>
              <w:jc w:val="right"/>
              <w:rPr>
                <w:rFonts w:ascii="quot" w:hAnsi="quot"/>
                <w:color w:val="000000"/>
              </w:rPr>
            </w:pPr>
            <w:r>
              <w:rPr>
                <w:rFonts w:ascii="quot" w:hAnsi="quot"/>
                <w:color w:val="000000"/>
              </w:rPr>
              <w:t>3,095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0"/>
              <w:jc w:val="right"/>
              <w:rPr>
                <w:rFonts w:ascii="quot" w:hAnsi="quot"/>
                <w:color w:val="000000"/>
              </w:rPr>
            </w:pPr>
            <w:r>
              <w:rPr>
                <w:rFonts w:ascii="quot" w:hAnsi="quot"/>
                <w:color w:val="000000"/>
              </w:rPr>
              <w:t>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quot" w:hAnsi="quot"/>
                <w:color w:val="000000"/>
              </w:rPr>
            </w:pPr>
            <w:r>
              <w:rPr>
                <w:rFonts w:ascii="quot" w:hAnsi="quot"/>
                <w:color w:val="000000"/>
              </w:rPr>
              <w:t>(116</w:t>
            </w:r>
          </w:p>
        </w:tc>
        <w:tc>
          <w:tcPr>
            <w:tcW w:w="110" w:type="dxa"/>
            <w:tcBorders/>
            <w:shd w:fill="CCEEFF" w:val="clear"/>
            <w:vAlign w:val="bottom"/>
          </w:tcPr>
          <w:p>
            <w:pPr>
              <w:pStyle w:val="TableContents"/>
              <w:spacing w:before="0" w:after="0"/>
              <w:rPr>
                <w:rFonts w:ascii="quot" w:hAnsi="quot"/>
                <w:color w:val="000000"/>
              </w:rPr>
            </w:pPr>
            <w:r>
              <w:rPr>
                <w:rFonts w:ascii="quot" w:hAnsi="quot"/>
                <w:color w:val="000000"/>
              </w:rPr>
              <w:t>)</w:t>
            </w:r>
          </w:p>
        </w:tc>
      </w:tr>
      <w:tr>
        <w:trPr/>
        <w:tc>
          <w:tcPr>
            <w:tcW w:w="5315" w:type="dxa"/>
            <w:tcBorders/>
            <w:shd w:fill="FFFFFF" w:val="clear"/>
            <w:vAlign w:val="bottom"/>
          </w:tcPr>
          <w:p>
            <w:pPr>
              <w:pStyle w:val="TableContents"/>
              <w:spacing w:before="0" w:after="0"/>
              <w:ind w:left="360" w:right="0" w:hanging="0"/>
              <w:rPr>
                <w:color w:val="000000"/>
              </w:rPr>
            </w:pPr>
            <w:r>
              <w:rPr>
                <w:color w:val="000000"/>
              </w:rPr>
              <w:t>Total</w:t>
            </w:r>
          </w:p>
        </w:tc>
        <w:tc>
          <w:tcPr>
            <w:tcW w:w="60" w:type="dxa"/>
            <w:tcBorders/>
            <w:shd w:fill="FFFFFF" w:val="clear"/>
            <w:vAlign w:val="bottom"/>
          </w:tcPr>
          <w:p>
            <w:pPr>
              <w:pStyle w:val="TableContents"/>
              <w:spacing w:before="0" w:after="283"/>
              <w:rPr/>
            </w:pPr>
            <w:r>
              <w:rPr/>
              <w:t> </w:t>
            </w:r>
          </w:p>
        </w:tc>
        <w:tc>
          <w:tcPr>
            <w:tcW w:w="170" w:type="dxa"/>
            <w:tcBorders>
              <w:bottom w:val="double" w:sz="8" w:space="0" w:color="000000"/>
            </w:tcBorders>
            <w:shd w:fill="FFFFFF" w:val="clear"/>
            <w:tcMar>
              <w:bottom w:w="28" w:type="dxa"/>
            </w:tcMar>
            <w:vAlign w:val="bottom"/>
          </w:tcPr>
          <w:p>
            <w:pPr>
              <w:pStyle w:val="TableContents"/>
              <w:spacing w:before="0" w:after="0"/>
              <w:rPr>
                <w:rFonts w:ascii="quot" w:hAnsi="quot"/>
              </w:rPr>
            </w:pPr>
            <w:r>
              <w:rPr>
                <w:rFonts w:ascii="quot" w:hAnsi="quot"/>
              </w:rPr>
              <w:t>$</w:t>
            </w:r>
          </w:p>
        </w:tc>
        <w:tc>
          <w:tcPr>
            <w:tcW w:w="995" w:type="dxa"/>
            <w:tcBorders>
              <w:bottom w:val="double" w:sz="8" w:space="0" w:color="000000"/>
            </w:tcBorders>
            <w:shd w:fill="FFFFFF" w:val="clear"/>
            <w:tcMar>
              <w:bottom w:w="28" w:type="dxa"/>
            </w:tcMar>
            <w:vAlign w:val="bottom"/>
          </w:tcPr>
          <w:p>
            <w:pPr>
              <w:pStyle w:val="TableContents"/>
              <w:spacing w:before="0" w:after="0"/>
              <w:jc w:val="right"/>
              <w:rPr>
                <w:rFonts w:ascii="quot" w:hAnsi="quot"/>
              </w:rPr>
            </w:pPr>
            <w:r>
              <w:rPr>
                <w:rFonts w:ascii="quot" w:hAnsi="quot"/>
              </w:rPr>
              <w:t>285,148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0"/>
              <w:jc w:val="right"/>
              <w:rPr>
                <w:rFonts w:ascii="quot" w:hAnsi="quot"/>
                <w:color w:val="000000"/>
              </w:rPr>
            </w:pPr>
            <w:r>
              <w:rPr>
                <w:rFonts w:ascii="quot" w:hAnsi="quot"/>
                <w:color w:val="000000"/>
              </w:rPr>
              <w:t>3.7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0" w:type="dxa"/>
            <w:tcBorders>
              <w:bottom w:val="double" w:sz="8" w:space="0" w:color="000000"/>
            </w:tcBorders>
            <w:shd w:fill="FFFFFF" w:val="clear"/>
            <w:tcMar>
              <w:bottom w:w="28" w:type="dxa"/>
            </w:tcMar>
            <w:vAlign w:val="bottom"/>
          </w:tcPr>
          <w:p>
            <w:pPr>
              <w:pStyle w:val="TableContents"/>
              <w:spacing w:before="0" w:after="0"/>
              <w:rPr>
                <w:rFonts w:ascii="quot" w:hAnsi="quot"/>
              </w:rPr>
            </w:pPr>
            <w:r>
              <w:rPr>
                <w:rFonts w:ascii="quot" w:hAnsi="quot"/>
              </w:rPr>
              <w:t>$</w:t>
            </w:r>
          </w:p>
        </w:tc>
        <w:tc>
          <w:tcPr>
            <w:tcW w:w="695" w:type="dxa"/>
            <w:tcBorders>
              <w:bottom w:val="double" w:sz="8" w:space="0" w:color="000000"/>
            </w:tcBorders>
            <w:shd w:fill="FFFFFF" w:val="clear"/>
            <w:tcMar>
              <w:bottom w:w="28" w:type="dxa"/>
            </w:tcMar>
            <w:vAlign w:val="bottom"/>
          </w:tcPr>
          <w:p>
            <w:pPr>
              <w:pStyle w:val="TableContents"/>
              <w:spacing w:before="0" w:after="0"/>
              <w:jc w:val="right"/>
              <w:rPr>
                <w:rFonts w:ascii="quot" w:hAnsi="quot"/>
              </w:rPr>
            </w:pPr>
            <w:r>
              <w:rPr>
                <w:rFonts w:ascii="quot" w:hAnsi="quot"/>
              </w:rPr>
              <w:t>304</w:t>
            </w:r>
          </w:p>
        </w:tc>
        <w:tc>
          <w:tcPr>
            <w:tcW w:w="110"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45" w:name="DSPFPageBreakArea32"/>
      <w:bookmarkStart w:id="346" w:name="DSPFPageBreakArea32"/>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347" w:name="DSPFPageNumber32"/>
      <w:bookmarkStart w:id="348" w:name="DSPFPageNumberArea31"/>
      <w:bookmarkEnd w:id="347"/>
      <w:bookmarkEnd w:id="348"/>
      <w:r>
        <w:rPr>
          <w:b w:val="false"/>
          <w:i w:val="false"/>
          <w:caps w:val="false"/>
          <w:smallCaps w:val="false"/>
          <w:sz w:val="13"/>
        </w:rPr>
        <w:t>33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49" w:name="DSPFPageBreak32"/>
      <w:bookmarkStart w:id="350" w:name="DSPFPageBreak32"/>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351" w:name="DSPFPageHeader31"/>
        <w:bookmarkEnd w:id="351"/>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 xml:space="preserve">We use variable-rate and short-term fixed-rate (less than 12 months) debt obligations to fund a portion of our Condensed Consolidated Statements of Financial Condition, which exposes us to variability in interest rates. To meet our asset/liability management objectives, we may periodically enter into derivative financial instruments to mitigate exposure to fluctuations in cash flows resulting from changes in interest rates (“Cash Flow Hedges”).  </w:t>
      </w:r>
      <w:r>
        <w:rPr>
          <w:color w:val="231F20"/>
        </w:rPr>
        <w:t xml:space="preserve">Cash Flow Hedges included certain pay-fixed interest rate swaps and interest rate cap agreements.  Pay-fixed interest rate swaps convert the variable-rate cash flows on debt obligations to fixed-rates.  </w:t>
      </w:r>
      <w:r>
        <w:rPr/>
        <w:t>Under interest-rate cap agreements, we will receive cash if interest rates rise above a predetermined level. As a result, we effectively have variable-rate debt with an established maximum rate. We pay an upfront premium on interest rate caps which is recognized in earnings in the same period in which the hedged item affects earnings.  Unrecognized premiums from interest rate caps aggregated to $2.5 million at June 30, 2019 and $2.7 million at December 31, 2018.</w:t>
      </w:r>
    </w:p>
    <w:p>
      <w:pPr>
        <w:pStyle w:val="TextBody"/>
        <w:spacing w:before="0" w:after="0"/>
        <w:rPr/>
      </w:pPr>
      <w:r>
        <w:rPr/>
      </w:r>
    </w:p>
    <w:p>
      <w:pPr>
        <w:pStyle w:val="TextBody"/>
        <w:spacing w:before="0" w:after="0"/>
        <w:jc w:val="both"/>
        <w:rPr/>
      </w:pPr>
      <w:r>
        <w:rPr/>
        <w:t>We record the fair value of Cash Flow Hedges in accrued income and other assets and accrued expenses and other liabilities on our Condensed Consolidated Statements of Financial Condition.  On an ongoing basis, we adjust our Condensed Consolidated Statements of Financial Condition to reflect the then current fair value of Cash Flow Hedges.  The related gains or losses are reported in other comprehensive income or loss and are subsequently reclassified into earnings, as a yield adjustment in the same period in which the related interest on the hedged items (variable-rate debt obligations) affect earnings.  It is anticipated that approximately $0.12 million, of unrealized gains on Cash Flow Hedges at June 30, 2019 will be reclassified to earnings over the next twelve months.  To the extent that the Cash Flow Hedges are not effective, the ineffective portion of the Cash Flow Hedges is immediately recognized in interest expense.  The maximum term of the Cash Flow Hedge at June 30, 2019 is 4.3 years.</w:t>
      </w:r>
    </w:p>
    <w:p>
      <w:pPr>
        <w:pStyle w:val="TextBody"/>
        <w:spacing w:before="0" w:after="0"/>
        <w:rPr/>
      </w:pPr>
      <w:r>
        <w:rPr/>
      </w:r>
    </w:p>
    <w:p>
      <w:pPr>
        <w:pStyle w:val="TextBody"/>
        <w:spacing w:before="0" w:after="0"/>
        <w:jc w:val="both"/>
        <w:rPr/>
      </w:pPr>
      <w:r>
        <w:rPr/>
        <w:t>Beginning in the second quarter of 2019 we entered into a pay-fixed interest rate swap to protect a portion of the fair value of a certain fixed rate commercial loan (“Fair Value Hedge”).  As a result, changes in the fair value of the pay-fixed interest rate swap is expected to offset changes in the fair value of the fixed rate commercial loan due to fluctuations in interest rates.  We record the fair value of Fair Value Hedges in accrued income and other assets and accrued expenses and other liabilities on our Condensed Consolidated Statements of Financial Condition.  The hedged item (fixed rate commercial loan) is also recorded at fair value which offsets the adjustment to the Fair Value Hedge.  On an ongoing basis, we adjust our Condensed Consolidated Statements of Financial Condition to reflect the then current fair value of both the Fair Value Hedge and the hedged item.  The related gains or losses are reported in interest income – interest and fees on loans in our Condensed Consolidated Statements of Operations.</w:t>
      </w:r>
    </w:p>
    <w:p>
      <w:pPr>
        <w:pStyle w:val="TextBody"/>
        <w:spacing w:before="0" w:after="0"/>
        <w:rPr/>
      </w:pPr>
      <w:r>
        <w:rPr/>
      </w:r>
    </w:p>
    <w:p>
      <w:pPr>
        <w:pStyle w:val="TextBody"/>
        <w:spacing w:before="0" w:after="0"/>
        <w:jc w:val="both"/>
        <w:rPr/>
      </w:pPr>
      <w:r>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52" w:name="DSPFPageBreakArea33"/>
      <w:bookmarkStart w:id="353" w:name="DSPFPageBreakArea33"/>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354" w:name="DSPFPageNumber33"/>
      <w:bookmarkStart w:id="355" w:name="DSPFPageNumberArea32"/>
      <w:bookmarkEnd w:id="354"/>
      <w:bookmarkEnd w:id="355"/>
      <w:r>
        <w:rPr>
          <w:b w:val="false"/>
          <w:i w:val="false"/>
          <w:caps w:val="false"/>
          <w:smallCaps w:val="false"/>
          <w:sz w:val="13"/>
        </w:rPr>
        <w:t>34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56" w:name="DSPFPageBreak33"/>
      <w:bookmarkStart w:id="357" w:name="DSPFPageBreak33"/>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358" w:name="DSPFPageHeader32"/>
        <w:bookmarkEnd w:id="358"/>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pStyle w:val="TextBody"/>
        <w:spacing w:before="0" w:after="0"/>
        <w:rPr/>
      </w:pPr>
      <w:r>
        <w:rPr/>
      </w:r>
    </w:p>
    <w:p>
      <w:pPr>
        <w:pStyle w:val="TextBody"/>
        <w:spacing w:before="0" w:after="0"/>
        <w:jc w:val="both"/>
        <w:rPr/>
      </w:pPr>
      <w:r>
        <w:rPr/>
        <w:t>In prior periods we offered to our deposit customers an equity linked time deposit product (“Altitude CD”).  The Altitude CD was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pStyle w:val="TextBody"/>
        <w:spacing w:before="0" w:after="0"/>
        <w:rPr/>
      </w:pPr>
      <w:r>
        <w:rPr/>
      </w:r>
    </w:p>
    <w:p>
      <w:pPr>
        <w:pStyle w:val="TextBody"/>
        <w:spacing w:before="0" w:after="0"/>
        <w:jc w:val="both"/>
        <w:rPr/>
      </w:pPr>
      <w:r>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59" w:name="DSPFPageBreakArea34"/>
      <w:bookmarkStart w:id="360" w:name="DSPFPageBreakArea34"/>
      <w:bookmarkEnd w:id="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361" w:name="DSPFPageNumber34"/>
      <w:bookmarkStart w:id="362" w:name="DSPFPageNumberArea33"/>
      <w:bookmarkEnd w:id="361"/>
      <w:bookmarkEnd w:id="362"/>
      <w:r>
        <w:rPr>
          <w:b w:val="false"/>
          <w:i w:val="false"/>
          <w:caps w:val="false"/>
          <w:smallCaps w:val="false"/>
          <w:sz w:val="13"/>
        </w:rPr>
        <w:t>35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63" w:name="DSPFPageBreak34"/>
      <w:bookmarkStart w:id="364" w:name="DSPFPageBreak34"/>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365" w:name="DSPFPageHeader33"/>
        <w:bookmarkEnd w:id="36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The following tables illustrate the impact that the derivative financial instruments discussed above have on individual line items in the Condensed Consolidated Statements of Financial Condition for the periods presented:</w:t>
      </w:r>
    </w:p>
    <w:p>
      <w:pPr>
        <w:pStyle w:val="TextBody"/>
        <w:spacing w:before="0" w:after="0"/>
        <w:jc w:val="center"/>
        <w:rPr/>
      </w:pPr>
      <w:r>
        <w:rPr/>
      </w:r>
    </w:p>
    <w:p>
      <w:pPr>
        <w:pStyle w:val="TextBody"/>
        <w:spacing w:before="0" w:after="0"/>
        <w:rPr/>
      </w:pPr>
      <w:r>
        <w:rPr/>
        <w:t>Fair Values of Derivative Instruments</w:t>
      </w:r>
    </w:p>
    <w:p>
      <w:pPr>
        <w:pStyle w:val="TextBody"/>
        <w:spacing w:before="0" w:after="0"/>
        <w:jc w:val="center"/>
        <w:rPr/>
      </w:pPr>
      <w:r>
        <w:rPr/>
      </w:r>
    </w:p>
    <w:p>
      <w:pPr>
        <w:pStyle w:val="Normal"/>
        <w:spacing w:before="0" w:after="0"/>
        <w:rPr>
          <w:sz w:val="4"/>
          <w:szCs w:val="4"/>
        </w:rPr>
      </w:pPr>
      <w:r>
        <w:rPr>
          <w:sz w:val="4"/>
          <w:szCs w:val="4"/>
        </w:rPr>
      </w:r>
      <w:bookmarkStart w:id="366" w:name="z646e85e11161449197042c5c0a377b92"/>
      <w:bookmarkStart w:id="367" w:name="z646e85e11161449197042c5c0a377b92"/>
      <w:bookmarkEnd w:id="367"/>
    </w:p>
    <w:tbl>
      <w:tblPr>
        <w:tblW w:w="10205" w:type="dxa"/>
        <w:jc w:val="left"/>
        <w:tblInd w:w="0" w:type="dxa"/>
        <w:tblCellMar>
          <w:top w:w="0" w:type="dxa"/>
          <w:left w:w="0" w:type="dxa"/>
          <w:bottom w:w="0" w:type="dxa"/>
          <w:right w:w="0" w:type="dxa"/>
        </w:tblCellMar>
      </w:tblPr>
      <w:tblGrid>
        <w:gridCol w:w="2042"/>
        <w:gridCol w:w="973"/>
        <w:gridCol w:w="60"/>
        <w:gridCol w:w="140"/>
        <w:gridCol w:w="560"/>
        <w:gridCol w:w="60"/>
        <w:gridCol w:w="973"/>
        <w:gridCol w:w="60"/>
        <w:gridCol w:w="140"/>
        <w:gridCol w:w="560"/>
        <w:gridCol w:w="60"/>
        <w:gridCol w:w="1460"/>
        <w:gridCol w:w="60"/>
        <w:gridCol w:w="140"/>
        <w:gridCol w:w="560"/>
        <w:gridCol w:w="60"/>
        <w:gridCol w:w="1460"/>
        <w:gridCol w:w="60"/>
        <w:gridCol w:w="140"/>
        <w:gridCol w:w="560"/>
        <w:gridCol w:w="77"/>
      </w:tblGrid>
      <w:tr>
        <w:trPr/>
        <w:tc>
          <w:tcPr>
            <w:tcW w:w="2042" w:type="dxa"/>
            <w:tcBorders/>
            <w:shd w:fill="auto" w:val="clear"/>
            <w:vAlign w:val="bottom"/>
          </w:tcPr>
          <w:p>
            <w:pPr>
              <w:pStyle w:val="TableContents"/>
              <w:spacing w:before="0" w:after="0"/>
              <w:rPr>
                <w:color w:val="000000"/>
              </w:rPr>
            </w:pPr>
            <w:r>
              <w:rPr>
                <w:color w:val="000000"/>
              </w:rPr>
              <w:t> </w:t>
            </w:r>
          </w:p>
        </w:tc>
        <w:tc>
          <w:tcPr>
            <w:tcW w:w="3526" w:type="dxa"/>
            <w:gridSpan w:val="9"/>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Asset Derivatives</w:t>
            </w:r>
          </w:p>
        </w:tc>
        <w:tc>
          <w:tcPr>
            <w:tcW w:w="60" w:type="dxa"/>
            <w:tcBorders/>
            <w:shd w:fill="auto" w:val="clear"/>
            <w:vAlign w:val="bottom"/>
          </w:tcPr>
          <w:p>
            <w:pPr>
              <w:pStyle w:val="TableContents"/>
              <w:spacing w:before="0" w:after="283"/>
              <w:rPr/>
            </w:pPr>
            <w:r>
              <w:rPr/>
              <w:t> </w:t>
            </w:r>
          </w:p>
        </w:tc>
        <w:tc>
          <w:tcPr>
            <w:tcW w:w="4500" w:type="dxa"/>
            <w:gridSpan w:val="9"/>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Liability Derivatives</w:t>
            </w:r>
          </w:p>
        </w:tc>
        <w:tc>
          <w:tcPr>
            <w:tcW w:w="77" w:type="dxa"/>
            <w:tcBorders/>
            <w:shd w:fill="auto" w:val="clear"/>
            <w:vAlign w:val="bottom"/>
          </w:tcPr>
          <w:p>
            <w:pPr>
              <w:pStyle w:val="TableContents"/>
              <w:spacing w:before="0" w:after="283"/>
              <w:rPr/>
            </w:pPr>
            <w:r>
              <w:rPr/>
              <w:t> </w:t>
            </w:r>
          </w:p>
        </w:tc>
      </w:tr>
      <w:tr>
        <w:trPr/>
        <w:tc>
          <w:tcPr>
            <w:tcW w:w="2042" w:type="dxa"/>
            <w:tcBorders/>
            <w:shd w:fill="auto" w:val="clear"/>
            <w:vAlign w:val="bottom"/>
          </w:tcPr>
          <w:p>
            <w:pPr>
              <w:pStyle w:val="TableContents"/>
              <w:spacing w:before="0" w:after="0"/>
              <w:rPr>
                <w:color w:val="000000"/>
              </w:rPr>
            </w:pPr>
            <w:r>
              <w:rPr>
                <w:color w:val="000000"/>
              </w:rPr>
              <w:t> </w:t>
            </w:r>
          </w:p>
        </w:tc>
        <w:tc>
          <w:tcPr>
            <w:tcW w:w="1733" w:type="dxa"/>
            <w:gridSpan w:val="4"/>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June 30,</w:t>
            </w:r>
          </w:p>
          <w:p>
            <w:pPr>
              <w:pStyle w:val="TableContents"/>
              <w:spacing w:before="0" w:after="0"/>
              <w:jc w:val="center"/>
              <w:rPr>
                <w:color w:val="000000"/>
              </w:rPr>
            </w:pPr>
            <w:r>
              <w:rPr>
                <w:color w:val="000000"/>
              </w:rPr>
              <w:t>2019</w:t>
            </w:r>
          </w:p>
        </w:tc>
        <w:tc>
          <w:tcPr>
            <w:tcW w:w="60" w:type="dxa"/>
            <w:tcBorders/>
            <w:shd w:fill="auto" w:val="clear"/>
            <w:vAlign w:val="bottom"/>
          </w:tcPr>
          <w:p>
            <w:pPr>
              <w:pStyle w:val="TableContents"/>
              <w:spacing w:before="0" w:after="283"/>
              <w:rPr/>
            </w:pPr>
            <w:r>
              <w:rPr/>
              <w:t> </w:t>
            </w:r>
          </w:p>
        </w:tc>
        <w:tc>
          <w:tcPr>
            <w:tcW w:w="1733" w:type="dxa"/>
            <w:gridSpan w:val="4"/>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December 31,</w:t>
            </w:r>
          </w:p>
          <w:p>
            <w:pPr>
              <w:pStyle w:val="TableContents"/>
              <w:spacing w:before="0" w:after="0"/>
              <w:jc w:val="center"/>
              <w:rPr>
                <w:color w:val="000000"/>
              </w:rPr>
            </w:pPr>
            <w:r>
              <w:rPr>
                <w:color w:val="000000"/>
              </w:rPr>
              <w:t>2018</w:t>
            </w:r>
          </w:p>
        </w:tc>
        <w:tc>
          <w:tcPr>
            <w:tcW w:w="60" w:type="dxa"/>
            <w:tcBorders/>
            <w:shd w:fill="auto" w:val="clear"/>
            <w:vAlign w:val="bottom"/>
          </w:tcPr>
          <w:p>
            <w:pPr>
              <w:pStyle w:val="TableContents"/>
              <w:spacing w:before="0" w:after="283"/>
              <w:rPr/>
            </w:pPr>
            <w:r>
              <w:rPr/>
              <w:t> </w:t>
            </w:r>
          </w:p>
        </w:tc>
        <w:tc>
          <w:tcPr>
            <w:tcW w:w="2220" w:type="dxa"/>
            <w:gridSpan w:val="4"/>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June 30,</w:t>
            </w:r>
          </w:p>
          <w:p>
            <w:pPr>
              <w:pStyle w:val="TableContents"/>
              <w:spacing w:before="0" w:after="0"/>
              <w:jc w:val="center"/>
              <w:rPr>
                <w:color w:val="000000"/>
              </w:rPr>
            </w:pPr>
            <w:r>
              <w:rPr>
                <w:color w:val="000000"/>
              </w:rPr>
              <w:t>2019</w:t>
            </w:r>
          </w:p>
        </w:tc>
        <w:tc>
          <w:tcPr>
            <w:tcW w:w="60" w:type="dxa"/>
            <w:tcBorders/>
            <w:shd w:fill="auto" w:val="clear"/>
            <w:vAlign w:val="bottom"/>
          </w:tcPr>
          <w:p>
            <w:pPr>
              <w:pStyle w:val="TableContents"/>
              <w:spacing w:before="0" w:after="283"/>
              <w:rPr/>
            </w:pPr>
            <w:r>
              <w:rPr/>
              <w:t> </w:t>
            </w:r>
          </w:p>
        </w:tc>
        <w:tc>
          <w:tcPr>
            <w:tcW w:w="2220" w:type="dxa"/>
            <w:gridSpan w:val="4"/>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December 31,</w:t>
            </w:r>
          </w:p>
          <w:p>
            <w:pPr>
              <w:pStyle w:val="TableContents"/>
              <w:spacing w:before="0" w:after="0"/>
              <w:jc w:val="center"/>
              <w:rPr>
                <w:color w:val="000000"/>
              </w:rPr>
            </w:pPr>
            <w:r>
              <w:rPr>
                <w:color w:val="000000"/>
              </w:rPr>
              <w:t>2018</w:t>
            </w:r>
          </w:p>
        </w:tc>
        <w:tc>
          <w:tcPr>
            <w:tcW w:w="77" w:type="dxa"/>
            <w:tcBorders/>
            <w:shd w:fill="auto" w:val="clear"/>
            <w:vAlign w:val="bottom"/>
          </w:tcPr>
          <w:p>
            <w:pPr>
              <w:pStyle w:val="TableContents"/>
              <w:spacing w:before="0" w:after="283"/>
              <w:rPr/>
            </w:pPr>
            <w:r>
              <w:rPr/>
              <w:t> </w:t>
            </w:r>
          </w:p>
        </w:tc>
      </w:tr>
      <w:tr>
        <w:trPr/>
        <w:tc>
          <w:tcPr>
            <w:tcW w:w="2042" w:type="dxa"/>
            <w:tcBorders/>
            <w:shd w:fill="auto" w:val="clear"/>
            <w:vAlign w:val="bottom"/>
          </w:tcPr>
          <w:p>
            <w:pPr>
              <w:pStyle w:val="TableContents"/>
              <w:spacing w:before="0" w:after="283"/>
              <w:rPr/>
            </w:pPr>
            <w:r>
              <w:rPr/>
            </w:r>
          </w:p>
        </w:tc>
        <w:tc>
          <w:tcPr>
            <w:tcW w:w="973" w:type="dxa"/>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 </w:t>
            </w:r>
            <w:r>
              <w:rPr>
                <w:color w:val="000000"/>
              </w:rPr>
              <w:t>Balance</w:t>
            </w:r>
          </w:p>
          <w:p>
            <w:pPr>
              <w:pStyle w:val="TableContents"/>
              <w:spacing w:before="0" w:after="0"/>
              <w:jc w:val="center"/>
              <w:rPr>
                <w:color w:val="000000"/>
              </w:rPr>
            </w:pPr>
            <w:r>
              <w:rPr>
                <w:color w:val="000000"/>
              </w:rPr>
              <w:t> </w:t>
            </w:r>
            <w:r>
              <w:rPr>
                <w:color w:val="000000"/>
              </w:rPr>
              <w:t>Sheet</w:t>
            </w:r>
          </w:p>
          <w:p>
            <w:pPr>
              <w:pStyle w:val="TableContents"/>
              <w:spacing w:before="0" w:after="0"/>
              <w:jc w:val="center"/>
              <w:rPr>
                <w:color w:val="000000"/>
              </w:rPr>
            </w:pPr>
            <w:r>
              <w:rPr>
                <w:color w:val="000000"/>
              </w:rPr>
              <w:t> </w:t>
            </w:r>
            <w:r>
              <w:rPr>
                <w:color w:val="000000"/>
              </w:rPr>
              <w:t>Location</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Fair</w:t>
            </w:r>
          </w:p>
          <w:p>
            <w:pPr>
              <w:pStyle w:val="TableContents"/>
              <w:spacing w:before="0" w:after="0"/>
              <w:jc w:val="center"/>
              <w:rPr>
                <w:color w:val="000000"/>
              </w:rPr>
            </w:pPr>
            <w:r>
              <w:rPr>
                <w:color w:val="000000"/>
              </w:rPr>
              <w:t>Value</w:t>
            </w:r>
          </w:p>
        </w:tc>
        <w:tc>
          <w:tcPr>
            <w:tcW w:w="60" w:type="dxa"/>
            <w:tcBorders/>
            <w:shd w:fill="auto" w:val="clear"/>
            <w:vAlign w:val="bottom"/>
          </w:tcPr>
          <w:p>
            <w:pPr>
              <w:pStyle w:val="TableContents"/>
              <w:spacing w:before="0" w:after="283"/>
              <w:rPr/>
            </w:pPr>
            <w:r>
              <w:rPr/>
              <w:t> </w:t>
            </w:r>
          </w:p>
        </w:tc>
        <w:tc>
          <w:tcPr>
            <w:tcW w:w="973" w:type="dxa"/>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 </w:t>
            </w:r>
            <w:r>
              <w:rPr>
                <w:color w:val="000000"/>
              </w:rPr>
              <w:t>Balance</w:t>
            </w:r>
          </w:p>
          <w:p>
            <w:pPr>
              <w:pStyle w:val="TableContents"/>
              <w:spacing w:before="0" w:after="0"/>
              <w:jc w:val="center"/>
              <w:rPr>
                <w:color w:val="000000"/>
              </w:rPr>
            </w:pPr>
            <w:r>
              <w:rPr>
                <w:color w:val="000000"/>
              </w:rPr>
              <w:t> </w:t>
            </w:r>
            <w:r>
              <w:rPr>
                <w:color w:val="000000"/>
              </w:rPr>
              <w:t>Sheet</w:t>
            </w:r>
          </w:p>
          <w:p>
            <w:pPr>
              <w:pStyle w:val="TableContents"/>
              <w:spacing w:before="0" w:after="0"/>
              <w:jc w:val="center"/>
              <w:rPr>
                <w:color w:val="000000"/>
              </w:rPr>
            </w:pPr>
            <w:r>
              <w:rPr>
                <w:color w:val="000000"/>
              </w:rPr>
              <w:t> </w:t>
            </w:r>
            <w:r>
              <w:rPr>
                <w:color w:val="000000"/>
              </w:rPr>
              <w:t>Location</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Fair</w:t>
            </w:r>
          </w:p>
          <w:p>
            <w:pPr>
              <w:pStyle w:val="TableContents"/>
              <w:spacing w:before="0" w:after="0"/>
              <w:jc w:val="center"/>
              <w:rPr>
                <w:color w:val="000000"/>
              </w:rPr>
            </w:pPr>
            <w:r>
              <w:rPr>
                <w:color w:val="000000"/>
              </w:rPr>
              <w:t>Value</w:t>
            </w:r>
          </w:p>
        </w:tc>
        <w:tc>
          <w:tcPr>
            <w:tcW w:w="60" w:type="dxa"/>
            <w:tcBorders/>
            <w:shd w:fill="auto" w:val="clear"/>
            <w:vAlign w:val="bottom"/>
          </w:tcPr>
          <w:p>
            <w:pPr>
              <w:pStyle w:val="TableContents"/>
              <w:spacing w:before="0" w:after="283"/>
              <w:rPr/>
            </w:pPr>
            <w:r>
              <w:rPr/>
              <w:t> </w:t>
            </w:r>
          </w:p>
        </w:tc>
        <w:tc>
          <w:tcPr>
            <w:tcW w:w="1460" w:type="dxa"/>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 </w:t>
            </w:r>
            <w:r>
              <w:rPr>
                <w:color w:val="000000"/>
              </w:rPr>
              <w:t>Balance</w:t>
            </w:r>
          </w:p>
          <w:p>
            <w:pPr>
              <w:pStyle w:val="TableContents"/>
              <w:spacing w:before="0" w:after="0"/>
              <w:jc w:val="center"/>
              <w:rPr>
                <w:color w:val="000000"/>
              </w:rPr>
            </w:pPr>
            <w:r>
              <w:rPr>
                <w:color w:val="000000"/>
              </w:rPr>
              <w:t> </w:t>
            </w:r>
            <w:r>
              <w:rPr>
                <w:color w:val="000000"/>
              </w:rPr>
              <w:t>Sheet</w:t>
            </w:r>
          </w:p>
          <w:p>
            <w:pPr>
              <w:pStyle w:val="TableContents"/>
              <w:spacing w:before="0" w:after="0"/>
              <w:jc w:val="center"/>
              <w:rPr>
                <w:color w:val="000000"/>
              </w:rPr>
            </w:pPr>
            <w:r>
              <w:rPr>
                <w:color w:val="000000"/>
              </w:rPr>
              <w:t> </w:t>
            </w:r>
            <w:r>
              <w:rPr>
                <w:color w:val="000000"/>
              </w:rPr>
              <w:t>Location</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Fair</w:t>
            </w:r>
          </w:p>
          <w:p>
            <w:pPr>
              <w:pStyle w:val="TableContents"/>
              <w:spacing w:before="0" w:after="0"/>
              <w:jc w:val="center"/>
              <w:rPr>
                <w:color w:val="000000"/>
              </w:rPr>
            </w:pPr>
            <w:r>
              <w:rPr>
                <w:color w:val="000000"/>
              </w:rPr>
              <w:t>Value</w:t>
            </w:r>
          </w:p>
        </w:tc>
        <w:tc>
          <w:tcPr>
            <w:tcW w:w="60" w:type="dxa"/>
            <w:tcBorders/>
            <w:shd w:fill="auto" w:val="clear"/>
            <w:vAlign w:val="bottom"/>
          </w:tcPr>
          <w:p>
            <w:pPr>
              <w:pStyle w:val="TableContents"/>
              <w:spacing w:before="0" w:after="283"/>
              <w:rPr/>
            </w:pPr>
            <w:r>
              <w:rPr/>
              <w:t> </w:t>
            </w:r>
          </w:p>
        </w:tc>
        <w:tc>
          <w:tcPr>
            <w:tcW w:w="1460" w:type="dxa"/>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 </w:t>
            </w:r>
            <w:r>
              <w:rPr>
                <w:color w:val="000000"/>
              </w:rPr>
              <w:t>Balance</w:t>
            </w:r>
          </w:p>
          <w:p>
            <w:pPr>
              <w:pStyle w:val="TableContents"/>
              <w:spacing w:before="0" w:after="0"/>
              <w:jc w:val="center"/>
              <w:rPr>
                <w:color w:val="000000"/>
              </w:rPr>
            </w:pPr>
            <w:r>
              <w:rPr>
                <w:color w:val="000000"/>
              </w:rPr>
              <w:t> </w:t>
            </w:r>
            <w:r>
              <w:rPr>
                <w:color w:val="000000"/>
              </w:rPr>
              <w:t>Sheet</w:t>
            </w:r>
          </w:p>
          <w:p>
            <w:pPr>
              <w:pStyle w:val="TableContents"/>
              <w:spacing w:before="0" w:after="0"/>
              <w:jc w:val="center"/>
              <w:rPr>
                <w:color w:val="000000"/>
              </w:rPr>
            </w:pPr>
            <w:r>
              <w:rPr>
                <w:color w:val="000000"/>
              </w:rPr>
              <w:t> </w:t>
            </w:r>
            <w:r>
              <w:rPr>
                <w:color w:val="000000"/>
              </w:rPr>
              <w:t>Location</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Fair</w:t>
            </w:r>
          </w:p>
          <w:p>
            <w:pPr>
              <w:pStyle w:val="TableContents"/>
              <w:spacing w:before="0" w:after="0"/>
              <w:jc w:val="center"/>
              <w:rPr>
                <w:color w:val="000000"/>
              </w:rPr>
            </w:pPr>
            <w:r>
              <w:rPr>
                <w:color w:val="000000"/>
              </w:rPr>
              <w:t>Value</w:t>
            </w:r>
          </w:p>
        </w:tc>
        <w:tc>
          <w:tcPr>
            <w:tcW w:w="77" w:type="dxa"/>
            <w:tcBorders/>
            <w:shd w:fill="auto" w:val="clear"/>
            <w:vAlign w:val="bottom"/>
          </w:tcPr>
          <w:p>
            <w:pPr>
              <w:pStyle w:val="TableContents"/>
              <w:spacing w:before="0" w:after="283"/>
              <w:rPr/>
            </w:pPr>
            <w:r>
              <w:rPr/>
              <w:t> </w:t>
            </w:r>
          </w:p>
        </w:tc>
      </w:tr>
      <w:tr>
        <w:trPr/>
        <w:tc>
          <w:tcPr>
            <w:tcW w:w="2042" w:type="dxa"/>
            <w:tcBorders/>
            <w:shd w:fill="auto" w:val="clear"/>
            <w:vAlign w:val="bottom"/>
          </w:tcPr>
          <w:p>
            <w:pPr>
              <w:pStyle w:val="TableContents"/>
              <w:spacing w:before="0" w:after="0"/>
              <w:rPr>
                <w:color w:val="000000"/>
              </w:rPr>
            </w:pPr>
            <w:r>
              <w:rPr>
                <w:color w:val="000000"/>
              </w:rPr>
              <w:t> </w:t>
            </w:r>
          </w:p>
        </w:tc>
        <w:tc>
          <w:tcPr>
            <w:tcW w:w="8086" w:type="dxa"/>
            <w:gridSpan w:val="19"/>
            <w:tcBorders/>
            <w:shd w:fill="auto" w:val="clear"/>
            <w:vAlign w:val="bottom"/>
          </w:tcPr>
          <w:p>
            <w:pPr>
              <w:pStyle w:val="TableContents"/>
              <w:spacing w:before="0" w:after="0"/>
              <w:jc w:val="center"/>
              <w:rPr>
                <w:color w:val="000000"/>
              </w:rPr>
            </w:pPr>
            <w:r>
              <w:rPr>
                <w:color w:val="000000"/>
              </w:rPr>
              <w:t>(In thousands)</w:t>
            </w:r>
          </w:p>
        </w:tc>
        <w:tc>
          <w:tcPr>
            <w:tcW w:w="77" w:type="dxa"/>
            <w:tcBorders/>
            <w:shd w:fill="auto" w:val="clear"/>
            <w:vAlign w:val="bottom"/>
          </w:tcPr>
          <w:p>
            <w:pPr>
              <w:pStyle w:val="TableContents"/>
              <w:spacing w:before="0" w:after="283"/>
              <w:rPr/>
            </w:pPr>
            <w:r>
              <w:rPr/>
              <w:t> </w:t>
            </w:r>
          </w:p>
        </w:tc>
      </w:tr>
      <w:tr>
        <w:trPr/>
        <w:tc>
          <w:tcPr>
            <w:tcW w:w="2042" w:type="dxa"/>
            <w:tcBorders/>
            <w:shd w:fill="auto" w:val="clear"/>
            <w:vAlign w:val="bottom"/>
          </w:tcPr>
          <w:p>
            <w:pPr>
              <w:pStyle w:val="TableContents"/>
              <w:spacing w:before="0" w:after="0"/>
              <w:ind w:left="180" w:right="0" w:hanging="180"/>
              <w:rPr>
                <w:color w:val="000000"/>
              </w:rPr>
            </w:pPr>
            <w:r>
              <w:rPr>
                <w:color w:val="000000"/>
              </w:rPr>
              <w:t>Derivatives designated as hedging instruments</w:t>
            </w:r>
          </w:p>
        </w:tc>
        <w:tc>
          <w:tcPr>
            <w:tcW w:w="973"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3"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tcBorders/>
            <w:shd w:fill="auto" w:val="clear"/>
            <w:vAlign w:val="bottom"/>
          </w:tcPr>
          <w:p>
            <w:pPr>
              <w:pStyle w:val="TableContents"/>
              <w:spacing w:before="0" w:after="0"/>
              <w:ind w:left="180" w:right="0" w:hanging="18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tcBorders/>
            <w:shd w:fill="auto" w:val="clear"/>
            <w:vAlign w:val="bottom"/>
          </w:tcPr>
          <w:p>
            <w:pPr>
              <w:pStyle w:val="TableContents"/>
              <w:spacing w:before="0" w:after="0"/>
              <w:ind w:left="180" w:right="0" w:hanging="18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r>
      <w:tr>
        <w:trPr/>
        <w:tc>
          <w:tcPr>
            <w:tcW w:w="2042" w:type="dxa"/>
            <w:tcBorders/>
            <w:shd w:fill="CCEEFF" w:val="clear"/>
            <w:vAlign w:val="bottom"/>
          </w:tcPr>
          <w:p>
            <w:pPr>
              <w:pStyle w:val="TableContents"/>
              <w:spacing w:before="0" w:after="0"/>
              <w:ind w:left="360" w:right="0" w:hanging="180"/>
              <w:rPr>
                <w:color w:val="000000"/>
              </w:rPr>
            </w:pPr>
            <w:r>
              <w:rPr>
                <w:color w:val="000000"/>
              </w:rPr>
              <w:t>Pay-fixed interest rate swap agreements</w:t>
            </w:r>
          </w:p>
        </w:tc>
        <w:tc>
          <w:tcPr>
            <w:tcW w:w="973" w:type="dxa"/>
            <w:tcBorders/>
            <w:shd w:fill="CCEEFF" w:val="clear"/>
            <w:vAlign w:val="bottom"/>
          </w:tcPr>
          <w:p>
            <w:pPr>
              <w:pStyle w:val="TableContents"/>
              <w:spacing w:before="0" w:after="0"/>
              <w:rPr>
                <w:color w:val="000000"/>
              </w:rPr>
            </w:pPr>
            <w:r>
              <w:rPr>
                <w:color w:val="000000"/>
              </w:rPr>
              <w:t>Other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0"/>
              <w:rPr>
                <w:color w:val="000000"/>
              </w:rPr>
            </w:pPr>
            <w:r>
              <w:rPr>
                <w:color w:val="000000"/>
              </w:rPr>
              <w:t>Other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280</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Other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374</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Other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w:t>
            </w:r>
          </w:p>
        </w:tc>
        <w:tc>
          <w:tcPr>
            <w:tcW w:w="77" w:type="dxa"/>
            <w:tcBorders/>
            <w:shd w:fill="CCEEFF" w:val="clear"/>
            <w:vAlign w:val="bottom"/>
          </w:tcPr>
          <w:p>
            <w:pPr>
              <w:pStyle w:val="TableContents"/>
              <w:spacing w:before="0" w:after="283"/>
              <w:rPr/>
            </w:pPr>
            <w:r>
              <w:rPr/>
              <w:t> </w:t>
            </w:r>
          </w:p>
        </w:tc>
      </w:tr>
      <w:tr>
        <w:trPr/>
        <w:tc>
          <w:tcPr>
            <w:tcW w:w="2042" w:type="dxa"/>
            <w:tcBorders/>
            <w:shd w:fill="FFFFFF" w:val="clear"/>
            <w:vAlign w:val="bottom"/>
          </w:tcPr>
          <w:p>
            <w:pPr>
              <w:pStyle w:val="TableContents"/>
              <w:spacing w:before="0" w:after="0"/>
              <w:ind w:left="360" w:right="0" w:hanging="180"/>
              <w:rPr>
                <w:color w:val="000000"/>
              </w:rPr>
            </w:pPr>
            <w:r>
              <w:rPr>
                <w:color w:val="000000"/>
              </w:rPr>
              <w:t>Interest rate cap agreements</w:t>
            </w:r>
          </w:p>
        </w:tc>
        <w:tc>
          <w:tcPr>
            <w:tcW w:w="973" w:type="dxa"/>
            <w:tcBorders/>
            <w:shd w:fill="FFFFFF" w:val="clear"/>
            <w:vAlign w:val="bottom"/>
          </w:tcPr>
          <w:p>
            <w:pPr>
              <w:pStyle w:val="TableContents"/>
              <w:spacing w:before="0" w:after="0"/>
              <w:rPr>
                <w:color w:val="000000"/>
              </w:rPr>
            </w:pPr>
            <w:r>
              <w:rPr>
                <w:color w:val="000000"/>
              </w:rPr>
              <w:t>Other assets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560" w:type="dxa"/>
            <w:tcBorders>
              <w:bottom w:val="single" w:sz="12" w:space="0" w:color="000000"/>
            </w:tcBorders>
            <w:shd w:fill="FFFFFF" w:val="clear"/>
            <w:tcMar>
              <w:bottom w:w="28" w:type="dxa"/>
            </w:tcMar>
            <w:vAlign w:val="bottom"/>
          </w:tcPr>
          <w:p>
            <w:pPr>
              <w:pStyle w:val="TableContents"/>
              <w:spacing w:before="0" w:after="0"/>
              <w:jc w:val="right"/>
              <w:rPr>
                <w:color w:val="000000"/>
              </w:rPr>
            </w:pPr>
            <w:r>
              <w:rPr>
                <w:color w:val="000000"/>
              </w:rPr>
              <w:t>576</w:t>
            </w:r>
          </w:p>
        </w:tc>
        <w:tc>
          <w:tcPr>
            <w:tcW w:w="60" w:type="dxa"/>
            <w:tcBorders/>
            <w:shd w:fill="FFFFFF" w:val="clear"/>
            <w:vAlign w:val="bottom"/>
          </w:tcPr>
          <w:p>
            <w:pPr>
              <w:pStyle w:val="TableContents"/>
              <w:spacing w:before="0" w:after="283"/>
              <w:rPr/>
            </w:pPr>
            <w:r>
              <w:rPr/>
              <w:t> </w:t>
            </w:r>
          </w:p>
        </w:tc>
        <w:tc>
          <w:tcPr>
            <w:tcW w:w="973" w:type="dxa"/>
            <w:tcBorders/>
            <w:shd w:fill="FFFFFF" w:val="clear"/>
            <w:vAlign w:val="bottom"/>
          </w:tcPr>
          <w:p>
            <w:pPr>
              <w:pStyle w:val="TableContents"/>
              <w:spacing w:before="0" w:after="0"/>
              <w:rPr>
                <w:color w:val="000000"/>
              </w:rPr>
            </w:pPr>
            <w:r>
              <w:rPr>
                <w:color w:val="000000"/>
              </w:rPr>
              <w:t>Other assets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560" w:type="dxa"/>
            <w:tcBorders>
              <w:bottom w:val="single" w:sz="12" w:space="0" w:color="000000"/>
            </w:tcBorders>
            <w:shd w:fill="FFFFFF" w:val="clear"/>
            <w:tcMar>
              <w:bottom w:w="28" w:type="dxa"/>
            </w:tcMar>
            <w:vAlign w:val="bottom"/>
          </w:tcPr>
          <w:p>
            <w:pPr>
              <w:pStyle w:val="TableContents"/>
              <w:spacing w:before="0" w:after="0"/>
              <w:jc w:val="right"/>
              <w:rPr>
                <w:color w:val="000000"/>
              </w:rPr>
            </w:pPr>
            <w:r>
              <w:rPr>
                <w:color w:val="000000"/>
              </w:rPr>
              <w:t>2,245</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Other liabilities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560" w:type="dxa"/>
            <w:tcBorders>
              <w:bottom w:val="single" w:sz="12" w:space="0" w:color="000000"/>
            </w:tcBorders>
            <w:shd w:fill="FFFFFF" w:val="clear"/>
            <w:tcMar>
              <w:bottom w:w="28" w:type="dxa"/>
            </w:tcM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Other liabilities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560" w:type="dxa"/>
            <w:tcBorders>
              <w:bottom w:val="single" w:sz="12" w:space="0" w:color="000000"/>
            </w:tcBorders>
            <w:shd w:fill="FFFFFF" w:val="clear"/>
            <w:tcMar>
              <w:bottom w:w="28" w:type="dxa"/>
            </w:tcMar>
            <w:vAlign w:val="bottom"/>
          </w:tcPr>
          <w:p>
            <w:pPr>
              <w:pStyle w:val="TableContents"/>
              <w:spacing w:before="0" w:after="0"/>
              <w:jc w:val="right"/>
              <w:rPr>
                <w:color w:val="000000"/>
              </w:rPr>
            </w:pPr>
            <w:r>
              <w:rPr>
                <w:color w:val="000000"/>
              </w:rPr>
              <w:t>-</w:t>
            </w:r>
          </w:p>
        </w:tc>
        <w:tc>
          <w:tcPr>
            <w:tcW w:w="77" w:type="dxa"/>
            <w:tcBorders/>
            <w:shd w:fill="FFFFFF" w:val="clear"/>
            <w:vAlign w:val="bottom"/>
          </w:tcPr>
          <w:p>
            <w:pPr>
              <w:pStyle w:val="TableContents"/>
              <w:spacing w:before="0" w:after="283"/>
              <w:rPr/>
            </w:pPr>
            <w:r>
              <w:rPr/>
              <w:t> </w:t>
            </w:r>
          </w:p>
        </w:tc>
      </w:tr>
      <w:tr>
        <w:trPr/>
        <w:tc>
          <w:tcPr>
            <w:tcW w:w="2042" w:type="dxa"/>
            <w:tcBorders/>
            <w:shd w:fill="CCEEFF" w:val="clear"/>
            <w:vAlign w:val="bottom"/>
          </w:tcPr>
          <w:p>
            <w:pPr>
              <w:pStyle w:val="TableContents"/>
              <w:spacing w:before="0" w:after="0"/>
              <w:ind w:left="180" w:right="0" w:hanging="180"/>
              <w:rPr>
                <w:color w:val="000000"/>
              </w:rPr>
            </w:pPr>
            <w:r>
              <w:rPr>
                <w:color w:val="000000"/>
              </w:rPr>
              <w:t> </w:t>
            </w:r>
          </w:p>
        </w:tc>
        <w:tc>
          <w:tcPr>
            <w:tcW w:w="973"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576</w:t>
            </w:r>
          </w:p>
        </w:tc>
        <w:tc>
          <w:tcPr>
            <w:tcW w:w="60"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2,525</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374</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77" w:type="dxa"/>
            <w:tcBorders/>
            <w:shd w:fill="CCEEFF" w:val="clear"/>
            <w:vAlign w:val="bottom"/>
          </w:tcPr>
          <w:p>
            <w:pPr>
              <w:pStyle w:val="TableContents"/>
              <w:spacing w:before="0" w:after="283"/>
              <w:rPr/>
            </w:pPr>
            <w:r>
              <w:rPr/>
              <w:t> </w:t>
            </w:r>
          </w:p>
        </w:tc>
      </w:tr>
      <w:tr>
        <w:trPr/>
        <w:tc>
          <w:tcPr>
            <w:tcW w:w="2042" w:type="dxa"/>
            <w:tcBorders/>
            <w:shd w:fill="FFFFFF" w:val="clear"/>
            <w:vAlign w:val="bottom"/>
          </w:tcPr>
          <w:p>
            <w:pPr>
              <w:pStyle w:val="TableContents"/>
              <w:spacing w:before="0" w:after="0"/>
              <w:ind w:left="180" w:right="0" w:hanging="180"/>
              <w:rPr>
                <w:color w:val="000000"/>
              </w:rPr>
            </w:pPr>
            <w:r>
              <w:rPr>
                <w:color w:val="000000"/>
              </w:rPr>
              <w:t> </w:t>
            </w:r>
          </w:p>
        </w:tc>
        <w:tc>
          <w:tcPr>
            <w:tcW w:w="973" w:type="dxa"/>
            <w:tcBorders/>
            <w:shd w:fill="FFFFFF" w:val="clear"/>
            <w:vAlign w:val="bottom"/>
          </w:tcPr>
          <w:p>
            <w:pPr>
              <w:pStyle w:val="TableContents"/>
              <w:spacing w:before="0" w:after="0"/>
              <w:rPr>
                <w:color w:val="000000"/>
              </w:rPr>
            </w:pPr>
            <w:r>
              <w:rPr>
                <w:color w:val="000000"/>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973" w:type="dxa"/>
            <w:tcBorders/>
            <w:shd w:fill="FFFFFF" w:val="clear"/>
            <w:vAlign w:val="bottom"/>
          </w:tcPr>
          <w:p>
            <w:pPr>
              <w:pStyle w:val="TableContents"/>
              <w:spacing w:before="0" w:after="0"/>
              <w:rPr>
                <w:color w:val="000000"/>
              </w:rPr>
            </w:pPr>
            <w:r>
              <w:rPr>
                <w:color w:val="000000"/>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77" w:type="dxa"/>
            <w:tcBorders/>
            <w:shd w:fill="FFFFFF" w:val="clear"/>
            <w:vAlign w:val="bottom"/>
          </w:tcPr>
          <w:p>
            <w:pPr>
              <w:pStyle w:val="TableContents"/>
              <w:spacing w:before="0" w:after="283"/>
              <w:rPr/>
            </w:pPr>
            <w:r>
              <w:rPr/>
              <w:t> </w:t>
            </w:r>
          </w:p>
        </w:tc>
      </w:tr>
      <w:tr>
        <w:trPr/>
        <w:tc>
          <w:tcPr>
            <w:tcW w:w="2042" w:type="dxa"/>
            <w:tcBorders/>
            <w:shd w:fill="CCEEFF" w:val="clear"/>
            <w:vAlign w:val="bottom"/>
          </w:tcPr>
          <w:p>
            <w:pPr>
              <w:pStyle w:val="TableContents"/>
              <w:spacing w:before="0" w:after="0"/>
              <w:ind w:left="180" w:right="0" w:hanging="180"/>
              <w:rPr>
                <w:color w:val="000000"/>
              </w:rPr>
            </w:pPr>
            <w:r>
              <w:rPr>
                <w:color w:val="000000"/>
              </w:rPr>
              <w:t>Derivatives not designated as hedging instruments</w:t>
            </w:r>
          </w:p>
        </w:tc>
        <w:tc>
          <w:tcPr>
            <w:tcW w:w="973"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r>
      <w:tr>
        <w:trPr/>
        <w:tc>
          <w:tcPr>
            <w:tcW w:w="2042" w:type="dxa"/>
            <w:tcBorders/>
            <w:shd w:fill="FFFFFF" w:val="clear"/>
            <w:vAlign w:val="bottom"/>
          </w:tcPr>
          <w:p>
            <w:pPr>
              <w:pStyle w:val="TableContents"/>
              <w:spacing w:before="0" w:after="0"/>
              <w:ind w:left="360" w:right="0" w:hanging="180"/>
              <w:rPr>
                <w:color w:val="000000"/>
              </w:rPr>
            </w:pPr>
            <w:r>
              <w:rPr>
                <w:color w:val="000000"/>
              </w:rPr>
              <w:t>Rate-lock mortgage loan commitments</w:t>
            </w:r>
          </w:p>
        </w:tc>
        <w:tc>
          <w:tcPr>
            <w:tcW w:w="973" w:type="dxa"/>
            <w:tcBorders/>
            <w:shd w:fill="FFFFFF" w:val="clear"/>
            <w:vAlign w:val="bottom"/>
          </w:tcPr>
          <w:p>
            <w:pPr>
              <w:pStyle w:val="TableContents"/>
              <w:spacing w:before="0" w:after="0"/>
              <w:rPr>
                <w:color w:val="000000"/>
              </w:rPr>
            </w:pPr>
            <w:r>
              <w:rPr>
                <w:color w:val="000000"/>
              </w:rPr>
              <w:t>Other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2,147</w:t>
            </w:r>
          </w:p>
        </w:tc>
        <w:tc>
          <w:tcPr>
            <w:tcW w:w="60" w:type="dxa"/>
            <w:tcBorders/>
            <w:shd w:fill="FFFFFF" w:val="clear"/>
            <w:vAlign w:val="bottom"/>
          </w:tcPr>
          <w:p>
            <w:pPr>
              <w:pStyle w:val="TableContents"/>
              <w:spacing w:before="0" w:after="283"/>
              <w:rPr/>
            </w:pPr>
            <w:r>
              <w:rPr/>
              <w:t> </w:t>
            </w:r>
          </w:p>
        </w:tc>
        <w:tc>
          <w:tcPr>
            <w:tcW w:w="973" w:type="dxa"/>
            <w:tcBorders/>
            <w:shd w:fill="FFFFFF" w:val="clear"/>
            <w:vAlign w:val="bottom"/>
          </w:tcPr>
          <w:p>
            <w:pPr>
              <w:pStyle w:val="TableContents"/>
              <w:spacing w:before="0" w:after="0"/>
              <w:rPr>
                <w:color w:val="000000"/>
              </w:rPr>
            </w:pPr>
            <w:r>
              <w:rPr>
                <w:color w:val="000000"/>
              </w:rPr>
              <w:t>Other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687</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Other 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Other 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w:t>
            </w:r>
          </w:p>
        </w:tc>
        <w:tc>
          <w:tcPr>
            <w:tcW w:w="77" w:type="dxa"/>
            <w:tcBorders/>
            <w:shd w:fill="FFFFFF" w:val="clear"/>
            <w:vAlign w:val="bottom"/>
          </w:tcPr>
          <w:p>
            <w:pPr>
              <w:pStyle w:val="TableContents"/>
              <w:spacing w:before="0" w:after="283"/>
              <w:rPr/>
            </w:pPr>
            <w:r>
              <w:rPr/>
              <w:t> </w:t>
            </w:r>
          </w:p>
        </w:tc>
      </w:tr>
      <w:tr>
        <w:trPr/>
        <w:tc>
          <w:tcPr>
            <w:tcW w:w="2042" w:type="dxa"/>
            <w:tcBorders/>
            <w:shd w:fill="CCEEFF" w:val="clear"/>
            <w:vAlign w:val="bottom"/>
          </w:tcPr>
          <w:p>
            <w:pPr>
              <w:pStyle w:val="TableContents"/>
              <w:spacing w:before="0" w:after="0"/>
              <w:ind w:left="360" w:right="0" w:hanging="180"/>
              <w:rPr>
                <w:color w:val="000000"/>
              </w:rPr>
            </w:pPr>
            <w:r>
              <w:rPr>
                <w:color w:val="000000"/>
              </w:rPr>
              <w:t>Mandatory commitments to sell mortgage loans</w:t>
            </w:r>
          </w:p>
        </w:tc>
        <w:tc>
          <w:tcPr>
            <w:tcW w:w="973" w:type="dxa"/>
            <w:tcBorders/>
            <w:shd w:fill="CCEEFF" w:val="clear"/>
            <w:vAlign w:val="bottom"/>
          </w:tcPr>
          <w:p>
            <w:pPr>
              <w:pStyle w:val="TableContents"/>
              <w:spacing w:before="0" w:after="0"/>
              <w:rPr>
                <w:color w:val="000000"/>
              </w:rPr>
            </w:pPr>
            <w:r>
              <w:rPr>
                <w:color w:val="000000"/>
              </w:rPr>
              <w:t>Other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0"/>
              <w:rPr>
                <w:color w:val="000000"/>
              </w:rPr>
            </w:pPr>
            <w:r>
              <w:rPr>
                <w:color w:val="000000"/>
              </w:rPr>
              <w:t>Other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Other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334</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Other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383</w:t>
            </w:r>
          </w:p>
        </w:tc>
        <w:tc>
          <w:tcPr>
            <w:tcW w:w="77" w:type="dxa"/>
            <w:tcBorders/>
            <w:shd w:fill="CCEEFF" w:val="clear"/>
            <w:vAlign w:val="bottom"/>
          </w:tcPr>
          <w:p>
            <w:pPr>
              <w:pStyle w:val="TableContents"/>
              <w:spacing w:before="0" w:after="283"/>
              <w:rPr/>
            </w:pPr>
            <w:r>
              <w:rPr/>
              <w:t> </w:t>
            </w:r>
          </w:p>
        </w:tc>
      </w:tr>
      <w:tr>
        <w:trPr/>
        <w:tc>
          <w:tcPr>
            <w:tcW w:w="2042" w:type="dxa"/>
            <w:tcBorders/>
            <w:shd w:fill="FFFFFF" w:val="clear"/>
            <w:vAlign w:val="bottom"/>
          </w:tcPr>
          <w:p>
            <w:pPr>
              <w:pStyle w:val="TableContents"/>
              <w:spacing w:before="0" w:after="0"/>
              <w:ind w:left="360" w:right="0" w:hanging="180"/>
              <w:rPr>
                <w:color w:val="000000"/>
              </w:rPr>
            </w:pPr>
            <w:r>
              <w:rPr>
                <w:color w:val="000000"/>
              </w:rPr>
              <w:t>Pay-fixed interest rate swap agreements -commercial</w:t>
            </w:r>
          </w:p>
        </w:tc>
        <w:tc>
          <w:tcPr>
            <w:tcW w:w="973" w:type="dxa"/>
            <w:tcBorders/>
            <w:shd w:fill="FFFFFF" w:val="clear"/>
            <w:vAlign w:val="bottom"/>
          </w:tcPr>
          <w:p>
            <w:pPr>
              <w:pStyle w:val="TableContents"/>
              <w:spacing w:before="0" w:after="0"/>
              <w:rPr>
                <w:color w:val="000000"/>
              </w:rPr>
            </w:pPr>
            <w:r>
              <w:rPr>
                <w:color w:val="000000"/>
              </w:rPr>
              <w:t>Other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80</w:t>
            </w:r>
          </w:p>
        </w:tc>
        <w:tc>
          <w:tcPr>
            <w:tcW w:w="60" w:type="dxa"/>
            <w:tcBorders/>
            <w:shd w:fill="FFFFFF" w:val="clear"/>
            <w:vAlign w:val="bottom"/>
          </w:tcPr>
          <w:p>
            <w:pPr>
              <w:pStyle w:val="TableContents"/>
              <w:spacing w:before="0" w:after="283"/>
              <w:rPr/>
            </w:pPr>
            <w:r>
              <w:rPr/>
              <w:t> </w:t>
            </w:r>
          </w:p>
        </w:tc>
        <w:tc>
          <w:tcPr>
            <w:tcW w:w="973" w:type="dxa"/>
            <w:tcBorders/>
            <w:shd w:fill="FFFFFF" w:val="clear"/>
            <w:vAlign w:val="bottom"/>
          </w:tcPr>
          <w:p>
            <w:pPr>
              <w:pStyle w:val="TableContents"/>
              <w:spacing w:before="0" w:after="0"/>
              <w:rPr>
                <w:color w:val="000000"/>
              </w:rPr>
            </w:pPr>
            <w:r>
              <w:rPr>
                <w:color w:val="000000"/>
              </w:rPr>
              <w:t>Other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1,116</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Other 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3,259</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Other 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711</w:t>
            </w:r>
          </w:p>
        </w:tc>
        <w:tc>
          <w:tcPr>
            <w:tcW w:w="77" w:type="dxa"/>
            <w:tcBorders/>
            <w:shd w:fill="FFFFFF" w:val="clear"/>
            <w:vAlign w:val="bottom"/>
          </w:tcPr>
          <w:p>
            <w:pPr>
              <w:pStyle w:val="TableContents"/>
              <w:spacing w:before="0" w:after="283"/>
              <w:rPr/>
            </w:pPr>
            <w:r>
              <w:rPr/>
              <w:t> </w:t>
            </w:r>
          </w:p>
        </w:tc>
      </w:tr>
      <w:tr>
        <w:trPr/>
        <w:tc>
          <w:tcPr>
            <w:tcW w:w="2042" w:type="dxa"/>
            <w:tcBorders/>
            <w:shd w:fill="CCEEFF" w:val="clear"/>
            <w:vAlign w:val="bottom"/>
          </w:tcPr>
          <w:p>
            <w:pPr>
              <w:pStyle w:val="TableContents"/>
              <w:spacing w:before="0" w:after="0"/>
              <w:ind w:left="360" w:right="0" w:hanging="180"/>
              <w:rPr>
                <w:color w:val="000000"/>
              </w:rPr>
            </w:pPr>
            <w:r>
              <w:rPr>
                <w:color w:val="000000"/>
              </w:rPr>
              <w:t>Pay-variable interest rate swap agreements -commercial</w:t>
            </w:r>
          </w:p>
        </w:tc>
        <w:tc>
          <w:tcPr>
            <w:tcW w:w="973" w:type="dxa"/>
            <w:tcBorders/>
            <w:shd w:fill="CCEEFF" w:val="clear"/>
            <w:vAlign w:val="bottom"/>
          </w:tcPr>
          <w:p>
            <w:pPr>
              <w:pStyle w:val="TableContents"/>
              <w:spacing w:before="0" w:after="0"/>
              <w:rPr>
                <w:color w:val="000000"/>
              </w:rPr>
            </w:pPr>
            <w:r>
              <w:rPr>
                <w:color w:val="000000"/>
              </w:rPr>
              <w:t>Other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3,259</w:t>
            </w:r>
          </w:p>
        </w:tc>
        <w:tc>
          <w:tcPr>
            <w:tcW w:w="60"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0"/>
              <w:rPr>
                <w:color w:val="000000"/>
              </w:rPr>
            </w:pPr>
            <w:r>
              <w:rPr>
                <w:color w:val="000000"/>
              </w:rPr>
              <w:t>Other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711</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Other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80</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Other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1,116</w:t>
            </w:r>
          </w:p>
        </w:tc>
        <w:tc>
          <w:tcPr>
            <w:tcW w:w="77" w:type="dxa"/>
            <w:tcBorders/>
            <w:shd w:fill="CCEEFF" w:val="clear"/>
            <w:vAlign w:val="bottom"/>
          </w:tcPr>
          <w:p>
            <w:pPr>
              <w:pStyle w:val="TableContents"/>
              <w:spacing w:before="0" w:after="283"/>
              <w:rPr/>
            </w:pPr>
            <w:r>
              <w:rPr/>
              <w:t> </w:t>
            </w:r>
          </w:p>
        </w:tc>
      </w:tr>
      <w:tr>
        <w:trPr/>
        <w:tc>
          <w:tcPr>
            <w:tcW w:w="2042" w:type="dxa"/>
            <w:tcBorders/>
            <w:shd w:fill="FFFFFF" w:val="clear"/>
            <w:vAlign w:val="bottom"/>
          </w:tcPr>
          <w:p>
            <w:pPr>
              <w:pStyle w:val="TableContents"/>
              <w:spacing w:before="0" w:after="0"/>
              <w:ind w:left="360" w:right="0" w:hanging="180"/>
              <w:rPr>
                <w:color w:val="000000"/>
              </w:rPr>
            </w:pPr>
            <w:r>
              <w:rPr>
                <w:color w:val="000000"/>
              </w:rPr>
              <w:t>Purchased options</w:t>
            </w:r>
          </w:p>
        </w:tc>
        <w:tc>
          <w:tcPr>
            <w:tcW w:w="973" w:type="dxa"/>
            <w:tcBorders/>
            <w:shd w:fill="FFFFFF" w:val="clear"/>
            <w:vAlign w:val="bottom"/>
          </w:tcPr>
          <w:p>
            <w:pPr>
              <w:pStyle w:val="TableContents"/>
              <w:spacing w:before="0" w:after="0"/>
              <w:rPr>
                <w:color w:val="000000"/>
              </w:rPr>
            </w:pPr>
            <w:r>
              <w:rPr>
                <w:color w:val="000000"/>
              </w:rPr>
              <w:t>Other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171</w:t>
            </w:r>
          </w:p>
        </w:tc>
        <w:tc>
          <w:tcPr>
            <w:tcW w:w="60" w:type="dxa"/>
            <w:tcBorders/>
            <w:shd w:fill="FFFFFF" w:val="clear"/>
            <w:vAlign w:val="bottom"/>
          </w:tcPr>
          <w:p>
            <w:pPr>
              <w:pStyle w:val="TableContents"/>
              <w:spacing w:before="0" w:after="283"/>
              <w:rPr/>
            </w:pPr>
            <w:r>
              <w:rPr/>
              <w:t> </w:t>
            </w:r>
          </w:p>
        </w:tc>
        <w:tc>
          <w:tcPr>
            <w:tcW w:w="973" w:type="dxa"/>
            <w:tcBorders/>
            <w:shd w:fill="FFFFFF" w:val="clear"/>
            <w:vAlign w:val="bottom"/>
          </w:tcPr>
          <w:p>
            <w:pPr>
              <w:pStyle w:val="TableContents"/>
              <w:spacing w:before="0" w:after="0"/>
              <w:rPr>
                <w:color w:val="000000"/>
              </w:rPr>
            </w:pPr>
            <w:r>
              <w:rPr>
                <w:color w:val="000000"/>
              </w:rPr>
              <w:t>Other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116</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Other 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Other 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w:t>
            </w:r>
          </w:p>
        </w:tc>
        <w:tc>
          <w:tcPr>
            <w:tcW w:w="77" w:type="dxa"/>
            <w:tcBorders/>
            <w:shd w:fill="FFFFFF" w:val="clear"/>
            <w:vAlign w:val="bottom"/>
          </w:tcPr>
          <w:p>
            <w:pPr>
              <w:pStyle w:val="TableContents"/>
              <w:spacing w:before="0" w:after="283"/>
              <w:rPr/>
            </w:pPr>
            <w:r>
              <w:rPr/>
              <w:t> </w:t>
            </w:r>
          </w:p>
        </w:tc>
      </w:tr>
      <w:tr>
        <w:trPr/>
        <w:tc>
          <w:tcPr>
            <w:tcW w:w="2042" w:type="dxa"/>
            <w:tcBorders/>
            <w:shd w:fill="CCEEFF" w:val="clear"/>
            <w:vAlign w:val="bottom"/>
          </w:tcPr>
          <w:p>
            <w:pPr>
              <w:pStyle w:val="TableContents"/>
              <w:spacing w:before="0" w:after="0"/>
              <w:ind w:left="360" w:right="0" w:hanging="180"/>
              <w:rPr>
                <w:color w:val="000000"/>
              </w:rPr>
            </w:pPr>
            <w:r>
              <w:rPr>
                <w:color w:val="000000"/>
              </w:rPr>
              <w:t> </w:t>
            </w:r>
          </w:p>
        </w:tc>
        <w:tc>
          <w:tcPr>
            <w:tcW w:w="973"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77" w:type="dxa"/>
            <w:tcBorders/>
            <w:shd w:fill="CCEEFF" w:val="clear"/>
            <w:vAlign w:val="bottom"/>
          </w:tcPr>
          <w:p>
            <w:pPr>
              <w:pStyle w:val="TableContents"/>
              <w:spacing w:before="0" w:after="283"/>
              <w:rPr/>
            </w:pPr>
            <w:r>
              <w:rPr/>
              <w:t> </w:t>
            </w:r>
          </w:p>
        </w:tc>
      </w:tr>
      <w:tr>
        <w:trPr/>
        <w:tc>
          <w:tcPr>
            <w:tcW w:w="2042" w:type="dxa"/>
            <w:tcBorders/>
            <w:shd w:fill="FFFFFF" w:val="clear"/>
            <w:vAlign w:val="bottom"/>
          </w:tcPr>
          <w:p>
            <w:pPr>
              <w:pStyle w:val="TableContents"/>
              <w:spacing w:before="0" w:after="0"/>
              <w:ind w:left="360" w:right="0" w:hanging="180"/>
              <w:rPr>
                <w:color w:val="000000"/>
              </w:rPr>
            </w:pPr>
            <w:r>
              <w:rPr>
                <w:color w:val="000000"/>
              </w:rPr>
              <w:t>Written options</w:t>
            </w:r>
          </w:p>
        </w:tc>
        <w:tc>
          <w:tcPr>
            <w:tcW w:w="973" w:type="dxa"/>
            <w:tcBorders/>
            <w:shd w:fill="FFFFFF" w:val="clear"/>
            <w:vAlign w:val="bottom"/>
          </w:tcPr>
          <w:p>
            <w:pPr>
              <w:pStyle w:val="TableContents"/>
              <w:spacing w:before="0" w:after="0"/>
              <w:rPr>
                <w:color w:val="000000"/>
              </w:rPr>
            </w:pPr>
            <w:r>
              <w:rPr>
                <w:color w:val="000000"/>
              </w:rPr>
              <w:t>Other assets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560" w:type="dxa"/>
            <w:tcBorders>
              <w:bottom w:val="single" w:sz="12" w:space="0" w:color="000000"/>
            </w:tcBorders>
            <w:shd w:fill="FFFFFF" w:val="clear"/>
            <w:tcMar>
              <w:bottom w:w="28" w:type="dxa"/>
            </w:tcM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973" w:type="dxa"/>
            <w:tcBorders/>
            <w:shd w:fill="FFFFFF" w:val="clear"/>
            <w:vAlign w:val="bottom"/>
          </w:tcPr>
          <w:p>
            <w:pPr>
              <w:pStyle w:val="TableContents"/>
              <w:spacing w:before="0" w:after="0"/>
              <w:rPr>
                <w:color w:val="000000"/>
              </w:rPr>
            </w:pPr>
            <w:r>
              <w:rPr>
                <w:color w:val="000000"/>
              </w:rPr>
              <w:t>Other assets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560" w:type="dxa"/>
            <w:tcBorders>
              <w:bottom w:val="single" w:sz="12" w:space="0" w:color="000000"/>
            </w:tcBorders>
            <w:shd w:fill="FFFFFF" w:val="clear"/>
            <w:tcMar>
              <w:bottom w:w="28" w:type="dxa"/>
            </w:tcM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Other liabilities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560" w:type="dxa"/>
            <w:tcBorders>
              <w:bottom w:val="single" w:sz="12" w:space="0" w:color="000000"/>
            </w:tcBorders>
            <w:shd w:fill="FFFFFF" w:val="clear"/>
            <w:tcMar>
              <w:bottom w:w="28" w:type="dxa"/>
            </w:tcMar>
            <w:vAlign w:val="bottom"/>
          </w:tcPr>
          <w:p>
            <w:pPr>
              <w:pStyle w:val="TableContents"/>
              <w:spacing w:before="0" w:after="0"/>
              <w:jc w:val="right"/>
              <w:rPr>
                <w:color w:val="000000"/>
              </w:rPr>
            </w:pPr>
            <w:r>
              <w:rPr>
                <w:color w:val="000000"/>
              </w:rPr>
              <w:t>170</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ind w:left="180" w:right="0" w:hanging="180"/>
              <w:rPr>
                <w:color w:val="000000"/>
              </w:rPr>
            </w:pPr>
            <w:r>
              <w:rPr>
                <w:color w:val="000000"/>
              </w:rPr>
              <w:t>Other liabilities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560" w:type="dxa"/>
            <w:tcBorders>
              <w:bottom w:val="single" w:sz="12" w:space="0" w:color="000000"/>
            </w:tcBorders>
            <w:shd w:fill="FFFFFF" w:val="clear"/>
            <w:tcMar>
              <w:bottom w:w="28" w:type="dxa"/>
            </w:tcMar>
            <w:vAlign w:val="bottom"/>
          </w:tcPr>
          <w:p>
            <w:pPr>
              <w:pStyle w:val="TableContents"/>
              <w:spacing w:before="0" w:after="0"/>
              <w:jc w:val="right"/>
              <w:rPr>
                <w:color w:val="000000"/>
              </w:rPr>
            </w:pPr>
            <w:r>
              <w:rPr>
                <w:color w:val="000000"/>
              </w:rPr>
              <w:t>116</w:t>
            </w:r>
          </w:p>
        </w:tc>
        <w:tc>
          <w:tcPr>
            <w:tcW w:w="77" w:type="dxa"/>
            <w:tcBorders/>
            <w:shd w:fill="FFFFFF" w:val="clear"/>
            <w:vAlign w:val="bottom"/>
          </w:tcPr>
          <w:p>
            <w:pPr>
              <w:pStyle w:val="TableContents"/>
              <w:spacing w:before="0" w:after="283"/>
              <w:rPr/>
            </w:pPr>
            <w:r>
              <w:rPr/>
              <w:t> </w:t>
            </w:r>
          </w:p>
        </w:tc>
      </w:tr>
      <w:tr>
        <w:trPr/>
        <w:tc>
          <w:tcPr>
            <w:tcW w:w="2042" w:type="dxa"/>
            <w:tcBorders/>
            <w:shd w:fill="CCEEFF" w:val="clear"/>
            <w:vAlign w:val="bottom"/>
          </w:tcPr>
          <w:p>
            <w:pPr>
              <w:pStyle w:val="TableContents"/>
              <w:spacing w:before="0" w:after="0"/>
              <w:ind w:left="360" w:right="0" w:hanging="180"/>
              <w:rPr>
                <w:color w:val="000000"/>
              </w:rPr>
            </w:pPr>
            <w:r>
              <w:rPr>
                <w:color w:val="000000"/>
              </w:rPr>
              <w:t> </w:t>
            </w:r>
          </w:p>
        </w:tc>
        <w:tc>
          <w:tcPr>
            <w:tcW w:w="973"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5,657</w:t>
            </w:r>
          </w:p>
        </w:tc>
        <w:tc>
          <w:tcPr>
            <w:tcW w:w="60" w:type="dxa"/>
            <w:tcBorders/>
            <w:shd w:fill="CCEEFF" w:val="clear"/>
            <w:vAlign w:val="bottom"/>
          </w:tcPr>
          <w:p>
            <w:pPr>
              <w:pStyle w:val="TableContents"/>
              <w:spacing w:before="0" w:after="283"/>
              <w:rPr/>
            </w:pPr>
            <w:r>
              <w:rPr/>
              <w:t> </w:t>
            </w:r>
          </w:p>
        </w:tc>
        <w:tc>
          <w:tcPr>
            <w:tcW w:w="973"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2,630</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3,843</w:t>
            </w:r>
          </w:p>
        </w:tc>
        <w:tc>
          <w:tcPr>
            <w:tcW w:w="60" w:type="dxa"/>
            <w:tcBorders/>
            <w:shd w:fill="CCEEFF" w:val="clear"/>
            <w:vAlign w:val="bottom"/>
          </w:tcPr>
          <w:p>
            <w:pPr>
              <w:pStyle w:val="TableContents"/>
              <w:spacing w:before="0" w:after="283"/>
              <w:rPr/>
            </w:pPr>
            <w:r>
              <w:rPr/>
              <w:t> </w:t>
            </w:r>
          </w:p>
        </w:tc>
        <w:tc>
          <w:tcPr>
            <w:tcW w:w="1460"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2,326</w:t>
            </w:r>
          </w:p>
        </w:tc>
        <w:tc>
          <w:tcPr>
            <w:tcW w:w="77" w:type="dxa"/>
            <w:tcBorders/>
            <w:shd w:fill="CCEEFF" w:val="clear"/>
            <w:vAlign w:val="bottom"/>
          </w:tcPr>
          <w:p>
            <w:pPr>
              <w:pStyle w:val="TableContents"/>
              <w:spacing w:before="0" w:after="283"/>
              <w:rPr/>
            </w:pPr>
            <w:r>
              <w:rPr/>
              <w:t> </w:t>
            </w:r>
          </w:p>
        </w:tc>
      </w:tr>
      <w:tr>
        <w:trPr/>
        <w:tc>
          <w:tcPr>
            <w:tcW w:w="2042" w:type="dxa"/>
            <w:tcBorders/>
            <w:shd w:fill="FFFFFF" w:val="clear"/>
            <w:vAlign w:val="bottom"/>
          </w:tcPr>
          <w:p>
            <w:pPr>
              <w:pStyle w:val="TableContents"/>
              <w:spacing w:before="0" w:after="0"/>
              <w:ind w:left="540" w:right="0" w:hanging="180"/>
              <w:rPr>
                <w:color w:val="000000"/>
              </w:rPr>
            </w:pPr>
            <w:r>
              <w:rPr>
                <w:color w:val="000000"/>
              </w:rPr>
              <w:t>Total derivatives</w:t>
            </w:r>
          </w:p>
        </w:tc>
        <w:tc>
          <w:tcPr>
            <w:tcW w:w="973" w:type="dxa"/>
            <w:tcBorders/>
            <w:shd w:fill="FFFFFF" w:val="clear"/>
            <w:vAlign w:val="bottom"/>
          </w:tcPr>
          <w:p>
            <w:pPr>
              <w:pStyle w:val="TableContents"/>
              <w:spacing w:before="0" w:after="0"/>
              <w:rPr>
                <w:color w:val="000000"/>
              </w:rPr>
            </w:pPr>
            <w:r>
              <w:rPr>
                <w:color w:val="000000"/>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6,233</w:t>
            </w:r>
          </w:p>
        </w:tc>
        <w:tc>
          <w:tcPr>
            <w:tcW w:w="60" w:type="dxa"/>
            <w:tcBorders/>
            <w:shd w:fill="FFFFFF" w:val="clear"/>
            <w:vAlign w:val="bottom"/>
          </w:tcPr>
          <w:p>
            <w:pPr>
              <w:pStyle w:val="TableContents"/>
              <w:spacing w:before="0" w:after="283"/>
              <w:rPr/>
            </w:pPr>
            <w:r>
              <w:rPr/>
              <w:t> </w:t>
            </w:r>
          </w:p>
        </w:tc>
        <w:tc>
          <w:tcPr>
            <w:tcW w:w="973" w:type="dxa"/>
            <w:tcBorders/>
            <w:shd w:fill="FFFFFF" w:val="clear"/>
            <w:vAlign w:val="bottom"/>
          </w:tcPr>
          <w:p>
            <w:pPr>
              <w:pStyle w:val="TableContents"/>
              <w:spacing w:before="0" w:after="0"/>
              <w:rPr>
                <w:color w:val="000000"/>
              </w:rPr>
            </w:pPr>
            <w:r>
              <w:rPr>
                <w:color w:val="000000"/>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5,155</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rPr>
                <w:color w:val="000000"/>
              </w:rPr>
            </w:pPr>
            <w:r>
              <w:rPr>
                <w:color w:val="000000"/>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4,217</w:t>
            </w:r>
          </w:p>
        </w:tc>
        <w:tc>
          <w:tcPr>
            <w:tcW w:w="60" w:type="dxa"/>
            <w:tcBorders/>
            <w:shd w:fill="FFFFFF" w:val="clear"/>
            <w:vAlign w:val="bottom"/>
          </w:tcPr>
          <w:p>
            <w:pPr>
              <w:pStyle w:val="TableContents"/>
              <w:spacing w:before="0" w:after="283"/>
              <w:rPr/>
            </w:pPr>
            <w:r>
              <w:rPr/>
              <w:t> </w:t>
            </w:r>
          </w:p>
        </w:tc>
        <w:tc>
          <w:tcPr>
            <w:tcW w:w="1460" w:type="dxa"/>
            <w:tcBorders/>
            <w:shd w:fill="FFFFFF" w:val="clear"/>
            <w:vAlign w:val="bottom"/>
          </w:tcPr>
          <w:p>
            <w:pPr>
              <w:pStyle w:val="TableContents"/>
              <w:spacing w:before="0" w:after="0"/>
              <w:rPr>
                <w:color w:val="000000"/>
              </w:rPr>
            </w:pPr>
            <w:r>
              <w:rPr>
                <w:color w:val="000000"/>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2,326</w:t>
            </w:r>
          </w:p>
        </w:tc>
        <w:tc>
          <w:tcPr>
            <w:tcW w:w="77"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68" w:name="DSPFPageBreakArea35"/>
      <w:bookmarkStart w:id="369" w:name="DSPFPageBreakArea35"/>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370" w:name="DSPFPageNumber35"/>
      <w:bookmarkStart w:id="371" w:name="DSPFPageNumberArea34"/>
      <w:bookmarkEnd w:id="370"/>
      <w:bookmarkEnd w:id="371"/>
      <w:r>
        <w:rPr>
          <w:b w:val="false"/>
          <w:i w:val="false"/>
          <w:caps w:val="false"/>
          <w:smallCaps w:val="false"/>
          <w:sz w:val="13"/>
        </w:rPr>
        <w:t>36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72" w:name="DSPFPageBreak35"/>
      <w:bookmarkStart w:id="373" w:name="DSPFPageBreak35"/>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374" w:name="DSPFPageHeader34"/>
        <w:bookmarkEnd w:id="37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The effect of derivative financial instruments on the Condensed Consolidated Statements of Operations follows:</w:t>
      </w:r>
    </w:p>
    <w:p>
      <w:pPr>
        <w:pStyle w:val="TextBody"/>
        <w:spacing w:before="0" w:after="0"/>
        <w:jc w:val="both"/>
        <w:rPr/>
      </w:pPr>
      <w:r>
        <w:rPr/>
      </w:r>
    </w:p>
    <w:p>
      <w:pPr>
        <w:pStyle w:val="Normal"/>
        <w:spacing w:before="0" w:after="0"/>
        <w:rPr>
          <w:sz w:val="4"/>
          <w:szCs w:val="4"/>
        </w:rPr>
      </w:pPr>
      <w:r>
        <w:rPr>
          <w:sz w:val="4"/>
          <w:szCs w:val="4"/>
        </w:rPr>
      </w:r>
      <w:bookmarkStart w:id="375" w:name="z1d14b788e04c4dd48f9a36db30fc5e60"/>
      <w:bookmarkStart w:id="376" w:name="z1d14b788e04c4dd48f9a36db30fc5e60"/>
      <w:bookmarkEnd w:id="376"/>
    </w:p>
    <w:tbl>
      <w:tblPr>
        <w:tblW w:w="13165" w:type="dxa"/>
        <w:jc w:val="left"/>
        <w:tblInd w:w="0" w:type="dxa"/>
        <w:tblCellMar>
          <w:top w:w="0" w:type="dxa"/>
          <w:left w:w="0" w:type="dxa"/>
          <w:bottom w:w="28" w:type="dxa"/>
          <w:right w:w="0" w:type="dxa"/>
        </w:tblCellMar>
      </w:tblPr>
      <w:tblGrid>
        <w:gridCol w:w="4490"/>
        <w:gridCol w:w="60"/>
        <w:gridCol w:w="195"/>
        <w:gridCol w:w="635"/>
        <w:gridCol w:w="132"/>
        <w:gridCol w:w="83"/>
        <w:gridCol w:w="195"/>
        <w:gridCol w:w="535"/>
        <w:gridCol w:w="60"/>
        <w:gridCol w:w="1565"/>
        <w:gridCol w:w="60"/>
        <w:gridCol w:w="253"/>
        <w:gridCol w:w="686"/>
        <w:gridCol w:w="108"/>
        <w:gridCol w:w="108"/>
        <w:gridCol w:w="253"/>
        <w:gridCol w:w="472"/>
        <w:gridCol w:w="60"/>
        <w:gridCol w:w="1535"/>
        <w:gridCol w:w="60"/>
        <w:gridCol w:w="140"/>
        <w:gridCol w:w="635"/>
        <w:gridCol w:w="95"/>
        <w:gridCol w:w="60"/>
        <w:gridCol w:w="140"/>
        <w:gridCol w:w="455"/>
        <w:gridCol w:w="95"/>
      </w:tblGrid>
      <w:tr>
        <w:trPr/>
        <w:tc>
          <w:tcPr>
            <w:tcW w:w="13070" w:type="dxa"/>
            <w:gridSpan w:val="26"/>
            <w:tcBorders>
              <w:bottom w:val="single" w:sz="12" w:space="0" w:color="000000"/>
            </w:tcBorders>
            <w:shd w:fill="auto" w:val="clear"/>
            <w:vAlign w:val="bottom"/>
          </w:tcPr>
          <w:p>
            <w:pPr>
              <w:pStyle w:val="TableContents"/>
              <w:spacing w:before="0" w:after="0"/>
              <w:jc w:val="center"/>
              <w:rPr/>
            </w:pPr>
            <w:r>
              <w:rPr/>
              <w:t>Three Month Periods Ended June 30,</w:t>
            </w:r>
          </w:p>
        </w:tc>
        <w:tc>
          <w:tcPr>
            <w:tcW w:w="95" w:type="dxa"/>
            <w:tcBorders/>
            <w:shd w:fill="auto" w:val="clear"/>
            <w:tcMar>
              <w:bottom w:w="0" w:type="dxa"/>
            </w:tcMar>
            <w:vAlign w:val="bottom"/>
          </w:tcPr>
          <w:p>
            <w:pPr>
              <w:pStyle w:val="TableContents"/>
              <w:spacing w:before="0" w:after="283"/>
              <w:rPr/>
            </w:pPr>
            <w:r>
              <w:rPr/>
              <w:t> </w:t>
            </w:r>
          </w:p>
        </w:tc>
      </w:tr>
      <w:tr>
        <w:trPr/>
        <w:tc>
          <w:tcPr>
            <w:tcW w:w="449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775" w:type="dxa"/>
            <w:gridSpan w:val="6"/>
            <w:tcBorders>
              <w:bottom w:val="single" w:sz="12" w:space="0" w:color="000000"/>
            </w:tcBorders>
            <w:shd w:fill="auto" w:val="clear"/>
            <w:vAlign w:val="bottom"/>
          </w:tcPr>
          <w:p>
            <w:pPr>
              <w:pStyle w:val="TableContents"/>
              <w:spacing w:before="0" w:after="0"/>
              <w:jc w:val="center"/>
              <w:rPr/>
            </w:pPr>
            <w:r>
              <w:rPr/>
              <w:t>Gain (Loss)</w:t>
            </w:r>
          </w:p>
          <w:p>
            <w:pPr>
              <w:pStyle w:val="TableContents"/>
              <w:spacing w:before="0" w:after="0"/>
              <w:jc w:val="center"/>
              <w:rPr/>
            </w:pPr>
            <w:r>
              <w:rPr/>
              <w:t>Recognized in</w:t>
            </w:r>
          </w:p>
          <w:p>
            <w:pPr>
              <w:pStyle w:val="TableContents"/>
              <w:spacing w:before="0" w:after="0"/>
              <w:jc w:val="center"/>
              <w:rPr/>
            </w:pPr>
            <w:r>
              <w:rPr/>
              <w:t>Other</w:t>
            </w:r>
          </w:p>
          <w:p>
            <w:pPr>
              <w:pStyle w:val="TableContents"/>
              <w:spacing w:before="0" w:after="0"/>
              <w:jc w:val="center"/>
              <w:rPr/>
            </w:pPr>
            <w:r>
              <w:rPr/>
              <w:t>Comprehensive</w:t>
            </w:r>
          </w:p>
          <w:p>
            <w:pPr>
              <w:pStyle w:val="TableContents"/>
              <w:spacing w:before="0" w:after="0"/>
              <w:jc w:val="center"/>
              <w:rPr/>
            </w:pPr>
            <w:r>
              <w:rPr/>
              <w:t>Income (Loss)</w:t>
            </w:r>
          </w:p>
          <w:p>
            <w:pPr>
              <w:pStyle w:val="TableContents"/>
              <w:spacing w:before="0" w:after="0"/>
              <w:jc w:val="center"/>
              <w:rPr/>
            </w:pPr>
            <w:r>
              <w:rPr/>
              <w:t>(Effective Portion)</w:t>
            </w:r>
          </w:p>
        </w:tc>
        <w:tc>
          <w:tcPr>
            <w:tcW w:w="60" w:type="dxa"/>
            <w:tcBorders/>
            <w:shd w:fill="auto" w:val="clear"/>
            <w:tcMar>
              <w:bottom w:w="0" w:type="dxa"/>
            </w:tcMar>
            <w:vAlign w:val="bottom"/>
          </w:tcPr>
          <w:p>
            <w:pPr>
              <w:pStyle w:val="TableContents"/>
              <w:spacing w:before="0" w:after="283"/>
              <w:rPr/>
            </w:pPr>
            <w:r>
              <w:rPr/>
              <w:t> </w:t>
            </w:r>
          </w:p>
        </w:tc>
        <w:tc>
          <w:tcPr>
            <w:tcW w:w="1565" w:type="dxa"/>
            <w:tcBorders/>
            <w:shd w:fill="auto" w:val="clear"/>
            <w:tcMar>
              <w:bottom w:w="0" w:type="dxa"/>
            </w:tcMar>
            <w:vAlign w:val="bottom"/>
          </w:tcPr>
          <w:p>
            <w:pPr>
              <w:pStyle w:val="TableContents"/>
              <w:spacing w:before="0" w:after="0"/>
              <w:jc w:val="center"/>
              <w:rPr/>
            </w:pPr>
            <w:r>
              <w:rPr/>
              <w:t> </w:t>
            </w:r>
            <w:r>
              <w:rPr/>
              <w:t>Location of</w:t>
            </w:r>
          </w:p>
          <w:p>
            <w:pPr>
              <w:pStyle w:val="TableContents"/>
              <w:spacing w:before="0" w:after="0"/>
              <w:jc w:val="center"/>
              <w:rPr/>
            </w:pPr>
            <w:r>
              <w:rPr/>
              <w:t> </w:t>
            </w:r>
            <w:r>
              <w:rPr/>
              <w:t>Gain</w:t>
            </w:r>
          </w:p>
          <w:p>
            <w:pPr>
              <w:pStyle w:val="TableContents"/>
              <w:spacing w:before="0" w:after="0"/>
              <w:jc w:val="center"/>
              <w:rPr/>
            </w:pPr>
            <w:r>
              <w:rPr/>
              <w:t> </w:t>
            </w:r>
            <w:r>
              <w:rPr/>
              <w:t>Reclassified</w:t>
            </w:r>
          </w:p>
          <w:p>
            <w:pPr>
              <w:pStyle w:val="TableContents"/>
              <w:spacing w:before="0" w:after="0"/>
              <w:jc w:val="center"/>
              <w:rPr/>
            </w:pPr>
            <w:r>
              <w:rPr/>
              <w:t> </w:t>
            </w:r>
            <w:r>
              <w:rPr/>
              <w:t>from</w:t>
            </w:r>
          </w:p>
          <w:p>
            <w:pPr>
              <w:pStyle w:val="TableContents"/>
              <w:spacing w:before="0" w:after="0"/>
              <w:jc w:val="center"/>
              <w:rPr/>
            </w:pPr>
            <w:r>
              <w:rPr/>
              <w:t> </w:t>
            </w:r>
            <w:r>
              <w:rPr/>
              <w:t>Accumulated</w:t>
            </w:r>
          </w:p>
          <w:p>
            <w:pPr>
              <w:pStyle w:val="TableContents"/>
              <w:spacing w:before="0" w:after="0"/>
              <w:jc w:val="center"/>
              <w:rPr/>
            </w:pPr>
            <w:r>
              <w:rPr/>
              <w:t> </w:t>
            </w:r>
            <w:r>
              <w:rPr/>
              <w:t>Other</w:t>
            </w:r>
          </w:p>
          <w:p>
            <w:pPr>
              <w:pStyle w:val="TableContents"/>
              <w:spacing w:before="0" w:after="0"/>
              <w:jc w:val="center"/>
              <w:rPr/>
            </w:pPr>
            <w:r>
              <w:rPr/>
              <w:t> </w:t>
            </w:r>
            <w:r>
              <w:rPr/>
              <w:t>Comprehensive</w:t>
            </w:r>
          </w:p>
          <w:p>
            <w:pPr>
              <w:pStyle w:val="TableContents"/>
              <w:spacing w:before="0" w:after="0"/>
              <w:jc w:val="center"/>
              <w:rPr/>
            </w:pPr>
            <w:r>
              <w:rPr/>
              <w:t> </w:t>
            </w:r>
            <w:r>
              <w:rPr/>
              <w:t>Loss into</w:t>
            </w:r>
          </w:p>
          <w:p>
            <w:pPr>
              <w:pStyle w:val="TableContents"/>
              <w:spacing w:before="0" w:after="0"/>
              <w:jc w:val="center"/>
              <w:rPr/>
            </w:pPr>
            <w:r>
              <w:rPr/>
              <w:t> </w:t>
            </w:r>
            <w:r>
              <w:rPr/>
              <w:t>Income</w:t>
            </w:r>
          </w:p>
          <w:p>
            <w:pPr>
              <w:pStyle w:val="TableContents"/>
              <w:spacing w:before="0" w:after="0"/>
              <w:jc w:val="center"/>
              <w:rPr/>
            </w:pPr>
            <w:r>
              <w:rPr/>
              <w:t> </w:t>
            </w:r>
            <w:r>
              <w:rPr/>
              <w:t>(Effective</w:t>
            </w:r>
          </w:p>
        </w:tc>
        <w:tc>
          <w:tcPr>
            <w:tcW w:w="60" w:type="dxa"/>
            <w:tcBorders/>
            <w:shd w:fill="auto" w:val="clear"/>
            <w:tcMar>
              <w:bottom w:w="0" w:type="dxa"/>
            </w:tcMar>
            <w:vAlign w:val="bottom"/>
          </w:tcPr>
          <w:p>
            <w:pPr>
              <w:pStyle w:val="TableContents"/>
              <w:spacing w:before="0" w:after="283"/>
              <w:rPr/>
            </w:pPr>
            <w:r>
              <w:rPr/>
              <w:t> </w:t>
            </w:r>
          </w:p>
        </w:tc>
        <w:tc>
          <w:tcPr>
            <w:tcW w:w="1880" w:type="dxa"/>
            <w:gridSpan w:val="6"/>
            <w:tcBorders>
              <w:bottom w:val="single" w:sz="12" w:space="0" w:color="000000"/>
            </w:tcBorders>
            <w:shd w:fill="auto" w:val="clear"/>
            <w:vAlign w:val="bottom"/>
          </w:tcPr>
          <w:p>
            <w:pPr>
              <w:pStyle w:val="TableContents"/>
              <w:spacing w:before="0" w:after="0"/>
              <w:jc w:val="center"/>
              <w:rPr/>
            </w:pPr>
            <w:r>
              <w:rPr/>
              <w:t>Gain</w:t>
            </w:r>
          </w:p>
          <w:p>
            <w:pPr>
              <w:pStyle w:val="TableContents"/>
              <w:spacing w:before="0" w:after="0"/>
              <w:jc w:val="center"/>
              <w:rPr/>
            </w:pPr>
            <w:r>
              <w:rPr/>
              <w:t>Reclassified from</w:t>
            </w:r>
          </w:p>
          <w:p>
            <w:pPr>
              <w:pStyle w:val="TableContents"/>
              <w:spacing w:before="0" w:after="0"/>
              <w:jc w:val="center"/>
              <w:rPr/>
            </w:pPr>
            <w:r>
              <w:rPr/>
              <w:t>Accumulated Other</w:t>
            </w:r>
          </w:p>
          <w:p>
            <w:pPr>
              <w:pStyle w:val="TableContents"/>
              <w:spacing w:before="0" w:after="0"/>
              <w:jc w:val="center"/>
              <w:rPr/>
            </w:pPr>
            <w:r>
              <w:rPr/>
              <w:t>Comprehensive</w:t>
            </w:r>
          </w:p>
          <w:p>
            <w:pPr>
              <w:pStyle w:val="TableContents"/>
              <w:spacing w:before="0" w:after="0"/>
              <w:jc w:val="center"/>
              <w:rPr/>
            </w:pPr>
            <w:r>
              <w:rPr/>
              <w:t>Loss into Income</w:t>
            </w:r>
          </w:p>
          <w:p>
            <w:pPr>
              <w:pStyle w:val="TableContents"/>
              <w:spacing w:before="0" w:after="0"/>
              <w:jc w:val="center"/>
              <w:rPr/>
            </w:pPr>
            <w:r>
              <w:rPr/>
              <w:t>(Effective Portion)</w:t>
            </w:r>
          </w:p>
        </w:tc>
        <w:tc>
          <w:tcPr>
            <w:tcW w:w="60" w:type="dxa"/>
            <w:tcBorders/>
            <w:shd w:fill="auto" w:val="clear"/>
            <w:tcMar>
              <w:bottom w:w="0" w:type="dxa"/>
            </w:tcMar>
            <w:vAlign w:val="bottom"/>
          </w:tcPr>
          <w:p>
            <w:pPr>
              <w:pStyle w:val="TableContents"/>
              <w:spacing w:before="0" w:after="283"/>
              <w:rPr/>
            </w:pPr>
            <w:r>
              <w:rPr/>
              <w:t> </w:t>
            </w:r>
          </w:p>
        </w:tc>
        <w:tc>
          <w:tcPr>
            <w:tcW w:w="1535" w:type="dxa"/>
            <w:tcBorders/>
            <w:shd w:fill="auto" w:val="clear"/>
            <w:tcMar>
              <w:bottom w:w="0" w:type="dxa"/>
            </w:tcMar>
            <w:vAlign w:val="bottom"/>
          </w:tcPr>
          <w:p>
            <w:pPr>
              <w:pStyle w:val="TableContents"/>
              <w:spacing w:before="0" w:after="0"/>
              <w:jc w:val="center"/>
              <w:rPr/>
            </w:pPr>
            <w:r>
              <w:rPr/>
              <w:t> </w:t>
            </w:r>
            <w:r>
              <w:rPr/>
              <w:t>Location of</w:t>
            </w:r>
          </w:p>
          <w:p>
            <w:pPr>
              <w:pStyle w:val="TableContents"/>
              <w:spacing w:before="0" w:after="0"/>
              <w:jc w:val="center"/>
              <w:rPr/>
            </w:pPr>
            <w:r>
              <w:rPr/>
              <w:t> </w:t>
            </w:r>
            <w:r>
              <w:rPr/>
              <w:t>Gain (Loss)</w:t>
            </w:r>
          </w:p>
          <w:p>
            <w:pPr>
              <w:pStyle w:val="TableContents"/>
              <w:spacing w:before="0" w:after="0"/>
              <w:jc w:val="center"/>
              <w:rPr/>
            </w:pPr>
            <w:r>
              <w:rPr/>
              <w:t> </w:t>
            </w:r>
            <w:r>
              <w:rPr/>
              <w:t>Recognized</w:t>
            </w:r>
          </w:p>
        </w:tc>
        <w:tc>
          <w:tcPr>
            <w:tcW w:w="60" w:type="dxa"/>
            <w:tcBorders/>
            <w:shd w:fill="auto" w:val="clear"/>
            <w:tcMar>
              <w:bottom w:w="0" w:type="dxa"/>
            </w:tcMar>
            <w:vAlign w:val="bottom"/>
          </w:tcPr>
          <w:p>
            <w:pPr>
              <w:pStyle w:val="TableContents"/>
              <w:spacing w:before="0" w:after="283"/>
              <w:rPr/>
            </w:pPr>
            <w:r>
              <w:rPr/>
              <w:t> </w:t>
            </w:r>
          </w:p>
        </w:tc>
        <w:tc>
          <w:tcPr>
            <w:tcW w:w="1525" w:type="dxa"/>
            <w:gridSpan w:val="6"/>
            <w:tcBorders>
              <w:bottom w:val="single" w:sz="12" w:space="0" w:color="000000"/>
            </w:tcBorders>
            <w:shd w:fill="auto" w:val="clear"/>
            <w:vAlign w:val="bottom"/>
          </w:tcPr>
          <w:p>
            <w:pPr>
              <w:pStyle w:val="TableContents"/>
              <w:spacing w:before="0" w:after="0"/>
              <w:jc w:val="center"/>
              <w:rPr/>
            </w:pPr>
            <w:r>
              <w:rPr/>
              <w:t>Gain (Loss)</w:t>
            </w:r>
          </w:p>
          <w:p>
            <w:pPr>
              <w:pStyle w:val="TableContents"/>
              <w:spacing w:before="0" w:after="0"/>
              <w:jc w:val="center"/>
              <w:rPr/>
            </w:pPr>
            <w:r>
              <w:rPr/>
              <w:t>Recognized</w:t>
            </w:r>
          </w:p>
          <w:p>
            <w:pPr>
              <w:pStyle w:val="TableContents"/>
              <w:spacing w:before="0" w:after="0"/>
              <w:jc w:val="center"/>
              <w:rPr/>
            </w:pPr>
            <w:r>
              <w:rPr/>
              <w:t>in Income (1)</w:t>
            </w:r>
          </w:p>
        </w:tc>
        <w:tc>
          <w:tcPr>
            <w:tcW w:w="95" w:type="dxa"/>
            <w:tcBorders/>
            <w:shd w:fill="auto" w:val="clear"/>
            <w:tcMar>
              <w:bottom w:w="0" w:type="dxa"/>
            </w:tcMar>
            <w:vAlign w:val="bottom"/>
          </w:tcPr>
          <w:p>
            <w:pPr>
              <w:pStyle w:val="TableContents"/>
              <w:spacing w:before="0" w:after="283"/>
              <w:ind w:left="180" w:right="0" w:hanging="180"/>
              <w:rPr/>
            </w:pPr>
            <w:r>
              <w:rPr/>
              <w:t> </w:t>
            </w:r>
          </w:p>
        </w:tc>
      </w:tr>
      <w:tr>
        <w:trPr/>
        <w:tc>
          <w:tcPr>
            <w:tcW w:w="449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30" w:type="dxa"/>
            <w:gridSpan w:val="2"/>
            <w:tcBorders>
              <w:bottom w:val="single" w:sz="12" w:space="0" w:color="000000"/>
            </w:tcBorders>
            <w:shd w:fill="auto" w:val="clear"/>
            <w:vAlign w:val="bottom"/>
          </w:tcPr>
          <w:p>
            <w:pPr>
              <w:pStyle w:val="TableContents"/>
              <w:spacing w:before="0" w:after="0"/>
              <w:jc w:val="center"/>
              <w:rPr/>
            </w:pPr>
            <w:r>
              <w:rPr/>
              <w:t>2019</w:t>
            </w:r>
          </w:p>
        </w:tc>
        <w:tc>
          <w:tcPr>
            <w:tcW w:w="132" w:type="dxa"/>
            <w:tcBorders/>
            <w:shd w:fill="auto" w:val="clear"/>
            <w:tcMar>
              <w:bottom w:w="0" w:type="dxa"/>
            </w:tcMar>
            <w:vAlign w:val="bottom"/>
          </w:tcPr>
          <w:p>
            <w:pPr>
              <w:pStyle w:val="TableContents"/>
              <w:spacing w:before="0" w:after="283"/>
              <w:rPr/>
            </w:pPr>
            <w:r>
              <w:rPr/>
              <w:t> </w:t>
            </w:r>
          </w:p>
        </w:tc>
        <w:tc>
          <w:tcPr>
            <w:tcW w:w="83" w:type="dxa"/>
            <w:tcBorders/>
            <w:shd w:fill="auto" w:val="clear"/>
            <w:tcMar>
              <w:bottom w:w="0" w:type="dxa"/>
            </w:tcMar>
            <w:vAlign w:val="bottom"/>
          </w:tcPr>
          <w:p>
            <w:pPr>
              <w:pStyle w:val="TableContents"/>
              <w:spacing w:before="0" w:after="283"/>
              <w:rPr/>
            </w:pPr>
            <w:r>
              <w:rPr/>
              <w:t> </w:t>
            </w:r>
          </w:p>
        </w:tc>
        <w:tc>
          <w:tcPr>
            <w:tcW w:w="730" w:type="dxa"/>
            <w:gridSpan w:val="2"/>
            <w:tcBorders>
              <w:bottom w:val="single" w:sz="12" w:space="0" w:color="000000"/>
            </w:tcBorders>
            <w:shd w:fill="auto" w:val="clear"/>
            <w:vAlign w:val="bottom"/>
          </w:tcPr>
          <w:p>
            <w:pPr>
              <w:pStyle w:val="TableContents"/>
              <w:spacing w:before="0" w:after="0"/>
              <w:jc w:val="center"/>
              <w:rPr/>
            </w:pPr>
            <w:r>
              <w:rPr/>
              <w:t>2018</w:t>
            </w:r>
          </w:p>
        </w:tc>
        <w:tc>
          <w:tcPr>
            <w:tcW w:w="60" w:type="dxa"/>
            <w:tcBorders/>
            <w:shd w:fill="auto" w:val="clear"/>
            <w:tcMar>
              <w:bottom w:w="0" w:type="dxa"/>
            </w:tcMar>
            <w:vAlign w:val="bottom"/>
          </w:tcPr>
          <w:p>
            <w:pPr>
              <w:pStyle w:val="TableContents"/>
              <w:spacing w:before="0" w:after="283"/>
              <w:rPr/>
            </w:pPr>
            <w:r>
              <w:rPr/>
              <w:t> </w:t>
            </w:r>
          </w:p>
        </w:tc>
        <w:tc>
          <w:tcPr>
            <w:tcW w:w="1565" w:type="dxa"/>
            <w:tcBorders>
              <w:bottom w:val="single" w:sz="12" w:space="0" w:color="000000"/>
            </w:tcBorders>
            <w:shd w:fill="auto" w:val="clear"/>
            <w:vAlign w:val="bottom"/>
          </w:tcPr>
          <w:p>
            <w:pPr>
              <w:pStyle w:val="TableContents"/>
              <w:spacing w:before="0" w:after="0"/>
              <w:jc w:val="center"/>
              <w:rPr/>
            </w:pPr>
            <w:r>
              <w:rPr/>
              <w:t> </w:t>
            </w:r>
            <w:r>
              <w:rPr/>
              <w:t>Portion)</w:t>
            </w:r>
          </w:p>
        </w:tc>
        <w:tc>
          <w:tcPr>
            <w:tcW w:w="60" w:type="dxa"/>
            <w:tcBorders/>
            <w:shd w:fill="auto" w:val="clear"/>
            <w:tcMar>
              <w:bottom w:w="0" w:type="dxa"/>
            </w:tcMar>
            <w:vAlign w:val="bottom"/>
          </w:tcPr>
          <w:p>
            <w:pPr>
              <w:pStyle w:val="TableContents"/>
              <w:spacing w:before="0" w:after="283"/>
              <w:rPr/>
            </w:pPr>
            <w:r>
              <w:rPr/>
              <w:t> </w:t>
            </w:r>
          </w:p>
        </w:tc>
        <w:tc>
          <w:tcPr>
            <w:tcW w:w="939" w:type="dxa"/>
            <w:gridSpan w:val="2"/>
            <w:tcBorders>
              <w:bottom w:val="single" w:sz="12" w:space="0" w:color="000000"/>
            </w:tcBorders>
            <w:shd w:fill="auto" w:val="clear"/>
            <w:vAlign w:val="bottom"/>
          </w:tcPr>
          <w:p>
            <w:pPr>
              <w:pStyle w:val="TableContents"/>
              <w:spacing w:before="0" w:after="0"/>
              <w:jc w:val="center"/>
              <w:rPr/>
            </w:pPr>
            <w:r>
              <w:rPr/>
              <w:t>2019</w:t>
            </w:r>
          </w:p>
        </w:tc>
        <w:tc>
          <w:tcPr>
            <w:tcW w:w="108" w:type="dxa"/>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rPr/>
            </w:pPr>
            <w:r>
              <w:rPr/>
              <w:t> </w:t>
            </w:r>
          </w:p>
        </w:tc>
        <w:tc>
          <w:tcPr>
            <w:tcW w:w="725" w:type="dxa"/>
            <w:gridSpan w:val="2"/>
            <w:tcBorders>
              <w:bottom w:val="single" w:sz="12" w:space="0" w:color="000000"/>
            </w:tcBorders>
            <w:shd w:fill="auto" w:val="clear"/>
            <w:vAlign w:val="bottom"/>
          </w:tcPr>
          <w:p>
            <w:pPr>
              <w:pStyle w:val="TableContents"/>
              <w:spacing w:before="0" w:after="0"/>
              <w:jc w:val="center"/>
              <w:rPr/>
            </w:pPr>
            <w:r>
              <w:rPr/>
              <w:t>2018</w:t>
            </w:r>
          </w:p>
        </w:tc>
        <w:tc>
          <w:tcPr>
            <w:tcW w:w="60" w:type="dxa"/>
            <w:tcBorders/>
            <w:shd w:fill="auto" w:val="clear"/>
            <w:tcMar>
              <w:bottom w:w="0" w:type="dxa"/>
            </w:tcMar>
            <w:vAlign w:val="bottom"/>
          </w:tcPr>
          <w:p>
            <w:pPr>
              <w:pStyle w:val="TableContents"/>
              <w:spacing w:before="0" w:after="283"/>
              <w:rPr/>
            </w:pPr>
            <w:r>
              <w:rPr/>
              <w:t> </w:t>
            </w:r>
          </w:p>
        </w:tc>
        <w:tc>
          <w:tcPr>
            <w:tcW w:w="1535" w:type="dxa"/>
            <w:tcBorders>
              <w:bottom w:val="single" w:sz="12" w:space="0" w:color="000000"/>
            </w:tcBorders>
            <w:shd w:fill="auto" w:val="clear"/>
            <w:vAlign w:val="bottom"/>
          </w:tcPr>
          <w:p>
            <w:pPr>
              <w:pStyle w:val="TableContents"/>
              <w:spacing w:before="0" w:after="0"/>
              <w:jc w:val="center"/>
              <w:rPr/>
            </w:pPr>
            <w:r>
              <w:rPr/>
              <w:t> </w:t>
            </w:r>
            <w:r>
              <w:rPr/>
              <w:t>in Income (1)</w:t>
            </w:r>
          </w:p>
        </w:tc>
        <w:tc>
          <w:tcPr>
            <w:tcW w:w="60" w:type="dxa"/>
            <w:tcBorders/>
            <w:shd w:fill="auto" w:val="clear"/>
            <w:tcMar>
              <w:bottom w:w="0" w:type="dxa"/>
            </w:tcMar>
            <w:vAlign w:val="bottom"/>
          </w:tcPr>
          <w:p>
            <w:pPr>
              <w:pStyle w:val="TableContents"/>
              <w:spacing w:before="0" w:after="283"/>
              <w:rPr/>
            </w:pPr>
            <w:r>
              <w:rPr/>
              <w:t> </w:t>
            </w:r>
          </w:p>
        </w:tc>
        <w:tc>
          <w:tcPr>
            <w:tcW w:w="775" w:type="dxa"/>
            <w:gridSpan w:val="2"/>
            <w:tcBorders>
              <w:bottom w:val="single" w:sz="12" w:space="0" w:color="000000"/>
            </w:tcBorders>
            <w:shd w:fill="auto" w:val="clear"/>
            <w:vAlign w:val="bottom"/>
          </w:tcPr>
          <w:p>
            <w:pPr>
              <w:pStyle w:val="TableContents"/>
              <w:spacing w:before="0" w:after="0"/>
              <w:jc w:val="center"/>
              <w:rPr/>
            </w:pPr>
            <w:r>
              <w:rPr/>
              <w:t>2019</w:t>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95" w:type="dxa"/>
            <w:gridSpan w:val="2"/>
            <w:tcBorders>
              <w:bottom w:val="single" w:sz="12" w:space="0" w:color="000000"/>
            </w:tcBorders>
            <w:shd w:fill="auto" w:val="clear"/>
            <w:vAlign w:val="bottom"/>
          </w:tcPr>
          <w:p>
            <w:pPr>
              <w:pStyle w:val="TableContents"/>
              <w:spacing w:before="0" w:after="0"/>
              <w:jc w:val="center"/>
              <w:rPr/>
            </w:pPr>
            <w:r>
              <w:rPr/>
              <w:t>2018</w:t>
            </w:r>
          </w:p>
        </w:tc>
        <w:tc>
          <w:tcPr>
            <w:tcW w:w="95" w:type="dxa"/>
            <w:tcBorders/>
            <w:shd w:fill="auto" w:val="clear"/>
            <w:tcMar>
              <w:bottom w:w="0" w:type="dxa"/>
            </w:tcMar>
            <w:vAlign w:val="bottom"/>
          </w:tcPr>
          <w:p>
            <w:pPr>
              <w:pStyle w:val="TableContents"/>
              <w:spacing w:before="0" w:after="283"/>
              <w:ind w:left="180" w:right="0" w:hanging="180"/>
              <w:rPr/>
            </w:pPr>
            <w:r>
              <w:rPr/>
              <w:t> </w:t>
            </w:r>
          </w:p>
        </w:tc>
      </w:tr>
      <w:tr>
        <w:trPr/>
        <w:tc>
          <w:tcPr>
            <w:tcW w:w="449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30" w:type="dxa"/>
            <w:gridSpan w:val="2"/>
            <w:tcBorders/>
            <w:shd w:fill="auto" w:val="clear"/>
            <w:tcMar>
              <w:bottom w:w="0" w:type="dxa"/>
            </w:tcMar>
            <w:vAlign w:val="bottom"/>
          </w:tcPr>
          <w:p>
            <w:pPr>
              <w:pStyle w:val="TableContents"/>
              <w:spacing w:before="0" w:after="283"/>
              <w:rPr/>
            </w:pPr>
            <w:r>
              <w:rPr/>
              <w:t> </w:t>
            </w:r>
          </w:p>
        </w:tc>
        <w:tc>
          <w:tcPr>
            <w:tcW w:w="132" w:type="dxa"/>
            <w:tcBorders/>
            <w:shd w:fill="auto" w:val="clear"/>
            <w:tcMar>
              <w:bottom w:w="0" w:type="dxa"/>
            </w:tcMar>
            <w:vAlign w:val="bottom"/>
          </w:tcPr>
          <w:p>
            <w:pPr>
              <w:pStyle w:val="TableContents"/>
              <w:spacing w:before="0" w:after="283"/>
              <w:rPr/>
            </w:pPr>
            <w:r>
              <w:rPr/>
              <w:t> </w:t>
            </w:r>
          </w:p>
        </w:tc>
        <w:tc>
          <w:tcPr>
            <w:tcW w:w="83" w:type="dxa"/>
            <w:tcBorders/>
            <w:shd w:fill="auto" w:val="clear"/>
            <w:tcMar>
              <w:bottom w:w="0" w:type="dxa"/>
            </w:tcMar>
            <w:vAlign w:val="bottom"/>
          </w:tcPr>
          <w:p>
            <w:pPr>
              <w:pStyle w:val="TableContents"/>
              <w:spacing w:before="0" w:after="283"/>
              <w:rPr/>
            </w:pPr>
            <w:r>
              <w:rPr/>
              <w:t> </w:t>
            </w:r>
          </w:p>
        </w:tc>
        <w:tc>
          <w:tcPr>
            <w:tcW w:w="73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6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880" w:type="dxa"/>
            <w:gridSpan w:val="6"/>
            <w:tcBorders/>
            <w:shd w:fill="auto" w:val="clear"/>
            <w:tcMar>
              <w:bottom w:w="0" w:type="dxa"/>
            </w:tcMar>
            <w:vAlign w:val="bottom"/>
          </w:tcPr>
          <w:p>
            <w:pPr>
              <w:pStyle w:val="TableContents"/>
              <w:spacing w:before="0" w:after="283"/>
              <w:jc w:val="center"/>
              <w:rPr/>
            </w:pPr>
            <w:r>
              <w:rPr/>
              <w:t>(In thousands)</w:t>
            </w:r>
          </w:p>
        </w:tc>
        <w:tc>
          <w:tcPr>
            <w:tcW w:w="60" w:type="dxa"/>
            <w:tcBorders/>
            <w:shd w:fill="auto" w:val="clear"/>
            <w:tcMar>
              <w:bottom w:w="0" w:type="dxa"/>
            </w:tcMar>
            <w:vAlign w:val="bottom"/>
          </w:tcPr>
          <w:p>
            <w:pPr>
              <w:pStyle w:val="TableContents"/>
              <w:spacing w:before="0" w:after="283"/>
              <w:rPr/>
            </w:pPr>
            <w:r>
              <w:rPr/>
              <w:t> </w:t>
            </w:r>
          </w:p>
        </w:tc>
        <w:tc>
          <w:tcPr>
            <w:tcW w:w="15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75" w:type="dxa"/>
            <w:gridSpan w:val="2"/>
            <w:tcBorders/>
            <w:shd w:fill="auto" w:val="clear"/>
            <w:tcMar>
              <w:bottom w:w="0" w:type="dxa"/>
            </w:tcMar>
            <w:vAlign w:val="bottom"/>
          </w:tcPr>
          <w:p>
            <w:pPr>
              <w:pStyle w:val="TableContents"/>
              <w:spacing w:before="0" w:after="283"/>
              <w:rPr/>
            </w:pPr>
            <w:r>
              <w:rPr/>
              <w:t> </w:t>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95" w:type="dxa"/>
            <w:gridSpan w:val="2"/>
            <w:tcBorders/>
            <w:shd w:fill="auto" w:val="clear"/>
            <w:tcMar>
              <w:bottom w:w="0" w:type="dxa"/>
            </w:tcMar>
            <w:vAlign w:val="bottom"/>
          </w:tcPr>
          <w:p>
            <w:pPr>
              <w:pStyle w:val="TableContents"/>
              <w:spacing w:before="0" w:after="283"/>
              <w:rPr/>
            </w:pPr>
            <w:r>
              <w:rPr/>
              <w:t> </w:t>
            </w:r>
          </w:p>
        </w:tc>
        <w:tc>
          <w:tcPr>
            <w:tcW w:w="95" w:type="dxa"/>
            <w:tcBorders/>
            <w:shd w:fill="auto" w:val="clear"/>
            <w:tcMar>
              <w:bottom w:w="0" w:type="dxa"/>
            </w:tcMar>
            <w:vAlign w:val="bottom"/>
          </w:tcPr>
          <w:p>
            <w:pPr>
              <w:pStyle w:val="TableContents"/>
              <w:spacing w:before="0" w:after="283"/>
              <w:rPr/>
            </w:pPr>
            <w:r>
              <w:rPr/>
              <w:t> </w:t>
            </w:r>
          </w:p>
        </w:tc>
      </w:tr>
      <w:tr>
        <w:trPr/>
        <w:tc>
          <w:tcPr>
            <w:tcW w:w="4490" w:type="dxa"/>
            <w:tcBorders/>
            <w:shd w:fill="auto" w:val="clear"/>
            <w:tcMar>
              <w:bottom w:w="0" w:type="dxa"/>
            </w:tcMar>
            <w:vAlign w:val="bottom"/>
          </w:tcPr>
          <w:p>
            <w:pPr>
              <w:pStyle w:val="TableContents"/>
              <w:spacing w:before="0" w:after="0"/>
              <w:ind w:left="180" w:right="0" w:hanging="180"/>
              <w:rPr/>
            </w:pPr>
            <w:r>
              <w:rPr/>
              <w:t>Fair Value Hedges</w:t>
            </w:r>
          </w:p>
        </w:tc>
        <w:tc>
          <w:tcPr>
            <w:tcW w:w="60" w:type="dxa"/>
            <w:tcBorders/>
            <w:shd w:fill="auto" w:val="clear"/>
            <w:tcMar>
              <w:bottom w:w="0" w:type="dxa"/>
            </w:tcMar>
            <w:vAlign w:val="bottom"/>
          </w:tcPr>
          <w:p>
            <w:pPr>
              <w:pStyle w:val="TableContents"/>
              <w:spacing w:before="0" w:after="283"/>
              <w:rPr/>
            </w:pPr>
            <w:r>
              <w:rPr/>
              <w:t> </w:t>
            </w:r>
          </w:p>
        </w:tc>
        <w:tc>
          <w:tcPr>
            <w:tcW w:w="830" w:type="dxa"/>
            <w:gridSpan w:val="2"/>
            <w:tcBorders/>
            <w:shd w:fill="auto" w:val="clear"/>
            <w:tcMar>
              <w:bottom w:w="0" w:type="dxa"/>
            </w:tcMar>
            <w:vAlign w:val="bottom"/>
          </w:tcPr>
          <w:p>
            <w:pPr>
              <w:pStyle w:val="TableContents"/>
              <w:spacing w:before="0" w:after="283"/>
              <w:rPr/>
            </w:pPr>
            <w:r>
              <w:rPr/>
              <w:t> </w:t>
            </w:r>
          </w:p>
        </w:tc>
        <w:tc>
          <w:tcPr>
            <w:tcW w:w="132" w:type="dxa"/>
            <w:tcBorders/>
            <w:shd w:fill="auto" w:val="clear"/>
            <w:tcMar>
              <w:bottom w:w="0" w:type="dxa"/>
            </w:tcMar>
            <w:vAlign w:val="bottom"/>
          </w:tcPr>
          <w:p>
            <w:pPr>
              <w:pStyle w:val="TableContents"/>
              <w:spacing w:before="0" w:after="283"/>
              <w:rPr/>
            </w:pPr>
            <w:r>
              <w:rPr/>
              <w:t> </w:t>
            </w:r>
          </w:p>
        </w:tc>
        <w:tc>
          <w:tcPr>
            <w:tcW w:w="83" w:type="dxa"/>
            <w:tcBorders/>
            <w:shd w:fill="auto" w:val="clear"/>
            <w:tcMar>
              <w:bottom w:w="0" w:type="dxa"/>
            </w:tcMar>
            <w:vAlign w:val="bottom"/>
          </w:tcPr>
          <w:p>
            <w:pPr>
              <w:pStyle w:val="TableContents"/>
              <w:spacing w:before="0" w:after="283"/>
              <w:rPr/>
            </w:pPr>
            <w:r>
              <w:rPr/>
              <w:t> </w:t>
            </w:r>
          </w:p>
        </w:tc>
        <w:tc>
          <w:tcPr>
            <w:tcW w:w="73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6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39" w:type="dxa"/>
            <w:gridSpan w:val="2"/>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rPr/>
            </w:pPr>
            <w:r>
              <w:rPr/>
              <w:t> </w:t>
            </w:r>
          </w:p>
        </w:tc>
        <w:tc>
          <w:tcPr>
            <w:tcW w:w="72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75" w:type="dxa"/>
            <w:gridSpan w:val="2"/>
            <w:tcBorders/>
            <w:shd w:fill="auto" w:val="clear"/>
            <w:tcMar>
              <w:bottom w:w="0" w:type="dxa"/>
            </w:tcMar>
            <w:vAlign w:val="bottom"/>
          </w:tcPr>
          <w:p>
            <w:pPr>
              <w:pStyle w:val="TableContents"/>
              <w:spacing w:before="0" w:after="283"/>
              <w:rPr/>
            </w:pPr>
            <w:r>
              <w:rPr/>
              <w:t> </w:t>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95" w:type="dxa"/>
            <w:gridSpan w:val="2"/>
            <w:tcBorders/>
            <w:shd w:fill="auto" w:val="clear"/>
            <w:tcMar>
              <w:bottom w:w="0" w:type="dxa"/>
            </w:tcMar>
            <w:vAlign w:val="bottom"/>
          </w:tcPr>
          <w:p>
            <w:pPr>
              <w:pStyle w:val="TableContents"/>
              <w:spacing w:before="0" w:after="283"/>
              <w:rPr/>
            </w:pPr>
            <w:r>
              <w:rPr/>
              <w:t> </w:t>
            </w:r>
          </w:p>
        </w:tc>
        <w:tc>
          <w:tcPr>
            <w:tcW w:w="95" w:type="dxa"/>
            <w:tcBorders/>
            <w:shd w:fill="auto" w:val="clear"/>
            <w:tcMar>
              <w:bottom w:w="0" w:type="dxa"/>
            </w:tcMar>
            <w:vAlign w:val="bottom"/>
          </w:tcPr>
          <w:p>
            <w:pPr>
              <w:pStyle w:val="TableContents"/>
              <w:spacing w:before="0" w:after="283"/>
              <w:rPr/>
            </w:pPr>
            <w:r>
              <w:rPr/>
              <w:t> </w:t>
            </w:r>
          </w:p>
        </w:tc>
      </w:tr>
      <w:tr>
        <w:trPr/>
        <w:tc>
          <w:tcPr>
            <w:tcW w:w="4490" w:type="dxa"/>
            <w:tcBorders/>
            <w:shd w:fill="CCEEFF" w:val="clear"/>
            <w:tcMar>
              <w:bottom w:w="0" w:type="dxa"/>
            </w:tcMar>
            <w:vAlign w:val="bottom"/>
          </w:tcPr>
          <w:p>
            <w:pPr>
              <w:pStyle w:val="TableContents"/>
              <w:spacing w:before="0" w:after="0"/>
              <w:ind w:left="360" w:right="0" w:hanging="180"/>
              <w:rPr/>
            </w:pPr>
            <w:r>
              <w:rPr/>
              <w:t>Pay-fixed interest rate swap agreements</w:t>
            </w:r>
          </w:p>
        </w:tc>
        <w:tc>
          <w:tcPr>
            <w:tcW w:w="60" w:type="dxa"/>
            <w:tcBorders/>
            <w:shd w:fill="CCEEFF" w:val="clear"/>
            <w:tcMar>
              <w:bottom w:w="0" w:type="dxa"/>
            </w:tcMar>
            <w:vAlign w:val="bottom"/>
          </w:tcPr>
          <w:p>
            <w:pPr>
              <w:pStyle w:val="TableContents"/>
              <w:spacing w:before="0" w:after="283"/>
              <w:rPr/>
            </w:pPr>
            <w:r>
              <w:rPr/>
              <w:t> </w:t>
            </w:r>
          </w:p>
        </w:tc>
        <w:tc>
          <w:tcPr>
            <w:tcW w:w="830" w:type="dxa"/>
            <w:gridSpan w:val="2"/>
            <w:tcBorders/>
            <w:shd w:fill="CCEEFF" w:val="clear"/>
            <w:tcMar>
              <w:bottom w:w="0" w:type="dxa"/>
            </w:tcMar>
            <w:vAlign w:val="bottom"/>
          </w:tcPr>
          <w:p>
            <w:pPr>
              <w:pStyle w:val="TableContents"/>
              <w:spacing w:before="0" w:after="283"/>
              <w:rPr/>
            </w:pPr>
            <w:r>
              <w:rPr/>
            </w:r>
          </w:p>
        </w:tc>
        <w:tc>
          <w:tcPr>
            <w:tcW w:w="132" w:type="dxa"/>
            <w:tcBorders/>
            <w:shd w:fill="CCEEFF" w:val="clear"/>
            <w:tcMar>
              <w:bottom w:w="0" w:type="dxa"/>
            </w:tcMar>
            <w:vAlign w:val="bottom"/>
          </w:tcPr>
          <w:p>
            <w:pPr>
              <w:pStyle w:val="TableContents"/>
              <w:spacing w:before="0" w:after="283"/>
              <w:rPr/>
            </w:pPr>
            <w:r>
              <w:rPr/>
              <w:t> </w:t>
            </w:r>
          </w:p>
        </w:tc>
        <w:tc>
          <w:tcPr>
            <w:tcW w:w="83" w:type="dxa"/>
            <w:tcBorders/>
            <w:shd w:fill="CCEEFF" w:val="clear"/>
            <w:tcMar>
              <w:bottom w:w="0" w:type="dxa"/>
            </w:tcMar>
            <w:vAlign w:val="bottom"/>
          </w:tcPr>
          <w:p>
            <w:pPr>
              <w:pStyle w:val="TableContents"/>
              <w:spacing w:before="0" w:after="283"/>
              <w:rPr/>
            </w:pPr>
            <w:r>
              <w:rPr/>
              <w:t> </w:t>
            </w:r>
          </w:p>
        </w:tc>
        <w:tc>
          <w:tcPr>
            <w:tcW w:w="730" w:type="dxa"/>
            <w:gridSpan w:val="2"/>
            <w:tcBorders/>
            <w:shd w:fill="CCEEFF" w:val="clear"/>
            <w:tcMar>
              <w:bottom w:w="0" w:type="dxa"/>
            </w:tcMar>
            <w:vAlign w:val="bottom"/>
          </w:tcPr>
          <w:p>
            <w:pPr>
              <w:pStyle w:val="TableContents"/>
              <w:spacing w:before="0" w:after="283"/>
              <w:rPr/>
            </w:pPr>
            <w:r>
              <w:rPr/>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r>
          </w:p>
        </w:tc>
        <w:tc>
          <w:tcPr>
            <w:tcW w:w="60" w:type="dxa"/>
            <w:tcBorders/>
            <w:shd w:fill="CCEEFF" w:val="clear"/>
            <w:tcMar>
              <w:bottom w:w="0" w:type="dxa"/>
            </w:tcMar>
            <w:vAlign w:val="bottom"/>
          </w:tcPr>
          <w:p>
            <w:pPr>
              <w:pStyle w:val="TableContents"/>
              <w:spacing w:before="0" w:after="283"/>
              <w:rPr/>
            </w:pPr>
            <w:r>
              <w:rPr/>
              <w:t> </w:t>
            </w:r>
          </w:p>
        </w:tc>
        <w:tc>
          <w:tcPr>
            <w:tcW w:w="939" w:type="dxa"/>
            <w:gridSpan w:val="2"/>
            <w:tcBorders/>
            <w:shd w:fill="CCEEFF" w:val="clear"/>
            <w:tcMar>
              <w:bottom w:w="0" w:type="dxa"/>
            </w:tcMar>
            <w:vAlign w:val="bottom"/>
          </w:tcPr>
          <w:p>
            <w:pPr>
              <w:pStyle w:val="TableContents"/>
              <w:spacing w:before="0" w:after="283"/>
              <w:rPr/>
            </w:pPr>
            <w:r>
              <w:rPr/>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725" w:type="dxa"/>
            <w:gridSpan w:val="2"/>
            <w:tcBorders/>
            <w:shd w:fill="CCEEFF" w:val="clear"/>
            <w:tcMar>
              <w:bottom w:w="0" w:type="dxa"/>
            </w:tcMar>
            <w:vAlign w:val="bottom"/>
          </w:tcPr>
          <w:p>
            <w:pPr>
              <w:pStyle w:val="TableContents"/>
              <w:spacing w:before="0" w:after="283"/>
              <w:rPr/>
            </w:pPr>
            <w:r>
              <w:rPr/>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0"/>
              <w:ind w:left="180" w:right="0" w:hanging="180"/>
              <w:rPr/>
            </w:pPr>
            <w:r>
              <w:rPr/>
              <w:t>Interest income</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635" w:type="dxa"/>
            <w:tcBorders>
              <w:bottom w:val="double" w:sz="8" w:space="0" w:color="000000"/>
            </w:tcBorders>
            <w:shd w:fill="CCEEFF" w:val="clear"/>
            <w:vAlign w:val="bottom"/>
          </w:tcPr>
          <w:p>
            <w:pPr>
              <w:pStyle w:val="TableContents"/>
              <w:spacing w:before="0" w:after="0"/>
              <w:jc w:val="right"/>
              <w:rPr/>
            </w:pPr>
            <w:r>
              <w:rPr/>
              <w:t>(203</w:t>
            </w:r>
          </w:p>
        </w:tc>
        <w:tc>
          <w:tcPr>
            <w:tcW w:w="95" w:type="dxa"/>
            <w:tcBorders/>
            <w:shd w:fill="CCEEFF" w:val="clear"/>
            <w:tcMar>
              <w:bottom w:w="0" w:type="dxa"/>
            </w:tcMar>
            <w:vAlign w:val="bottom"/>
          </w:tcPr>
          <w:p>
            <w:pPr>
              <w:pStyle w:val="TableContents"/>
              <w:spacing w:before="0" w:after="0"/>
              <w:rPr/>
            </w:pPr>
            <w:r>
              <w:rPr/>
              <w:t>)</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455" w:type="dxa"/>
            <w:tcBorders>
              <w:bottom w:val="double" w:sz="8" w:space="0" w:color="000000"/>
            </w:tcBorders>
            <w:shd w:fill="CCEEFF" w:val="cle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r>
      <w:tr>
        <w:trPr/>
        <w:tc>
          <w:tcPr>
            <w:tcW w:w="4490" w:type="dxa"/>
            <w:tcBorders/>
            <w:shd w:fill="FFFFFF" w:val="clear"/>
            <w:tcMar>
              <w:bottom w:w="0" w:type="dxa"/>
            </w:tcMar>
            <w:vAlign w:val="bottom"/>
          </w:tcPr>
          <w:p>
            <w:pPr>
              <w:pStyle w:val="TableContents"/>
              <w:spacing w:before="0" w:after="0"/>
              <w:ind w:left="180" w:right="0" w:hanging="180"/>
              <w:rPr/>
            </w:pPr>
            <w:r>
              <w:rPr/>
              <w:t>Cash Flow Hedges</w:t>
            </w:r>
          </w:p>
        </w:tc>
        <w:tc>
          <w:tcPr>
            <w:tcW w:w="60" w:type="dxa"/>
            <w:tcBorders/>
            <w:shd w:fill="FFFFFF" w:val="clear"/>
            <w:tcMar>
              <w:bottom w:w="0" w:type="dxa"/>
            </w:tcMar>
            <w:vAlign w:val="bottom"/>
          </w:tcPr>
          <w:p>
            <w:pPr>
              <w:pStyle w:val="TableContents"/>
              <w:spacing w:before="0" w:after="283"/>
              <w:rPr/>
            </w:pPr>
            <w:r>
              <w:rPr/>
              <w:t> </w:t>
            </w:r>
          </w:p>
        </w:tc>
        <w:tc>
          <w:tcPr>
            <w:tcW w:w="830" w:type="dxa"/>
            <w:gridSpan w:val="2"/>
            <w:tcBorders/>
            <w:shd w:fill="FFFFFF" w:val="clear"/>
            <w:tcMar>
              <w:bottom w:w="0" w:type="dxa"/>
            </w:tcMar>
            <w:vAlign w:val="bottom"/>
          </w:tcPr>
          <w:p>
            <w:pPr>
              <w:pStyle w:val="TableContents"/>
              <w:spacing w:before="0" w:after="283"/>
              <w:rPr/>
            </w:pPr>
            <w:r>
              <w:rPr/>
              <w:t> </w:t>
            </w:r>
          </w:p>
        </w:tc>
        <w:tc>
          <w:tcPr>
            <w:tcW w:w="132" w:type="dxa"/>
            <w:tcBorders/>
            <w:shd w:fill="FFFFFF" w:val="clear"/>
            <w:tcMar>
              <w:bottom w:w="0" w:type="dxa"/>
            </w:tcMar>
            <w:vAlign w:val="bottom"/>
          </w:tcPr>
          <w:p>
            <w:pPr>
              <w:pStyle w:val="TableContents"/>
              <w:spacing w:before="0" w:after="283"/>
              <w:rPr/>
            </w:pPr>
            <w:r>
              <w:rPr/>
              <w:t> </w:t>
            </w:r>
          </w:p>
        </w:tc>
        <w:tc>
          <w:tcPr>
            <w:tcW w:w="83" w:type="dxa"/>
            <w:tcBorders/>
            <w:shd w:fill="FFFFFF" w:val="clear"/>
            <w:tcMar>
              <w:bottom w:w="0" w:type="dxa"/>
            </w:tcMar>
            <w:vAlign w:val="bottom"/>
          </w:tcPr>
          <w:p>
            <w:pPr>
              <w:pStyle w:val="TableContents"/>
              <w:spacing w:before="0" w:after="283"/>
              <w:rPr/>
            </w:pPr>
            <w:r>
              <w:rPr/>
              <w:t> </w:t>
            </w:r>
          </w:p>
        </w:tc>
        <w:tc>
          <w:tcPr>
            <w:tcW w:w="730" w:type="dxa"/>
            <w:gridSpan w:val="2"/>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939" w:type="dxa"/>
            <w:gridSpan w:val="2"/>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725" w:type="dxa"/>
            <w:gridSpan w:val="2"/>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ind w:left="180" w:right="0" w:hanging="180"/>
              <w:rPr/>
            </w:pPr>
            <w:r>
              <w:rPr/>
              <w:t> </w:t>
            </w:r>
          </w:p>
        </w:tc>
        <w:tc>
          <w:tcPr>
            <w:tcW w:w="153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455"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r>
      <w:tr>
        <w:trPr/>
        <w:tc>
          <w:tcPr>
            <w:tcW w:w="4490" w:type="dxa"/>
            <w:tcBorders/>
            <w:shd w:fill="CCEEFF" w:val="clear"/>
            <w:tcMar>
              <w:bottom w:w="0" w:type="dxa"/>
            </w:tcMar>
            <w:vAlign w:val="bottom"/>
          </w:tcPr>
          <w:p>
            <w:pPr>
              <w:pStyle w:val="TableContents"/>
              <w:spacing w:before="0" w:after="0"/>
              <w:ind w:left="360" w:right="0" w:hanging="180"/>
              <w:rPr/>
            </w:pPr>
            <w:r>
              <w:rPr/>
              <w:t>Interest rate cap agreements</w:t>
            </w:r>
          </w:p>
        </w:tc>
        <w:tc>
          <w:tcPr>
            <w:tcW w:w="60"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0"/>
              <w:rPr/>
            </w:pPr>
            <w:r>
              <w:rPr/>
              <w:t>$</w:t>
            </w:r>
          </w:p>
        </w:tc>
        <w:tc>
          <w:tcPr>
            <w:tcW w:w="635" w:type="dxa"/>
            <w:tcBorders/>
            <w:shd w:fill="CCEEFF" w:val="clear"/>
            <w:tcMar>
              <w:bottom w:w="0" w:type="dxa"/>
            </w:tcMar>
            <w:vAlign w:val="bottom"/>
          </w:tcPr>
          <w:p>
            <w:pPr>
              <w:pStyle w:val="TableContents"/>
              <w:spacing w:before="0" w:after="0"/>
              <w:jc w:val="right"/>
              <w:rPr/>
            </w:pPr>
            <w:r>
              <w:rPr/>
              <w:t>(489</w:t>
            </w:r>
          </w:p>
        </w:tc>
        <w:tc>
          <w:tcPr>
            <w:tcW w:w="132" w:type="dxa"/>
            <w:tcBorders/>
            <w:shd w:fill="CCEEFF" w:val="clear"/>
            <w:tcMar>
              <w:bottom w:w="0" w:type="dxa"/>
            </w:tcMar>
            <w:vAlign w:val="bottom"/>
          </w:tcPr>
          <w:p>
            <w:pPr>
              <w:pStyle w:val="TableContents"/>
              <w:spacing w:before="0" w:after="0"/>
              <w:rPr/>
            </w:pPr>
            <w:r>
              <w:rPr/>
              <w:t>)</w:t>
            </w:r>
          </w:p>
        </w:tc>
        <w:tc>
          <w:tcPr>
            <w:tcW w:w="83"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0"/>
              <w:rPr/>
            </w:pPr>
            <w:r>
              <w:rPr/>
              <w:t>$</w:t>
            </w:r>
          </w:p>
        </w:tc>
        <w:tc>
          <w:tcPr>
            <w:tcW w:w="535" w:type="dxa"/>
            <w:tcBorders/>
            <w:shd w:fill="CCEEFF" w:val="clear"/>
            <w:tcMar>
              <w:bottom w:w="0" w:type="dxa"/>
            </w:tcMar>
            <w:vAlign w:val="bottom"/>
          </w:tcPr>
          <w:p>
            <w:pPr>
              <w:pStyle w:val="TableContents"/>
              <w:spacing w:before="0" w:after="0"/>
              <w:jc w:val="right"/>
              <w:rPr/>
            </w:pPr>
            <w:r>
              <w:rPr/>
              <w:t>244</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0"/>
              <w:rPr/>
            </w:pPr>
            <w:r>
              <w:rPr/>
              <w:t>Interest expense</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0"/>
              <w:rPr/>
            </w:pPr>
            <w:r>
              <w:rPr/>
              <w:t>$</w:t>
            </w:r>
          </w:p>
        </w:tc>
        <w:tc>
          <w:tcPr>
            <w:tcW w:w="686" w:type="dxa"/>
            <w:tcBorders/>
            <w:shd w:fill="CCEEFF" w:val="clear"/>
            <w:tcMar>
              <w:bottom w:w="0" w:type="dxa"/>
            </w:tcMar>
            <w:vAlign w:val="bottom"/>
          </w:tcPr>
          <w:p>
            <w:pPr>
              <w:pStyle w:val="TableContents"/>
              <w:spacing w:before="0" w:after="0"/>
              <w:jc w:val="right"/>
              <w:rPr/>
            </w:pPr>
            <w:r>
              <w:rPr/>
              <w:t>115</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0"/>
              <w:rPr/>
            </w:pPr>
            <w:r>
              <w:rPr/>
              <w:t>$</w:t>
            </w:r>
          </w:p>
        </w:tc>
        <w:tc>
          <w:tcPr>
            <w:tcW w:w="472" w:type="dxa"/>
            <w:tcBorders/>
            <w:shd w:fill="CCEEFF" w:val="clear"/>
            <w:tcMar>
              <w:bottom w:w="0" w:type="dxa"/>
            </w:tcMar>
            <w:vAlign w:val="bottom"/>
          </w:tcPr>
          <w:p>
            <w:pPr>
              <w:pStyle w:val="TableContents"/>
              <w:spacing w:before="0" w:after="0"/>
              <w:jc w:val="right"/>
              <w:rPr/>
            </w:pPr>
            <w:r>
              <w:rPr/>
              <w:t>45</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0"/>
              <w:ind w:left="180" w:right="0" w:hanging="180"/>
              <w:rPr/>
            </w:pPr>
            <w:r>
              <w:rPr/>
              <w:t>Interest expense</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0"/>
              <w:rPr/>
            </w:pPr>
            <w:r>
              <w:rPr/>
              <w:t>$</w:t>
            </w:r>
          </w:p>
        </w:tc>
        <w:tc>
          <w:tcPr>
            <w:tcW w:w="635" w:type="dxa"/>
            <w:tcBorders/>
            <w:shd w:fill="CCEEFF" w:val="clear"/>
            <w:tcMar>
              <w:bottom w:w="0" w:type="dxa"/>
            </w:tcM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0"/>
              <w:rPr/>
            </w:pPr>
            <w:r>
              <w:rPr/>
              <w:t>$</w:t>
            </w:r>
          </w:p>
        </w:tc>
        <w:tc>
          <w:tcPr>
            <w:tcW w:w="455" w:type="dxa"/>
            <w:tcBorders/>
            <w:shd w:fill="CCEEFF" w:val="clear"/>
            <w:tcMar>
              <w:bottom w:w="0" w:type="dxa"/>
            </w:tcM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r>
      <w:tr>
        <w:trPr/>
        <w:tc>
          <w:tcPr>
            <w:tcW w:w="4490" w:type="dxa"/>
            <w:tcBorders/>
            <w:shd w:fill="FFFFFF" w:val="clear"/>
            <w:tcMar>
              <w:bottom w:w="0" w:type="dxa"/>
            </w:tcMar>
            <w:vAlign w:val="bottom"/>
          </w:tcPr>
          <w:p>
            <w:pPr>
              <w:pStyle w:val="TableContents"/>
              <w:spacing w:before="0" w:after="0"/>
              <w:ind w:left="360" w:right="0" w:hanging="180"/>
              <w:rPr/>
            </w:pPr>
            <w:r>
              <w:rPr/>
              <w:t>Pay-fixed interest rate swap agreements</w:t>
            </w:r>
          </w:p>
        </w:tc>
        <w:tc>
          <w:tcPr>
            <w:tcW w:w="60" w:type="dxa"/>
            <w:tcBorders/>
            <w:shd w:fill="FFFFFF" w:val="clear"/>
            <w:tcMar>
              <w:bottom w:w="0" w:type="dxa"/>
            </w:tcMar>
            <w:vAlign w:val="bottom"/>
          </w:tcPr>
          <w:p>
            <w:pPr>
              <w:pStyle w:val="TableContents"/>
              <w:spacing w:before="0" w:after="283"/>
              <w:rPr/>
            </w:pPr>
            <w:r>
              <w:rPr/>
              <w:t> </w:t>
            </w:r>
          </w:p>
        </w:tc>
        <w:tc>
          <w:tcPr>
            <w:tcW w:w="195" w:type="dxa"/>
            <w:tcBorders>
              <w:bottom w:val="single" w:sz="12" w:space="0" w:color="000000"/>
            </w:tcBorders>
            <w:shd w:fill="FFFFFF" w:val="clear"/>
            <w:vAlign w:val="bottom"/>
          </w:tcPr>
          <w:p>
            <w:pPr>
              <w:pStyle w:val="TableContents"/>
              <w:spacing w:before="0" w:after="283"/>
              <w:rPr/>
            </w:pPr>
            <w:r>
              <w:rPr/>
              <w:t> </w:t>
            </w:r>
          </w:p>
        </w:tc>
        <w:tc>
          <w:tcPr>
            <w:tcW w:w="635" w:type="dxa"/>
            <w:tcBorders>
              <w:bottom w:val="single" w:sz="12" w:space="0" w:color="000000"/>
            </w:tcBorders>
            <w:shd w:fill="FFFFFF" w:val="clear"/>
            <w:vAlign w:val="bottom"/>
          </w:tcPr>
          <w:p>
            <w:pPr>
              <w:pStyle w:val="TableContents"/>
              <w:spacing w:before="0" w:after="0"/>
              <w:jc w:val="right"/>
              <w:rPr/>
            </w:pPr>
            <w:r>
              <w:rPr/>
              <w:t>(267</w:t>
            </w:r>
          </w:p>
        </w:tc>
        <w:tc>
          <w:tcPr>
            <w:tcW w:w="132" w:type="dxa"/>
            <w:tcBorders/>
            <w:shd w:fill="FFFFFF" w:val="clear"/>
            <w:tcMar>
              <w:bottom w:w="0" w:type="dxa"/>
            </w:tcMar>
            <w:vAlign w:val="bottom"/>
          </w:tcPr>
          <w:p>
            <w:pPr>
              <w:pStyle w:val="TableContents"/>
              <w:spacing w:before="0" w:after="0"/>
              <w:rPr/>
            </w:pPr>
            <w:r>
              <w:rPr/>
              <w:t>)</w:t>
            </w:r>
          </w:p>
        </w:tc>
        <w:tc>
          <w:tcPr>
            <w:tcW w:w="83" w:type="dxa"/>
            <w:tcBorders/>
            <w:shd w:fill="FFFFFF" w:val="clear"/>
            <w:tcMar>
              <w:bottom w:w="0" w:type="dxa"/>
            </w:tcMar>
            <w:vAlign w:val="bottom"/>
          </w:tcPr>
          <w:p>
            <w:pPr>
              <w:pStyle w:val="TableContents"/>
              <w:spacing w:before="0" w:after="283"/>
              <w:rPr/>
            </w:pPr>
            <w:r>
              <w:rPr/>
              <w:t> </w:t>
            </w:r>
          </w:p>
        </w:tc>
        <w:tc>
          <w:tcPr>
            <w:tcW w:w="195" w:type="dxa"/>
            <w:tcBorders>
              <w:bottom w:val="single" w:sz="12" w:space="0" w:color="000000"/>
            </w:tcBorders>
            <w:shd w:fill="FFFFFF" w:val="clear"/>
            <w:vAlign w:val="bottom"/>
          </w:tcPr>
          <w:p>
            <w:pPr>
              <w:pStyle w:val="TableContents"/>
              <w:spacing w:before="0" w:after="283"/>
              <w:rPr/>
            </w:pPr>
            <w:r>
              <w:rPr/>
              <w:t> </w:t>
            </w:r>
          </w:p>
        </w:tc>
        <w:tc>
          <w:tcPr>
            <w:tcW w:w="535" w:type="dxa"/>
            <w:tcBorders>
              <w:bottom w:val="single" w:sz="12" w:space="0" w:color="000000"/>
            </w:tcBorders>
            <w:shd w:fill="FFFFFF" w:val="clear"/>
            <w:vAlign w:val="bottom"/>
          </w:tcPr>
          <w:p>
            <w:pPr>
              <w:pStyle w:val="TableContents"/>
              <w:spacing w:before="0" w:after="0"/>
              <w:jc w:val="right"/>
              <w:rPr/>
            </w:pPr>
            <w:r>
              <w:rPr/>
              <w:t>83</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0"/>
              <w:rPr/>
            </w:pPr>
            <w:r>
              <w:rPr/>
              <w:t>Interest expense</w:t>
            </w:r>
          </w:p>
        </w:tc>
        <w:tc>
          <w:tcPr>
            <w:tcW w:w="60" w:type="dxa"/>
            <w:tcBorders/>
            <w:shd w:fill="FFFFFF" w:val="clear"/>
            <w:tcMar>
              <w:bottom w:w="0" w:type="dxa"/>
            </w:tcMar>
            <w:vAlign w:val="bottom"/>
          </w:tcPr>
          <w:p>
            <w:pPr>
              <w:pStyle w:val="TableContents"/>
              <w:spacing w:before="0" w:after="283"/>
              <w:rPr/>
            </w:pPr>
            <w:r>
              <w:rPr/>
              <w:t> </w:t>
            </w:r>
          </w:p>
        </w:tc>
        <w:tc>
          <w:tcPr>
            <w:tcW w:w="253" w:type="dxa"/>
            <w:tcBorders>
              <w:bottom w:val="single" w:sz="12" w:space="0" w:color="000000"/>
            </w:tcBorders>
            <w:shd w:fill="FFFFFF" w:val="clear"/>
            <w:vAlign w:val="bottom"/>
          </w:tcPr>
          <w:p>
            <w:pPr>
              <w:pStyle w:val="TableContents"/>
              <w:spacing w:before="0" w:after="283"/>
              <w:rPr/>
            </w:pPr>
            <w:r>
              <w:rPr/>
              <w:t> </w:t>
            </w:r>
          </w:p>
        </w:tc>
        <w:tc>
          <w:tcPr>
            <w:tcW w:w="686" w:type="dxa"/>
            <w:tcBorders>
              <w:bottom w:val="single" w:sz="12" w:space="0" w:color="000000"/>
            </w:tcBorders>
            <w:shd w:fill="FFFFFF" w:val="clear"/>
            <w:vAlign w:val="bottom"/>
          </w:tcPr>
          <w:p>
            <w:pPr>
              <w:pStyle w:val="TableContents"/>
              <w:spacing w:before="0" w:after="0"/>
              <w:jc w:val="right"/>
              <w:rPr/>
            </w:pPr>
            <w:r>
              <w:rPr/>
              <w:t>27</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bottom w:val="single" w:sz="12" w:space="0" w:color="000000"/>
            </w:tcBorders>
            <w:shd w:fill="FFFFFF" w:val="clear"/>
            <w:vAlign w:val="bottom"/>
          </w:tcPr>
          <w:p>
            <w:pPr>
              <w:pStyle w:val="TableContents"/>
              <w:spacing w:before="0" w:after="283"/>
              <w:rPr/>
            </w:pPr>
            <w:r>
              <w:rPr/>
              <w:t> </w:t>
            </w:r>
          </w:p>
        </w:tc>
        <w:tc>
          <w:tcPr>
            <w:tcW w:w="472" w:type="dxa"/>
            <w:tcBorders>
              <w:bottom w:val="single" w:sz="12" w:space="0" w:color="000000"/>
            </w:tcBorders>
            <w:shd w:fill="FFFFFF" w:val="clear"/>
            <w:vAlign w:val="bottom"/>
          </w:tcPr>
          <w:p>
            <w:pPr>
              <w:pStyle w:val="TableContents"/>
              <w:spacing w:before="0" w:after="0"/>
              <w:jc w:val="right"/>
              <w:rPr/>
            </w:pPr>
            <w:r>
              <w:rPr/>
              <w:t>8</w:t>
            </w:r>
          </w:p>
        </w:tc>
        <w:tc>
          <w:tcPr>
            <w:tcW w:w="60" w:type="dxa"/>
            <w:tcBorders/>
            <w:shd w:fill="FFFFFF" w:val="clear"/>
            <w:tcMar>
              <w:bottom w:w="0" w:type="dxa"/>
            </w:tcMar>
            <w:vAlign w:val="bottom"/>
          </w:tcPr>
          <w:p>
            <w:pPr>
              <w:pStyle w:val="TableContents"/>
              <w:spacing w:before="0" w:after="283"/>
              <w:rPr/>
            </w:pPr>
            <w:r>
              <w:rPr/>
              <w:t> </w:t>
            </w:r>
          </w:p>
        </w:tc>
        <w:tc>
          <w:tcPr>
            <w:tcW w:w="1535" w:type="dxa"/>
            <w:tcBorders/>
            <w:shd w:fill="FFFFFF" w:val="clear"/>
            <w:tcMar>
              <w:bottom w:w="0" w:type="dxa"/>
            </w:tcMar>
            <w:vAlign w:val="bottom"/>
          </w:tcPr>
          <w:p>
            <w:pPr>
              <w:pStyle w:val="TableContents"/>
              <w:spacing w:before="0" w:after="0"/>
              <w:ind w:left="180" w:right="0" w:hanging="180"/>
              <w:rPr/>
            </w:pPr>
            <w:r>
              <w:rPr/>
              <w:t>Interest expense</w:t>
            </w:r>
          </w:p>
        </w:tc>
        <w:tc>
          <w:tcPr>
            <w:tcW w:w="60" w:type="dxa"/>
            <w:tcBorders/>
            <w:shd w:fill="FFFFFF" w:val="clear"/>
            <w:tcMar>
              <w:bottom w:w="0" w:type="dxa"/>
            </w:tcMar>
            <w:vAlign w:val="bottom"/>
          </w:tcPr>
          <w:p>
            <w:pPr>
              <w:pStyle w:val="TableContents"/>
              <w:spacing w:before="0" w:after="283"/>
              <w:rPr/>
            </w:pPr>
            <w:r>
              <w:rPr/>
              <w:t> </w:t>
            </w:r>
          </w:p>
        </w:tc>
        <w:tc>
          <w:tcPr>
            <w:tcW w:w="140" w:type="dxa"/>
            <w:tcBorders>
              <w:bottom w:val="single" w:sz="12" w:space="0" w:color="000000"/>
            </w:tcBorders>
            <w:shd w:fill="FFFFFF" w:val="clear"/>
            <w:vAlign w:val="bottom"/>
          </w:tcPr>
          <w:p>
            <w:pPr>
              <w:pStyle w:val="TableContents"/>
              <w:spacing w:before="0" w:after="283"/>
              <w:rPr/>
            </w:pPr>
            <w:r>
              <w:rPr/>
              <w:t> </w:t>
            </w:r>
          </w:p>
        </w:tc>
        <w:tc>
          <w:tcPr>
            <w:tcW w:w="635" w:type="dxa"/>
            <w:tcBorders>
              <w:bottom w:val="single" w:sz="12" w:space="0" w:color="000000"/>
            </w:tcBorders>
            <w:shd w:fill="FFFFFF" w:val="clear"/>
            <w:vAlign w:val="bottom"/>
          </w:tcPr>
          <w:p>
            <w:pPr>
              <w:pStyle w:val="TableContents"/>
              <w:spacing w:before="0" w:after="0"/>
              <w:jc w:val="right"/>
              <w:rPr/>
            </w:pPr>
            <w:r>
              <w:rPr/>
              <w:t>-</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bottom w:val="single" w:sz="12" w:space="0" w:color="000000"/>
            </w:tcBorders>
            <w:shd w:fill="FFFFFF" w:val="clear"/>
            <w:vAlign w:val="bottom"/>
          </w:tcPr>
          <w:p>
            <w:pPr>
              <w:pStyle w:val="TableContents"/>
              <w:spacing w:before="0" w:after="283"/>
              <w:rPr/>
            </w:pPr>
            <w:r>
              <w:rPr/>
              <w:t> </w:t>
            </w:r>
          </w:p>
        </w:tc>
        <w:tc>
          <w:tcPr>
            <w:tcW w:w="455" w:type="dxa"/>
            <w:tcBorders>
              <w:bottom w:val="single" w:sz="12" w:space="0" w:color="000000"/>
            </w:tcBorders>
            <w:shd w:fill="FFFFFF" w:val="clear"/>
            <w:vAlign w:val="bottom"/>
          </w:tcPr>
          <w:p>
            <w:pPr>
              <w:pStyle w:val="TableContents"/>
              <w:spacing w:before="0" w:after="0"/>
              <w:jc w:val="right"/>
              <w:rPr/>
            </w:pPr>
            <w:r>
              <w:rPr/>
              <w:t>(24</w:t>
            </w:r>
          </w:p>
        </w:tc>
        <w:tc>
          <w:tcPr>
            <w:tcW w:w="95" w:type="dxa"/>
            <w:tcBorders/>
            <w:shd w:fill="FFFFFF" w:val="clear"/>
            <w:tcMar>
              <w:bottom w:w="0" w:type="dxa"/>
            </w:tcMar>
            <w:vAlign w:val="bottom"/>
          </w:tcPr>
          <w:p>
            <w:pPr>
              <w:pStyle w:val="TableContents"/>
              <w:spacing w:before="0" w:after="0"/>
              <w:rPr/>
            </w:pPr>
            <w:r>
              <w:rPr/>
              <w:t>)</w:t>
            </w:r>
          </w:p>
        </w:tc>
      </w:tr>
      <w:tr>
        <w:trPr/>
        <w:tc>
          <w:tcPr>
            <w:tcW w:w="4490" w:type="dxa"/>
            <w:tcBorders/>
            <w:shd w:fill="CCEEFF" w:val="clear"/>
            <w:tcMar>
              <w:bottom w:w="0" w:type="dxa"/>
            </w:tcMar>
            <w:vAlign w:val="bottom"/>
          </w:tcPr>
          <w:p>
            <w:pPr>
              <w:pStyle w:val="TableContents"/>
              <w:spacing w:before="0" w:after="0"/>
              <w:ind w:left="540" w:right="0" w:hanging="180"/>
              <w:rPr/>
            </w:pPr>
            <w:r>
              <w:rPr/>
              <w:t>Total</w:t>
            </w:r>
          </w:p>
        </w:tc>
        <w:tc>
          <w:tcPr>
            <w:tcW w:w="60" w:type="dxa"/>
            <w:tcBorders/>
            <w:shd w:fill="CCEEFF" w:val="clear"/>
            <w:tcMar>
              <w:bottom w:w="0" w:type="dxa"/>
            </w:tcMar>
            <w:vAlign w:val="bottom"/>
          </w:tcPr>
          <w:p>
            <w:pPr>
              <w:pStyle w:val="TableContents"/>
              <w:spacing w:before="0" w:after="283"/>
              <w:rPr/>
            </w:pPr>
            <w:r>
              <w:rPr/>
              <w:t> </w:t>
            </w:r>
          </w:p>
        </w:tc>
        <w:tc>
          <w:tcPr>
            <w:tcW w:w="195" w:type="dxa"/>
            <w:tcBorders>
              <w:bottom w:val="double" w:sz="8" w:space="0" w:color="000000"/>
            </w:tcBorders>
            <w:shd w:fill="CCEEFF" w:val="clear"/>
            <w:vAlign w:val="bottom"/>
          </w:tcPr>
          <w:p>
            <w:pPr>
              <w:pStyle w:val="TableContents"/>
              <w:spacing w:before="0" w:after="0"/>
              <w:rPr/>
            </w:pPr>
            <w:r>
              <w:rPr/>
              <w:t>$</w:t>
            </w:r>
          </w:p>
        </w:tc>
        <w:tc>
          <w:tcPr>
            <w:tcW w:w="635" w:type="dxa"/>
            <w:tcBorders>
              <w:bottom w:val="double" w:sz="8" w:space="0" w:color="000000"/>
            </w:tcBorders>
            <w:shd w:fill="CCEEFF" w:val="clear"/>
            <w:vAlign w:val="bottom"/>
          </w:tcPr>
          <w:p>
            <w:pPr>
              <w:pStyle w:val="TableContents"/>
              <w:spacing w:before="0" w:after="0"/>
              <w:jc w:val="right"/>
              <w:rPr/>
            </w:pPr>
            <w:r>
              <w:rPr/>
              <w:t>(756</w:t>
            </w:r>
          </w:p>
        </w:tc>
        <w:tc>
          <w:tcPr>
            <w:tcW w:w="132" w:type="dxa"/>
            <w:tcBorders/>
            <w:shd w:fill="CCEEFF" w:val="clear"/>
            <w:tcMar>
              <w:bottom w:w="0" w:type="dxa"/>
            </w:tcMar>
            <w:vAlign w:val="bottom"/>
          </w:tcPr>
          <w:p>
            <w:pPr>
              <w:pStyle w:val="TableContents"/>
              <w:spacing w:before="0" w:after="0"/>
              <w:rPr/>
            </w:pPr>
            <w:r>
              <w:rPr/>
              <w:t>)</w:t>
            </w:r>
          </w:p>
        </w:tc>
        <w:tc>
          <w:tcPr>
            <w:tcW w:w="83" w:type="dxa"/>
            <w:tcBorders/>
            <w:shd w:fill="CCEEFF" w:val="clear"/>
            <w:tcMar>
              <w:bottom w:w="0" w:type="dxa"/>
            </w:tcMar>
            <w:vAlign w:val="bottom"/>
          </w:tcPr>
          <w:p>
            <w:pPr>
              <w:pStyle w:val="TableContents"/>
              <w:spacing w:before="0" w:after="283"/>
              <w:rPr/>
            </w:pPr>
            <w:r>
              <w:rPr/>
              <w:t> </w:t>
            </w:r>
          </w:p>
        </w:tc>
        <w:tc>
          <w:tcPr>
            <w:tcW w:w="195" w:type="dxa"/>
            <w:tcBorders>
              <w:bottom w:val="double" w:sz="8" w:space="0" w:color="000000"/>
            </w:tcBorders>
            <w:shd w:fill="CCEEFF" w:val="clear"/>
            <w:vAlign w:val="bottom"/>
          </w:tcPr>
          <w:p>
            <w:pPr>
              <w:pStyle w:val="TableContents"/>
              <w:spacing w:before="0" w:after="0"/>
              <w:rPr/>
            </w:pPr>
            <w:r>
              <w:rPr/>
              <w:t>$</w:t>
            </w:r>
          </w:p>
        </w:tc>
        <w:tc>
          <w:tcPr>
            <w:tcW w:w="535" w:type="dxa"/>
            <w:tcBorders>
              <w:bottom w:val="double" w:sz="8" w:space="0" w:color="000000"/>
            </w:tcBorders>
            <w:shd w:fill="CCEEFF" w:val="clear"/>
            <w:vAlign w:val="bottom"/>
          </w:tcPr>
          <w:p>
            <w:pPr>
              <w:pStyle w:val="TableContents"/>
              <w:spacing w:before="0" w:after="0"/>
              <w:jc w:val="right"/>
              <w:rPr/>
            </w:pPr>
            <w:r>
              <w:rPr/>
              <w:t>327</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bottom w:val="double" w:sz="8" w:space="0" w:color="000000"/>
            </w:tcBorders>
            <w:shd w:fill="CCEEFF" w:val="clear"/>
            <w:vAlign w:val="bottom"/>
          </w:tcPr>
          <w:p>
            <w:pPr>
              <w:pStyle w:val="TableContents"/>
              <w:spacing w:before="0" w:after="0"/>
              <w:rPr/>
            </w:pPr>
            <w:r>
              <w:rPr/>
              <w:t>$</w:t>
            </w:r>
          </w:p>
        </w:tc>
        <w:tc>
          <w:tcPr>
            <w:tcW w:w="686" w:type="dxa"/>
            <w:tcBorders>
              <w:bottom w:val="double" w:sz="8" w:space="0" w:color="000000"/>
            </w:tcBorders>
            <w:shd w:fill="CCEEFF" w:val="clear"/>
            <w:vAlign w:val="bottom"/>
          </w:tcPr>
          <w:p>
            <w:pPr>
              <w:pStyle w:val="TableContents"/>
              <w:spacing w:before="0" w:after="0"/>
              <w:jc w:val="right"/>
              <w:rPr/>
            </w:pPr>
            <w:r>
              <w:rPr/>
              <w:t>142</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bottom w:val="double" w:sz="8" w:space="0" w:color="000000"/>
            </w:tcBorders>
            <w:shd w:fill="CCEEFF" w:val="clear"/>
            <w:vAlign w:val="bottom"/>
          </w:tcPr>
          <w:p>
            <w:pPr>
              <w:pStyle w:val="TableContents"/>
              <w:spacing w:before="0" w:after="0"/>
              <w:rPr/>
            </w:pPr>
            <w:r>
              <w:rPr/>
              <w:t>$</w:t>
            </w:r>
          </w:p>
        </w:tc>
        <w:tc>
          <w:tcPr>
            <w:tcW w:w="472" w:type="dxa"/>
            <w:tcBorders>
              <w:bottom w:val="double" w:sz="8" w:space="0" w:color="000000"/>
            </w:tcBorders>
            <w:shd w:fill="CCEEFF" w:val="clear"/>
            <w:vAlign w:val="bottom"/>
          </w:tcPr>
          <w:p>
            <w:pPr>
              <w:pStyle w:val="TableContents"/>
              <w:spacing w:before="0" w:after="0"/>
              <w:jc w:val="right"/>
              <w:rPr/>
            </w:pPr>
            <w:r>
              <w:rPr/>
              <w:t>53</w:t>
            </w:r>
          </w:p>
        </w:tc>
        <w:tc>
          <w:tcPr>
            <w:tcW w:w="60" w:type="dxa"/>
            <w:tcBorders/>
            <w:shd w:fill="CCEEFF" w:val="clear"/>
            <w:tcMar>
              <w:bottom w:w="0" w:type="dxa"/>
            </w:tcMar>
            <w:vAlign w:val="bottom"/>
          </w:tcPr>
          <w:p>
            <w:pPr>
              <w:pStyle w:val="TableContents"/>
              <w:spacing w:before="0" w:after="283"/>
              <w:ind w:left="180" w:right="0" w:hanging="180"/>
              <w:rPr/>
            </w:pPr>
            <w:r>
              <w:rPr/>
              <w:t> </w:t>
            </w:r>
          </w:p>
        </w:tc>
        <w:tc>
          <w:tcPr>
            <w:tcW w:w="15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635" w:type="dxa"/>
            <w:tcBorders>
              <w:bottom w:val="double" w:sz="8" w:space="0" w:color="000000"/>
            </w:tcBorders>
            <w:shd w:fill="CCEEFF" w:val="cle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455" w:type="dxa"/>
            <w:tcBorders>
              <w:bottom w:val="double" w:sz="8" w:space="0" w:color="000000"/>
            </w:tcBorders>
            <w:shd w:fill="CCEEFF" w:val="clear"/>
            <w:vAlign w:val="bottom"/>
          </w:tcPr>
          <w:p>
            <w:pPr>
              <w:pStyle w:val="TableContents"/>
              <w:spacing w:before="0" w:after="0"/>
              <w:jc w:val="right"/>
              <w:rPr/>
            </w:pPr>
            <w:r>
              <w:rPr/>
              <w:t>(24</w:t>
            </w:r>
          </w:p>
        </w:tc>
        <w:tc>
          <w:tcPr>
            <w:tcW w:w="95" w:type="dxa"/>
            <w:tcBorders/>
            <w:shd w:fill="CCEEFF" w:val="clear"/>
            <w:tcMar>
              <w:bottom w:w="0" w:type="dxa"/>
            </w:tcMar>
            <w:vAlign w:val="bottom"/>
          </w:tcPr>
          <w:p>
            <w:pPr>
              <w:pStyle w:val="TableContents"/>
              <w:spacing w:before="0" w:after="0"/>
              <w:ind w:left="180" w:right="0" w:hanging="180"/>
              <w:rPr/>
            </w:pPr>
            <w:r>
              <w:rPr/>
              <w:t>)</w:t>
            </w:r>
          </w:p>
        </w:tc>
      </w:tr>
      <w:tr>
        <w:trPr/>
        <w:tc>
          <w:tcPr>
            <w:tcW w:w="449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132" w:type="dxa"/>
            <w:tcBorders/>
            <w:shd w:fill="FFFFFF" w:val="clear"/>
            <w:tcMar>
              <w:bottom w:w="0" w:type="dxa"/>
            </w:tcMar>
            <w:vAlign w:val="bottom"/>
          </w:tcPr>
          <w:p>
            <w:pPr>
              <w:pStyle w:val="TableContents"/>
              <w:spacing w:before="0" w:after="283"/>
              <w:rPr/>
            </w:pPr>
            <w:r>
              <w:rPr/>
              <w:t> </w:t>
            </w:r>
          </w:p>
        </w:tc>
        <w:tc>
          <w:tcPr>
            <w:tcW w:w="83"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rPr/>
            </w:pPr>
            <w:r>
              <w:rPr/>
              <w:t> </w:t>
            </w:r>
          </w:p>
        </w:tc>
        <w:tc>
          <w:tcPr>
            <w:tcW w:w="535"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47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ind w:left="180" w:right="0" w:hanging="180"/>
              <w:rPr/>
            </w:pPr>
            <w:r>
              <w:rPr/>
              <w:t> </w:t>
            </w:r>
          </w:p>
        </w:tc>
        <w:tc>
          <w:tcPr>
            <w:tcW w:w="153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455"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r>
      <w:tr>
        <w:trPr/>
        <w:tc>
          <w:tcPr>
            <w:tcW w:w="4490" w:type="dxa"/>
            <w:tcBorders/>
            <w:shd w:fill="CCEEFF" w:val="clear"/>
            <w:tcMar>
              <w:bottom w:w="0" w:type="dxa"/>
            </w:tcMar>
            <w:vAlign w:val="bottom"/>
          </w:tcPr>
          <w:p>
            <w:pPr>
              <w:pStyle w:val="TableContents"/>
              <w:spacing w:before="0" w:after="0"/>
              <w:rPr/>
            </w:pPr>
            <w:r>
              <w:rPr/>
              <w:t>No hedge designation</w:t>
            </w:r>
          </w:p>
        </w:tc>
        <w:tc>
          <w:tcPr>
            <w:tcW w:w="60"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283"/>
              <w:rPr/>
            </w:pPr>
            <w:r>
              <w:rPr/>
              <w:t> </w:t>
            </w:r>
          </w:p>
        </w:tc>
        <w:tc>
          <w:tcPr>
            <w:tcW w:w="132" w:type="dxa"/>
            <w:tcBorders/>
            <w:shd w:fill="CCEEFF" w:val="clear"/>
            <w:tcMar>
              <w:bottom w:w="0" w:type="dxa"/>
            </w:tcMar>
            <w:vAlign w:val="bottom"/>
          </w:tcPr>
          <w:p>
            <w:pPr>
              <w:pStyle w:val="TableContents"/>
              <w:spacing w:before="0" w:after="283"/>
              <w:rPr/>
            </w:pPr>
            <w:r>
              <w:rPr/>
              <w:t> </w:t>
            </w:r>
          </w:p>
        </w:tc>
        <w:tc>
          <w:tcPr>
            <w:tcW w:w="83"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rPr/>
            </w:pPr>
            <w:r>
              <w:rPr/>
              <w:t> </w:t>
            </w:r>
          </w:p>
        </w:tc>
        <w:tc>
          <w:tcPr>
            <w:tcW w:w="535"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47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ind w:left="180" w:right="0" w:hanging="180"/>
              <w:rPr/>
            </w:pPr>
            <w:r>
              <w:rPr/>
              <w:t> </w:t>
            </w:r>
          </w:p>
        </w:tc>
        <w:tc>
          <w:tcPr>
            <w:tcW w:w="15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455"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r>
      <w:tr>
        <w:trPr/>
        <w:tc>
          <w:tcPr>
            <w:tcW w:w="4490" w:type="dxa"/>
            <w:tcBorders/>
            <w:shd w:fill="FFFFFF" w:val="clear"/>
            <w:tcMar>
              <w:bottom w:w="0" w:type="dxa"/>
            </w:tcMar>
            <w:vAlign w:val="bottom"/>
          </w:tcPr>
          <w:p>
            <w:pPr>
              <w:pStyle w:val="TableContents"/>
              <w:spacing w:before="0" w:after="0"/>
              <w:ind w:left="360" w:right="0" w:hanging="180"/>
              <w:rPr/>
            </w:pPr>
            <w:r>
              <w:rPr/>
              <w:t>Rate-lock mortgage loan commitments</w:t>
            </w:r>
          </w:p>
        </w:tc>
        <w:tc>
          <w:tcPr>
            <w:tcW w:w="60"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132" w:type="dxa"/>
            <w:tcBorders/>
            <w:shd w:fill="FFFFFF" w:val="clear"/>
            <w:tcMar>
              <w:bottom w:w="0" w:type="dxa"/>
            </w:tcMar>
            <w:vAlign w:val="bottom"/>
          </w:tcPr>
          <w:p>
            <w:pPr>
              <w:pStyle w:val="TableContents"/>
              <w:spacing w:before="0" w:after="283"/>
              <w:rPr/>
            </w:pPr>
            <w:r>
              <w:rPr/>
              <w:t> </w:t>
            </w:r>
          </w:p>
        </w:tc>
        <w:tc>
          <w:tcPr>
            <w:tcW w:w="83"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rPr/>
            </w:pPr>
            <w:r>
              <w:rPr/>
              <w:t> </w:t>
            </w:r>
          </w:p>
        </w:tc>
        <w:tc>
          <w:tcPr>
            <w:tcW w:w="535"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47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35" w:type="dxa"/>
            <w:tcBorders/>
            <w:shd w:fill="FFFFFF" w:val="clear"/>
            <w:tcMar>
              <w:bottom w:w="0" w:type="dxa"/>
            </w:tcMar>
            <w:vAlign w:val="bottom"/>
          </w:tcPr>
          <w:p>
            <w:pPr>
              <w:pStyle w:val="TableContents"/>
              <w:spacing w:before="0" w:after="0"/>
              <w:ind w:left="180" w:right="0" w:hanging="180"/>
              <w:rPr/>
            </w:pPr>
            <w:r>
              <w:rPr/>
              <w:t>Net gains on mortgage  loans</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0"/>
              <w:rPr/>
            </w:pPr>
            <w:r>
              <w:rPr/>
              <w:t>$</w:t>
            </w:r>
          </w:p>
        </w:tc>
        <w:tc>
          <w:tcPr>
            <w:tcW w:w="635" w:type="dxa"/>
            <w:tcBorders/>
            <w:shd w:fill="FFFFFF" w:val="clear"/>
            <w:tcMar>
              <w:bottom w:w="0" w:type="dxa"/>
            </w:tcMar>
            <w:vAlign w:val="bottom"/>
          </w:tcPr>
          <w:p>
            <w:pPr>
              <w:pStyle w:val="TableContents"/>
              <w:spacing w:before="0" w:after="0"/>
              <w:jc w:val="right"/>
              <w:rPr/>
            </w:pPr>
            <w:r>
              <w:rPr/>
              <w:t>831</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0"/>
              <w:rPr/>
            </w:pPr>
            <w:r>
              <w:rPr/>
              <w:t>$</w:t>
            </w:r>
          </w:p>
        </w:tc>
        <w:tc>
          <w:tcPr>
            <w:tcW w:w="455" w:type="dxa"/>
            <w:tcBorders/>
            <w:shd w:fill="FFFFFF" w:val="clear"/>
            <w:tcMar>
              <w:bottom w:w="0" w:type="dxa"/>
            </w:tcMar>
            <w:vAlign w:val="bottom"/>
          </w:tcPr>
          <w:p>
            <w:pPr>
              <w:pStyle w:val="TableContents"/>
              <w:spacing w:before="0" w:after="0"/>
              <w:jc w:val="right"/>
              <w:rPr/>
            </w:pPr>
            <w:r>
              <w:rPr/>
              <w:t>244</w:t>
            </w:r>
          </w:p>
        </w:tc>
        <w:tc>
          <w:tcPr>
            <w:tcW w:w="95" w:type="dxa"/>
            <w:tcBorders/>
            <w:shd w:fill="FFFFFF" w:val="clear"/>
            <w:tcMar>
              <w:bottom w:w="0" w:type="dxa"/>
            </w:tcMar>
            <w:vAlign w:val="bottom"/>
          </w:tcPr>
          <w:p>
            <w:pPr>
              <w:pStyle w:val="TableContents"/>
              <w:spacing w:before="0" w:after="283"/>
              <w:rPr/>
            </w:pPr>
            <w:r>
              <w:rPr/>
              <w:t> </w:t>
            </w:r>
          </w:p>
        </w:tc>
      </w:tr>
      <w:tr>
        <w:trPr/>
        <w:tc>
          <w:tcPr>
            <w:tcW w:w="4490" w:type="dxa"/>
            <w:tcBorders/>
            <w:shd w:fill="CCEEFF" w:val="clear"/>
            <w:tcMar>
              <w:bottom w:w="0" w:type="dxa"/>
            </w:tcMar>
            <w:vAlign w:val="bottom"/>
          </w:tcPr>
          <w:p>
            <w:pPr>
              <w:pStyle w:val="TableContents"/>
              <w:spacing w:before="0" w:after="0"/>
              <w:ind w:left="360" w:right="0" w:hanging="180"/>
              <w:rPr/>
            </w:pPr>
            <w:r>
              <w:rPr/>
              <w:t>Mandatory commitments to sell mortgage loans</w:t>
            </w:r>
          </w:p>
        </w:tc>
        <w:tc>
          <w:tcPr>
            <w:tcW w:w="60"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283"/>
              <w:rPr/>
            </w:pPr>
            <w:r>
              <w:rPr/>
              <w:t> </w:t>
            </w:r>
          </w:p>
        </w:tc>
        <w:tc>
          <w:tcPr>
            <w:tcW w:w="132" w:type="dxa"/>
            <w:tcBorders/>
            <w:shd w:fill="CCEEFF" w:val="clear"/>
            <w:tcMar>
              <w:bottom w:w="0" w:type="dxa"/>
            </w:tcMar>
            <w:vAlign w:val="bottom"/>
          </w:tcPr>
          <w:p>
            <w:pPr>
              <w:pStyle w:val="TableContents"/>
              <w:spacing w:before="0" w:after="283"/>
              <w:rPr/>
            </w:pPr>
            <w:r>
              <w:rPr/>
              <w:t> </w:t>
            </w:r>
          </w:p>
        </w:tc>
        <w:tc>
          <w:tcPr>
            <w:tcW w:w="83"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rPr/>
            </w:pPr>
            <w:r>
              <w:rPr/>
              <w:t> </w:t>
            </w:r>
          </w:p>
        </w:tc>
        <w:tc>
          <w:tcPr>
            <w:tcW w:w="535"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47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0"/>
              <w:ind w:left="180" w:right="0" w:hanging="180"/>
              <w:rPr/>
            </w:pPr>
            <w:r>
              <w:rPr/>
              <w:t>Net gains on mortgage loans</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0"/>
              <w:jc w:val="right"/>
              <w:rPr/>
            </w:pPr>
            <w:r>
              <w:rPr/>
              <w:t>(125</w:t>
            </w:r>
          </w:p>
        </w:tc>
        <w:tc>
          <w:tcPr>
            <w:tcW w:w="95" w:type="dxa"/>
            <w:tcBorders/>
            <w:shd w:fill="CCEEFF" w:val="clear"/>
            <w:tcMar>
              <w:bottom w:w="0" w:type="dxa"/>
            </w:tcMar>
            <w:vAlign w:val="bottom"/>
          </w:tcPr>
          <w:p>
            <w:pPr>
              <w:pStyle w:val="TableContents"/>
              <w:spacing w:before="0" w:after="0"/>
              <w:rPr/>
            </w:pPr>
            <w:r>
              <w:rPr/>
              <w:t>)</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455" w:type="dxa"/>
            <w:tcBorders/>
            <w:shd w:fill="CCEEFF" w:val="clear"/>
            <w:tcMar>
              <w:bottom w:w="0" w:type="dxa"/>
            </w:tcMar>
            <w:vAlign w:val="bottom"/>
          </w:tcPr>
          <w:p>
            <w:pPr>
              <w:pStyle w:val="TableContents"/>
              <w:spacing w:before="0" w:after="0"/>
              <w:jc w:val="right"/>
              <w:rPr/>
            </w:pPr>
            <w:r>
              <w:rPr/>
              <w:t>(110</w:t>
            </w:r>
          </w:p>
        </w:tc>
        <w:tc>
          <w:tcPr>
            <w:tcW w:w="95" w:type="dxa"/>
            <w:tcBorders/>
            <w:shd w:fill="CCEEFF" w:val="clear"/>
            <w:tcMar>
              <w:bottom w:w="0" w:type="dxa"/>
            </w:tcMar>
            <w:vAlign w:val="bottom"/>
          </w:tcPr>
          <w:p>
            <w:pPr>
              <w:pStyle w:val="TableContents"/>
              <w:spacing w:before="0" w:after="0"/>
              <w:rPr/>
            </w:pPr>
            <w:r>
              <w:rPr/>
              <w:t>)</w:t>
            </w:r>
          </w:p>
        </w:tc>
      </w:tr>
      <w:tr>
        <w:trPr/>
        <w:tc>
          <w:tcPr>
            <w:tcW w:w="4490" w:type="dxa"/>
            <w:tcBorders/>
            <w:shd w:fill="FFFFFF" w:val="clear"/>
            <w:tcMar>
              <w:bottom w:w="0" w:type="dxa"/>
            </w:tcMar>
            <w:vAlign w:val="bottom"/>
          </w:tcPr>
          <w:p>
            <w:pPr>
              <w:pStyle w:val="TableContents"/>
              <w:spacing w:before="0" w:after="0"/>
              <w:ind w:left="360" w:right="0" w:hanging="180"/>
              <w:rPr/>
            </w:pPr>
            <w:r>
              <w:rPr/>
              <w:t>Pay-fixed interest rate swap agreements -commercial</w:t>
            </w:r>
          </w:p>
        </w:tc>
        <w:tc>
          <w:tcPr>
            <w:tcW w:w="60"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132" w:type="dxa"/>
            <w:tcBorders/>
            <w:shd w:fill="FFFFFF" w:val="clear"/>
            <w:tcMar>
              <w:bottom w:w="0" w:type="dxa"/>
            </w:tcMar>
            <w:vAlign w:val="bottom"/>
          </w:tcPr>
          <w:p>
            <w:pPr>
              <w:pStyle w:val="TableContents"/>
              <w:spacing w:before="0" w:after="283"/>
              <w:rPr/>
            </w:pPr>
            <w:r>
              <w:rPr/>
              <w:t> </w:t>
            </w:r>
          </w:p>
        </w:tc>
        <w:tc>
          <w:tcPr>
            <w:tcW w:w="83"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rPr/>
            </w:pPr>
            <w:r>
              <w:rPr/>
              <w:t> </w:t>
            </w:r>
          </w:p>
        </w:tc>
        <w:tc>
          <w:tcPr>
            <w:tcW w:w="535"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47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35" w:type="dxa"/>
            <w:tcBorders/>
            <w:shd w:fill="FFFFFF" w:val="clear"/>
            <w:tcMar>
              <w:bottom w:w="0" w:type="dxa"/>
            </w:tcMar>
            <w:vAlign w:val="bottom"/>
          </w:tcPr>
          <w:p>
            <w:pPr>
              <w:pStyle w:val="TableContents"/>
              <w:spacing w:before="0" w:after="0"/>
              <w:ind w:left="180" w:right="0" w:hanging="180"/>
              <w:rPr/>
            </w:pPr>
            <w:r>
              <w:rPr/>
              <w:t>Interest income</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0"/>
              <w:jc w:val="right"/>
              <w:rPr/>
            </w:pPr>
            <w:r>
              <w:rPr/>
              <w:t>(2,437</w:t>
            </w:r>
          </w:p>
        </w:tc>
        <w:tc>
          <w:tcPr>
            <w:tcW w:w="95" w:type="dxa"/>
            <w:tcBorders/>
            <w:shd w:fill="FFFFFF" w:val="clear"/>
            <w:tcMar>
              <w:bottom w:w="0" w:type="dxa"/>
            </w:tcMar>
            <w:vAlign w:val="bottom"/>
          </w:tcPr>
          <w:p>
            <w:pPr>
              <w:pStyle w:val="TableContents"/>
              <w:spacing w:before="0" w:after="0"/>
              <w:rPr/>
            </w:pPr>
            <w:r>
              <w:rPr/>
              <w:t>)</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455" w:type="dxa"/>
            <w:tcBorders/>
            <w:shd w:fill="FFFFFF" w:val="clear"/>
            <w:tcMar>
              <w:bottom w:w="0" w:type="dxa"/>
            </w:tcMar>
            <w:vAlign w:val="bottom"/>
          </w:tcPr>
          <w:p>
            <w:pPr>
              <w:pStyle w:val="TableContents"/>
              <w:spacing w:before="0" w:after="0"/>
              <w:jc w:val="right"/>
              <w:rPr/>
            </w:pPr>
            <w:r>
              <w:rPr/>
              <w:t>487</w:t>
            </w:r>
          </w:p>
        </w:tc>
        <w:tc>
          <w:tcPr>
            <w:tcW w:w="95" w:type="dxa"/>
            <w:tcBorders/>
            <w:shd w:fill="FFFFFF" w:val="clear"/>
            <w:tcMar>
              <w:bottom w:w="0" w:type="dxa"/>
            </w:tcMar>
            <w:vAlign w:val="bottom"/>
          </w:tcPr>
          <w:p>
            <w:pPr>
              <w:pStyle w:val="TableContents"/>
              <w:spacing w:before="0" w:after="283"/>
              <w:rPr/>
            </w:pPr>
            <w:r>
              <w:rPr/>
              <w:t> </w:t>
            </w:r>
          </w:p>
        </w:tc>
      </w:tr>
      <w:tr>
        <w:trPr/>
        <w:tc>
          <w:tcPr>
            <w:tcW w:w="4490" w:type="dxa"/>
            <w:tcBorders/>
            <w:shd w:fill="CCEEFF" w:val="clear"/>
            <w:tcMar>
              <w:bottom w:w="0" w:type="dxa"/>
            </w:tcMar>
            <w:vAlign w:val="bottom"/>
          </w:tcPr>
          <w:p>
            <w:pPr>
              <w:pStyle w:val="TableContents"/>
              <w:spacing w:before="0" w:after="0"/>
              <w:ind w:left="360" w:right="0" w:hanging="180"/>
              <w:rPr/>
            </w:pPr>
            <w:r>
              <w:rPr/>
              <w:t>Pay-variable interest rate swap agreements -commercial</w:t>
            </w:r>
          </w:p>
        </w:tc>
        <w:tc>
          <w:tcPr>
            <w:tcW w:w="60"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283"/>
              <w:jc w:val="right"/>
              <w:rPr/>
            </w:pPr>
            <w:r>
              <w:rPr/>
              <w:t> </w:t>
            </w:r>
          </w:p>
        </w:tc>
        <w:tc>
          <w:tcPr>
            <w:tcW w:w="132" w:type="dxa"/>
            <w:tcBorders/>
            <w:shd w:fill="CCEEFF" w:val="clear"/>
            <w:tcMar>
              <w:bottom w:w="0" w:type="dxa"/>
            </w:tcMar>
            <w:vAlign w:val="bottom"/>
          </w:tcPr>
          <w:p>
            <w:pPr>
              <w:pStyle w:val="TableContents"/>
              <w:spacing w:before="0" w:after="283"/>
              <w:rPr/>
            </w:pPr>
            <w:r>
              <w:rPr/>
              <w:t> </w:t>
            </w:r>
          </w:p>
        </w:tc>
        <w:tc>
          <w:tcPr>
            <w:tcW w:w="83"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rPr/>
            </w:pPr>
            <w:r>
              <w:rPr/>
              <w:t> </w:t>
            </w:r>
          </w:p>
        </w:tc>
        <w:tc>
          <w:tcPr>
            <w:tcW w:w="535"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47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0"/>
              <w:ind w:left="180" w:right="0" w:hanging="180"/>
              <w:rPr/>
            </w:pPr>
            <w:r>
              <w:rPr/>
              <w:t>Interest income</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0"/>
              <w:jc w:val="right"/>
              <w:rPr/>
            </w:pPr>
            <w:r>
              <w:rPr/>
              <w:t>2,437</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455" w:type="dxa"/>
            <w:tcBorders/>
            <w:shd w:fill="CCEEFF" w:val="clear"/>
            <w:tcMar>
              <w:bottom w:w="0" w:type="dxa"/>
            </w:tcMar>
            <w:vAlign w:val="bottom"/>
          </w:tcPr>
          <w:p>
            <w:pPr>
              <w:pStyle w:val="TableContents"/>
              <w:spacing w:before="0" w:after="0"/>
              <w:jc w:val="right"/>
              <w:rPr/>
            </w:pPr>
            <w:r>
              <w:rPr/>
              <w:t>(487</w:t>
            </w:r>
          </w:p>
        </w:tc>
        <w:tc>
          <w:tcPr>
            <w:tcW w:w="95" w:type="dxa"/>
            <w:tcBorders/>
            <w:shd w:fill="CCEEFF" w:val="clear"/>
            <w:tcMar>
              <w:bottom w:w="0" w:type="dxa"/>
            </w:tcMar>
            <w:vAlign w:val="bottom"/>
          </w:tcPr>
          <w:p>
            <w:pPr>
              <w:pStyle w:val="TableContents"/>
              <w:spacing w:before="0" w:after="0"/>
              <w:rPr/>
            </w:pPr>
            <w:r>
              <w:rPr/>
              <w:t>)</w:t>
            </w:r>
          </w:p>
        </w:tc>
      </w:tr>
      <w:tr>
        <w:trPr/>
        <w:tc>
          <w:tcPr>
            <w:tcW w:w="4490" w:type="dxa"/>
            <w:tcBorders/>
            <w:shd w:fill="FFFFFF" w:val="clear"/>
            <w:tcMar>
              <w:bottom w:w="0" w:type="dxa"/>
            </w:tcMar>
            <w:vAlign w:val="bottom"/>
          </w:tcPr>
          <w:p>
            <w:pPr>
              <w:pStyle w:val="TableContents"/>
              <w:spacing w:before="0" w:after="0"/>
              <w:ind w:left="360" w:right="0" w:hanging="180"/>
              <w:rPr/>
            </w:pPr>
            <w:r>
              <w:rPr/>
              <w:t>Pay-variable interest rate swap agreements</w:t>
            </w:r>
          </w:p>
        </w:tc>
        <w:tc>
          <w:tcPr>
            <w:tcW w:w="60"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132" w:type="dxa"/>
            <w:tcBorders/>
            <w:shd w:fill="FFFFFF" w:val="clear"/>
            <w:tcMar>
              <w:bottom w:w="0" w:type="dxa"/>
            </w:tcMar>
            <w:vAlign w:val="bottom"/>
          </w:tcPr>
          <w:p>
            <w:pPr>
              <w:pStyle w:val="TableContents"/>
              <w:spacing w:before="0" w:after="283"/>
              <w:rPr/>
            </w:pPr>
            <w:r>
              <w:rPr/>
              <w:t> </w:t>
            </w:r>
          </w:p>
        </w:tc>
        <w:tc>
          <w:tcPr>
            <w:tcW w:w="83"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rPr/>
            </w:pPr>
            <w:r>
              <w:rPr/>
              <w:t> </w:t>
            </w:r>
          </w:p>
        </w:tc>
        <w:tc>
          <w:tcPr>
            <w:tcW w:w="535"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47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35" w:type="dxa"/>
            <w:tcBorders/>
            <w:shd w:fill="FFFFFF" w:val="clear"/>
            <w:tcMar>
              <w:bottom w:w="0" w:type="dxa"/>
            </w:tcMar>
            <w:vAlign w:val="bottom"/>
          </w:tcPr>
          <w:p>
            <w:pPr>
              <w:pStyle w:val="TableContents"/>
              <w:spacing w:before="0" w:after="0"/>
              <w:ind w:left="180" w:right="0" w:hanging="180"/>
              <w:rPr/>
            </w:pPr>
            <w:r>
              <w:rPr/>
              <w:t>Interest expense</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0"/>
              <w:jc w:val="right"/>
              <w:rPr/>
            </w:pPr>
            <w:r>
              <w:rPr/>
              <w:t>-</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455" w:type="dxa"/>
            <w:tcBorders/>
            <w:shd w:fill="FFFFFF" w:val="clear"/>
            <w:tcMar>
              <w:bottom w:w="0" w:type="dxa"/>
            </w:tcMar>
            <w:vAlign w:val="bottom"/>
          </w:tcPr>
          <w:p>
            <w:pPr>
              <w:pStyle w:val="TableContents"/>
              <w:spacing w:before="0" w:after="0"/>
              <w:jc w:val="right"/>
              <w:rPr/>
            </w:pPr>
            <w:r>
              <w:rPr/>
              <w:t>36</w:t>
            </w:r>
          </w:p>
        </w:tc>
        <w:tc>
          <w:tcPr>
            <w:tcW w:w="95" w:type="dxa"/>
            <w:tcBorders/>
            <w:shd w:fill="FFFFFF" w:val="clear"/>
            <w:tcMar>
              <w:bottom w:w="0" w:type="dxa"/>
            </w:tcMar>
            <w:vAlign w:val="bottom"/>
          </w:tcPr>
          <w:p>
            <w:pPr>
              <w:pStyle w:val="TableContents"/>
              <w:spacing w:before="0" w:after="283"/>
              <w:rPr/>
            </w:pPr>
            <w:r>
              <w:rPr/>
              <w:t> </w:t>
            </w:r>
          </w:p>
        </w:tc>
      </w:tr>
      <w:tr>
        <w:trPr/>
        <w:tc>
          <w:tcPr>
            <w:tcW w:w="4490" w:type="dxa"/>
            <w:tcBorders/>
            <w:shd w:fill="CCEEFF" w:val="clear"/>
            <w:tcMar>
              <w:bottom w:w="0" w:type="dxa"/>
            </w:tcMar>
            <w:vAlign w:val="bottom"/>
          </w:tcPr>
          <w:p>
            <w:pPr>
              <w:pStyle w:val="TableContents"/>
              <w:spacing w:before="0" w:after="0"/>
              <w:ind w:left="360" w:right="0" w:hanging="180"/>
              <w:rPr/>
            </w:pPr>
            <w:r>
              <w:rPr/>
              <w:t>Purchased options</w:t>
            </w:r>
          </w:p>
        </w:tc>
        <w:tc>
          <w:tcPr>
            <w:tcW w:w="60"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283"/>
              <w:jc w:val="right"/>
              <w:rPr/>
            </w:pPr>
            <w:r>
              <w:rPr/>
              <w:t> </w:t>
            </w:r>
          </w:p>
        </w:tc>
        <w:tc>
          <w:tcPr>
            <w:tcW w:w="132" w:type="dxa"/>
            <w:tcBorders/>
            <w:shd w:fill="CCEEFF" w:val="clear"/>
            <w:tcMar>
              <w:bottom w:w="0" w:type="dxa"/>
            </w:tcMar>
            <w:vAlign w:val="bottom"/>
          </w:tcPr>
          <w:p>
            <w:pPr>
              <w:pStyle w:val="TableContents"/>
              <w:spacing w:before="0" w:after="283"/>
              <w:rPr/>
            </w:pPr>
            <w:r>
              <w:rPr/>
              <w:t> </w:t>
            </w:r>
          </w:p>
        </w:tc>
        <w:tc>
          <w:tcPr>
            <w:tcW w:w="83"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rPr/>
            </w:pPr>
            <w:r>
              <w:rPr/>
              <w:t> </w:t>
            </w:r>
          </w:p>
        </w:tc>
        <w:tc>
          <w:tcPr>
            <w:tcW w:w="535"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47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0"/>
              <w:ind w:left="180" w:right="0" w:hanging="180"/>
              <w:rPr/>
            </w:pPr>
            <w:r>
              <w:rPr/>
              <w:t>Interest expense</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0"/>
              <w:jc w:val="right"/>
              <w:rPr/>
            </w:pPr>
            <w:r>
              <w:rPr/>
              <w:t>(31</w:t>
            </w:r>
          </w:p>
        </w:tc>
        <w:tc>
          <w:tcPr>
            <w:tcW w:w="95" w:type="dxa"/>
            <w:tcBorders/>
            <w:shd w:fill="CCEEFF" w:val="clear"/>
            <w:tcMar>
              <w:bottom w:w="0" w:type="dxa"/>
            </w:tcMar>
            <w:vAlign w:val="bottom"/>
          </w:tcPr>
          <w:p>
            <w:pPr>
              <w:pStyle w:val="TableContents"/>
              <w:spacing w:before="0" w:after="0"/>
              <w:rPr/>
            </w:pPr>
            <w:r>
              <w:rPr/>
              <w:t>)</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455" w:type="dxa"/>
            <w:tcBorders/>
            <w:shd w:fill="CCEEFF" w:val="clear"/>
            <w:tcMar>
              <w:bottom w:w="0" w:type="dxa"/>
            </w:tcMar>
            <w:vAlign w:val="bottom"/>
          </w:tcPr>
          <w:p>
            <w:pPr>
              <w:pStyle w:val="TableContents"/>
              <w:spacing w:before="0" w:after="0"/>
              <w:jc w:val="right"/>
              <w:rPr/>
            </w:pPr>
            <w:r>
              <w:rPr/>
              <w:t>(6</w:t>
            </w:r>
          </w:p>
        </w:tc>
        <w:tc>
          <w:tcPr>
            <w:tcW w:w="95" w:type="dxa"/>
            <w:tcBorders/>
            <w:shd w:fill="CCEEFF" w:val="clear"/>
            <w:tcMar>
              <w:bottom w:w="0" w:type="dxa"/>
            </w:tcMar>
            <w:vAlign w:val="bottom"/>
          </w:tcPr>
          <w:p>
            <w:pPr>
              <w:pStyle w:val="TableContents"/>
              <w:spacing w:before="0" w:after="0"/>
              <w:rPr/>
            </w:pPr>
            <w:r>
              <w:rPr/>
              <w:t>)</w:t>
            </w:r>
          </w:p>
        </w:tc>
      </w:tr>
      <w:tr>
        <w:trPr/>
        <w:tc>
          <w:tcPr>
            <w:tcW w:w="4490" w:type="dxa"/>
            <w:tcBorders/>
            <w:shd w:fill="FFFFFF" w:val="clear"/>
            <w:tcMar>
              <w:bottom w:w="0" w:type="dxa"/>
            </w:tcMar>
            <w:vAlign w:val="bottom"/>
          </w:tcPr>
          <w:p>
            <w:pPr>
              <w:pStyle w:val="TableContents"/>
              <w:spacing w:before="0" w:after="0"/>
              <w:ind w:left="360" w:right="0" w:hanging="180"/>
              <w:rPr/>
            </w:pPr>
            <w:r>
              <w:rPr/>
              <w:t>Written options</w:t>
            </w:r>
          </w:p>
        </w:tc>
        <w:tc>
          <w:tcPr>
            <w:tcW w:w="60"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132" w:type="dxa"/>
            <w:tcBorders/>
            <w:shd w:fill="FFFFFF" w:val="clear"/>
            <w:tcMar>
              <w:bottom w:w="0" w:type="dxa"/>
            </w:tcMar>
            <w:vAlign w:val="bottom"/>
          </w:tcPr>
          <w:p>
            <w:pPr>
              <w:pStyle w:val="TableContents"/>
              <w:spacing w:before="0" w:after="283"/>
              <w:rPr/>
            </w:pPr>
            <w:r>
              <w:rPr/>
              <w:t> </w:t>
            </w:r>
          </w:p>
        </w:tc>
        <w:tc>
          <w:tcPr>
            <w:tcW w:w="83" w:type="dxa"/>
            <w:tcBorders/>
            <w:shd w:fill="FFFFFF" w:val="clear"/>
            <w:tcMar>
              <w:bottom w:w="0" w:type="dxa"/>
            </w:tcMar>
            <w:vAlign w:val="bottom"/>
          </w:tcPr>
          <w:p>
            <w:pPr>
              <w:pStyle w:val="TableContents"/>
              <w:spacing w:before="0" w:after="283"/>
              <w:rPr/>
            </w:pPr>
            <w:r>
              <w:rPr/>
              <w:t> </w:t>
            </w:r>
          </w:p>
        </w:tc>
        <w:tc>
          <w:tcPr>
            <w:tcW w:w="195" w:type="dxa"/>
            <w:tcBorders/>
            <w:shd w:fill="FFFFFF" w:val="clear"/>
            <w:tcMar>
              <w:bottom w:w="0" w:type="dxa"/>
            </w:tcMar>
            <w:vAlign w:val="bottom"/>
          </w:tcPr>
          <w:p>
            <w:pPr>
              <w:pStyle w:val="TableContents"/>
              <w:spacing w:before="0" w:after="283"/>
              <w:rPr/>
            </w:pPr>
            <w:r>
              <w:rPr/>
              <w:t> </w:t>
            </w:r>
          </w:p>
        </w:tc>
        <w:tc>
          <w:tcPr>
            <w:tcW w:w="535"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47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35" w:type="dxa"/>
            <w:tcBorders/>
            <w:shd w:fill="FFFFFF" w:val="clear"/>
            <w:tcMar>
              <w:bottom w:w="0" w:type="dxa"/>
            </w:tcMar>
            <w:vAlign w:val="bottom"/>
          </w:tcPr>
          <w:p>
            <w:pPr>
              <w:pStyle w:val="TableContents"/>
              <w:spacing w:before="0" w:after="0"/>
              <w:ind w:left="180" w:right="0" w:hanging="180"/>
              <w:rPr/>
            </w:pPr>
            <w:r>
              <w:rPr/>
              <w:t>Interest expense</w:t>
            </w:r>
          </w:p>
        </w:tc>
        <w:tc>
          <w:tcPr>
            <w:tcW w:w="60" w:type="dxa"/>
            <w:tcBorders/>
            <w:shd w:fill="FFFFFF" w:val="clear"/>
            <w:tcMar>
              <w:bottom w:w="0" w:type="dxa"/>
            </w:tcMar>
            <w:vAlign w:val="bottom"/>
          </w:tcPr>
          <w:p>
            <w:pPr>
              <w:pStyle w:val="TableContents"/>
              <w:spacing w:before="0" w:after="283"/>
              <w:rPr/>
            </w:pPr>
            <w:r>
              <w:rPr/>
              <w:t> </w:t>
            </w:r>
          </w:p>
        </w:tc>
        <w:tc>
          <w:tcPr>
            <w:tcW w:w="140" w:type="dxa"/>
            <w:tcBorders>
              <w:bottom w:val="single" w:sz="12" w:space="0" w:color="000000"/>
            </w:tcBorders>
            <w:shd w:fill="FFFFFF" w:val="clear"/>
            <w:vAlign w:val="bottom"/>
          </w:tcPr>
          <w:p>
            <w:pPr>
              <w:pStyle w:val="TableContents"/>
              <w:spacing w:before="0" w:after="283"/>
              <w:rPr/>
            </w:pPr>
            <w:r>
              <w:rPr/>
              <w:t> </w:t>
            </w:r>
          </w:p>
        </w:tc>
        <w:tc>
          <w:tcPr>
            <w:tcW w:w="635" w:type="dxa"/>
            <w:tcBorders>
              <w:bottom w:val="single" w:sz="12" w:space="0" w:color="000000"/>
            </w:tcBorders>
            <w:shd w:fill="FFFFFF" w:val="clear"/>
            <w:vAlign w:val="bottom"/>
          </w:tcPr>
          <w:p>
            <w:pPr>
              <w:pStyle w:val="TableContents"/>
              <w:spacing w:before="0" w:after="0"/>
              <w:jc w:val="right"/>
              <w:rPr/>
            </w:pPr>
            <w:r>
              <w:rPr/>
              <w:t>30</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bottom w:val="single" w:sz="12" w:space="0" w:color="000000"/>
            </w:tcBorders>
            <w:shd w:fill="FFFFFF" w:val="clear"/>
            <w:vAlign w:val="bottom"/>
          </w:tcPr>
          <w:p>
            <w:pPr>
              <w:pStyle w:val="TableContents"/>
              <w:spacing w:before="0" w:after="283"/>
              <w:rPr/>
            </w:pPr>
            <w:r>
              <w:rPr/>
              <w:t> </w:t>
            </w:r>
          </w:p>
        </w:tc>
        <w:tc>
          <w:tcPr>
            <w:tcW w:w="455" w:type="dxa"/>
            <w:tcBorders>
              <w:bottom w:val="single" w:sz="12" w:space="0" w:color="000000"/>
            </w:tcBorders>
            <w:shd w:fill="FFFFFF" w:val="clear"/>
            <w:vAlign w:val="bottom"/>
          </w:tcPr>
          <w:p>
            <w:pPr>
              <w:pStyle w:val="TableContents"/>
              <w:spacing w:before="0" w:after="0"/>
              <w:jc w:val="right"/>
              <w:rPr/>
            </w:pPr>
            <w:r>
              <w:rPr/>
              <w:t>6</w:t>
            </w:r>
          </w:p>
        </w:tc>
        <w:tc>
          <w:tcPr>
            <w:tcW w:w="95" w:type="dxa"/>
            <w:tcBorders/>
            <w:shd w:fill="FFFFFF" w:val="clear"/>
            <w:tcMar>
              <w:bottom w:w="0" w:type="dxa"/>
            </w:tcMar>
            <w:vAlign w:val="bottom"/>
          </w:tcPr>
          <w:p>
            <w:pPr>
              <w:pStyle w:val="TableContents"/>
              <w:spacing w:before="0" w:after="283"/>
              <w:rPr/>
            </w:pPr>
            <w:r>
              <w:rPr/>
              <w:t> </w:t>
            </w:r>
          </w:p>
        </w:tc>
      </w:tr>
      <w:tr>
        <w:trPr/>
        <w:tc>
          <w:tcPr>
            <w:tcW w:w="4490" w:type="dxa"/>
            <w:tcBorders/>
            <w:shd w:fill="CCEEFF" w:val="clear"/>
            <w:tcMar>
              <w:bottom w:w="0" w:type="dxa"/>
            </w:tcMar>
            <w:vAlign w:val="bottom"/>
          </w:tcPr>
          <w:p>
            <w:pPr>
              <w:pStyle w:val="TableContents"/>
              <w:spacing w:before="0" w:after="0"/>
              <w:ind w:left="540" w:right="0" w:hanging="180"/>
              <w:rPr/>
            </w:pPr>
            <w:r>
              <w:rPr/>
              <w:t>Total</w:t>
            </w:r>
          </w:p>
        </w:tc>
        <w:tc>
          <w:tcPr>
            <w:tcW w:w="60"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283"/>
              <w:jc w:val="right"/>
              <w:rPr/>
            </w:pPr>
            <w:r>
              <w:rPr/>
              <w:t> </w:t>
            </w:r>
          </w:p>
        </w:tc>
        <w:tc>
          <w:tcPr>
            <w:tcW w:w="132" w:type="dxa"/>
            <w:tcBorders/>
            <w:shd w:fill="CCEEFF" w:val="clear"/>
            <w:tcMar>
              <w:bottom w:w="0" w:type="dxa"/>
            </w:tcMar>
            <w:vAlign w:val="bottom"/>
          </w:tcPr>
          <w:p>
            <w:pPr>
              <w:pStyle w:val="TableContents"/>
              <w:spacing w:before="0" w:after="283"/>
              <w:rPr/>
            </w:pPr>
            <w:r>
              <w:rPr/>
              <w:t> </w:t>
            </w:r>
          </w:p>
        </w:tc>
        <w:tc>
          <w:tcPr>
            <w:tcW w:w="83" w:type="dxa"/>
            <w:tcBorders/>
            <w:shd w:fill="CCEEFF" w:val="clear"/>
            <w:tcMar>
              <w:bottom w:w="0" w:type="dxa"/>
            </w:tcMar>
            <w:vAlign w:val="bottom"/>
          </w:tcPr>
          <w:p>
            <w:pPr>
              <w:pStyle w:val="TableContents"/>
              <w:spacing w:before="0" w:after="283"/>
              <w:rPr/>
            </w:pPr>
            <w:r>
              <w:rPr/>
              <w:t> </w:t>
            </w:r>
          </w:p>
        </w:tc>
        <w:tc>
          <w:tcPr>
            <w:tcW w:w="195" w:type="dxa"/>
            <w:tcBorders/>
            <w:shd w:fill="CCEEFF" w:val="clear"/>
            <w:tcMar>
              <w:bottom w:w="0" w:type="dxa"/>
            </w:tcMar>
            <w:vAlign w:val="bottom"/>
          </w:tcPr>
          <w:p>
            <w:pPr>
              <w:pStyle w:val="TableContents"/>
              <w:spacing w:before="0" w:after="283"/>
              <w:rPr/>
            </w:pPr>
            <w:r>
              <w:rPr/>
              <w:t> </w:t>
            </w:r>
          </w:p>
        </w:tc>
        <w:tc>
          <w:tcPr>
            <w:tcW w:w="535"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47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635" w:type="dxa"/>
            <w:tcBorders>
              <w:bottom w:val="double" w:sz="8" w:space="0" w:color="000000"/>
            </w:tcBorders>
            <w:shd w:fill="CCEEFF" w:val="clear"/>
            <w:vAlign w:val="bottom"/>
          </w:tcPr>
          <w:p>
            <w:pPr>
              <w:pStyle w:val="TableContents"/>
              <w:spacing w:before="0" w:after="0"/>
              <w:jc w:val="right"/>
              <w:rPr/>
            </w:pPr>
            <w:r>
              <w:rPr/>
              <w:t>705</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455" w:type="dxa"/>
            <w:tcBorders>
              <w:bottom w:val="double" w:sz="8" w:space="0" w:color="000000"/>
            </w:tcBorders>
            <w:shd w:fill="CCEEFF" w:val="clear"/>
            <w:vAlign w:val="bottom"/>
          </w:tcPr>
          <w:p>
            <w:pPr>
              <w:pStyle w:val="TableContents"/>
              <w:spacing w:before="0" w:after="0"/>
              <w:jc w:val="right"/>
              <w:rPr/>
            </w:pPr>
            <w:r>
              <w:rPr/>
              <w:t>170</w:t>
            </w:r>
          </w:p>
        </w:tc>
        <w:tc>
          <w:tcPr>
            <w:tcW w:w="95" w:type="dxa"/>
            <w:tcBorders/>
            <w:shd w:fill="CCEEFF" w:val="clear"/>
            <w:tcMar>
              <w:bottom w:w="0" w:type="dxa"/>
            </w:tcM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377" w:name="z2b0c74e36777475cb549c2255ba73fcf"/>
      <w:bookmarkStart w:id="378" w:name="z2b0c74e36777475cb549c2255ba73fcf"/>
      <w:bookmarkEnd w:id="378"/>
    </w:p>
    <w:tbl>
      <w:tblPr>
        <w:tblW w:w="7870" w:type="dxa"/>
        <w:jc w:val="left"/>
        <w:tblInd w:w="0" w:type="dxa"/>
        <w:tblCellMar>
          <w:top w:w="0" w:type="dxa"/>
          <w:left w:w="0" w:type="dxa"/>
          <w:bottom w:w="0" w:type="dxa"/>
          <w:right w:w="0" w:type="dxa"/>
        </w:tblCellMar>
      </w:tblPr>
      <w:tblGrid>
        <w:gridCol w:w="305"/>
        <w:gridCol w:w="7565"/>
      </w:tblGrid>
      <w:tr>
        <w:trPr/>
        <w:tc>
          <w:tcPr>
            <w:tcW w:w="305" w:type="dxa"/>
            <w:tcBorders/>
            <w:shd w:fill="auto" w:val="clear"/>
            <w:vAlign w:val="center"/>
          </w:tcPr>
          <w:p>
            <w:pPr>
              <w:pStyle w:val="TableContents"/>
              <w:spacing w:before="0" w:after="0"/>
              <w:rPr/>
            </w:pPr>
            <w:r>
              <w:rPr/>
              <w:t>(1)</w:t>
            </w:r>
          </w:p>
        </w:tc>
        <w:tc>
          <w:tcPr>
            <w:tcW w:w="7565" w:type="dxa"/>
            <w:tcBorders/>
            <w:shd w:fill="auto" w:val="clear"/>
            <w:vAlign w:val="center"/>
          </w:tcPr>
          <w:p>
            <w:pPr>
              <w:pStyle w:val="TableContents"/>
              <w:spacing w:before="0" w:after="0"/>
              <w:rPr/>
            </w:pPr>
            <w:r>
              <w:rPr/>
              <w:t> </w:t>
            </w:r>
            <w:r>
              <w:rPr/>
              <w:t>For cash flow hedges, this location and amount refers to the ineffective portion.</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79" w:name="DSPFPageBreakArea36"/>
      <w:bookmarkStart w:id="380" w:name="DSPFPageBreakArea36"/>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381" w:name="DSPFPageNumber36"/>
      <w:bookmarkStart w:id="382" w:name="DSPFPageNumberArea35"/>
      <w:bookmarkEnd w:id="381"/>
      <w:bookmarkEnd w:id="382"/>
      <w:r>
        <w:rPr>
          <w:b w:val="false"/>
          <w:i w:val="false"/>
          <w:caps w:val="false"/>
          <w:smallCaps w:val="false"/>
          <w:sz w:val="13"/>
        </w:rPr>
        <w:t>37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83" w:name="DSPFPageBreak36"/>
      <w:bookmarkStart w:id="384" w:name="DSPFPageBreak36"/>
      <w:bookmarkEnd w:id="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385" w:name="DSPFPageHeader35"/>
        <w:bookmarkEnd w:id="38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jc w:val="center"/>
        <w:rPr/>
      </w:pPr>
      <w:r>
        <w:rPr/>
      </w:r>
    </w:p>
    <w:p>
      <w:pPr>
        <w:pStyle w:val="Normal"/>
        <w:spacing w:before="0" w:after="0"/>
        <w:jc w:val="center"/>
        <w:rPr>
          <w:sz w:val="4"/>
          <w:szCs w:val="4"/>
        </w:rPr>
      </w:pPr>
      <w:r>
        <w:rPr>
          <w:sz w:val="4"/>
          <w:szCs w:val="4"/>
        </w:rPr>
      </w:r>
      <w:bookmarkStart w:id="386" w:name="zf796c81f87f347da996e0f238ecf8a7d"/>
      <w:bookmarkStart w:id="387" w:name="zf796c81f87f347da996e0f238ecf8a7d"/>
      <w:bookmarkEnd w:id="387"/>
    </w:p>
    <w:tbl>
      <w:tblPr>
        <w:tblW w:w="13375" w:type="dxa"/>
        <w:jc w:val="center"/>
        <w:tblInd w:w="0" w:type="dxa"/>
        <w:tblCellMar>
          <w:top w:w="0" w:type="dxa"/>
          <w:left w:w="0" w:type="dxa"/>
          <w:bottom w:w="28" w:type="dxa"/>
          <w:right w:w="0" w:type="dxa"/>
        </w:tblCellMar>
      </w:tblPr>
      <w:tblGrid>
        <w:gridCol w:w="4505"/>
        <w:gridCol w:w="60"/>
        <w:gridCol w:w="152"/>
        <w:gridCol w:w="691"/>
        <w:gridCol w:w="103"/>
        <w:gridCol w:w="65"/>
        <w:gridCol w:w="152"/>
        <w:gridCol w:w="612"/>
        <w:gridCol w:w="60"/>
        <w:gridCol w:w="1565"/>
        <w:gridCol w:w="60"/>
        <w:gridCol w:w="253"/>
        <w:gridCol w:w="686"/>
        <w:gridCol w:w="108"/>
        <w:gridCol w:w="108"/>
        <w:gridCol w:w="253"/>
        <w:gridCol w:w="472"/>
        <w:gridCol w:w="60"/>
        <w:gridCol w:w="1535"/>
        <w:gridCol w:w="60"/>
        <w:gridCol w:w="140"/>
        <w:gridCol w:w="635"/>
        <w:gridCol w:w="95"/>
        <w:gridCol w:w="60"/>
        <w:gridCol w:w="140"/>
        <w:gridCol w:w="635"/>
        <w:gridCol w:w="110"/>
      </w:tblGrid>
      <w:tr>
        <w:trPr/>
        <w:tc>
          <w:tcPr>
            <w:tcW w:w="13265" w:type="dxa"/>
            <w:gridSpan w:val="26"/>
            <w:tcBorders>
              <w:bottom w:val="single" w:sz="12" w:space="0" w:color="000000"/>
            </w:tcBorders>
            <w:shd w:fill="auto" w:val="clear"/>
            <w:vAlign w:val="bottom"/>
          </w:tcPr>
          <w:p>
            <w:pPr>
              <w:pStyle w:val="TableContents"/>
              <w:spacing w:before="0" w:after="0"/>
              <w:jc w:val="center"/>
              <w:rPr/>
            </w:pPr>
            <w:r>
              <w:rPr/>
              <w:t>Six Month Periods Ended June 30,</w:t>
            </w:r>
          </w:p>
        </w:tc>
        <w:tc>
          <w:tcPr>
            <w:tcW w:w="110" w:type="dxa"/>
            <w:tcBorders/>
            <w:shd w:fill="auto" w:val="clear"/>
            <w:tcMar>
              <w:bottom w:w="0" w:type="dxa"/>
            </w:tcMar>
            <w:vAlign w:val="bottom"/>
          </w:tcPr>
          <w:p>
            <w:pPr>
              <w:pStyle w:val="TableContents"/>
              <w:spacing w:before="0" w:after="283"/>
              <w:rPr/>
            </w:pPr>
            <w:r>
              <w:rPr/>
              <w:t> </w:t>
            </w:r>
          </w:p>
        </w:tc>
      </w:tr>
      <w:tr>
        <w:trPr/>
        <w:tc>
          <w:tcPr>
            <w:tcW w:w="45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775" w:type="dxa"/>
            <w:gridSpan w:val="6"/>
            <w:tcBorders>
              <w:bottom w:val="single" w:sz="12" w:space="0" w:color="000000"/>
            </w:tcBorders>
            <w:shd w:fill="auto" w:val="clear"/>
            <w:vAlign w:val="bottom"/>
          </w:tcPr>
          <w:p>
            <w:pPr>
              <w:pStyle w:val="TableContents"/>
              <w:spacing w:before="0" w:after="0"/>
              <w:jc w:val="center"/>
              <w:rPr/>
            </w:pPr>
            <w:r>
              <w:rPr/>
              <w:t>Gain (Loss)</w:t>
            </w:r>
          </w:p>
          <w:p>
            <w:pPr>
              <w:pStyle w:val="TableContents"/>
              <w:spacing w:before="0" w:after="0"/>
              <w:jc w:val="center"/>
              <w:rPr/>
            </w:pPr>
            <w:r>
              <w:rPr/>
              <w:t>Recognized in</w:t>
            </w:r>
          </w:p>
          <w:p>
            <w:pPr>
              <w:pStyle w:val="TableContents"/>
              <w:spacing w:before="0" w:after="0"/>
              <w:jc w:val="center"/>
              <w:rPr/>
            </w:pPr>
            <w:r>
              <w:rPr/>
              <w:t>Other</w:t>
            </w:r>
          </w:p>
          <w:p>
            <w:pPr>
              <w:pStyle w:val="TableContents"/>
              <w:spacing w:before="0" w:after="0"/>
              <w:jc w:val="center"/>
              <w:rPr/>
            </w:pPr>
            <w:r>
              <w:rPr/>
              <w:t>Comprehensive</w:t>
            </w:r>
          </w:p>
          <w:p>
            <w:pPr>
              <w:pStyle w:val="TableContents"/>
              <w:spacing w:before="0" w:after="0"/>
              <w:jc w:val="center"/>
              <w:rPr/>
            </w:pPr>
            <w:r>
              <w:rPr/>
              <w:t>Income (Loss)</w:t>
            </w:r>
          </w:p>
          <w:p>
            <w:pPr>
              <w:pStyle w:val="TableContents"/>
              <w:spacing w:before="0" w:after="0"/>
              <w:jc w:val="center"/>
              <w:rPr/>
            </w:pPr>
            <w:r>
              <w:rPr/>
              <w:t>(Effective Portion)</w:t>
            </w:r>
          </w:p>
        </w:tc>
        <w:tc>
          <w:tcPr>
            <w:tcW w:w="60" w:type="dxa"/>
            <w:tcBorders/>
            <w:shd w:fill="auto" w:val="clear"/>
            <w:tcMar>
              <w:bottom w:w="0" w:type="dxa"/>
            </w:tcMar>
            <w:vAlign w:val="bottom"/>
          </w:tcPr>
          <w:p>
            <w:pPr>
              <w:pStyle w:val="TableContents"/>
              <w:spacing w:before="0" w:after="283"/>
              <w:rPr/>
            </w:pPr>
            <w:r>
              <w:rPr/>
              <w:t> </w:t>
            </w:r>
          </w:p>
        </w:tc>
        <w:tc>
          <w:tcPr>
            <w:tcW w:w="1565" w:type="dxa"/>
            <w:tcBorders/>
            <w:shd w:fill="auto" w:val="clear"/>
            <w:tcMar>
              <w:bottom w:w="0" w:type="dxa"/>
            </w:tcMar>
            <w:vAlign w:val="bottom"/>
          </w:tcPr>
          <w:p>
            <w:pPr>
              <w:pStyle w:val="TableContents"/>
              <w:spacing w:before="0" w:after="0"/>
              <w:jc w:val="center"/>
              <w:rPr/>
            </w:pPr>
            <w:r>
              <w:rPr/>
              <w:t> </w:t>
            </w:r>
            <w:r>
              <w:rPr/>
              <w:t>Location of</w:t>
            </w:r>
          </w:p>
          <w:p>
            <w:pPr>
              <w:pStyle w:val="TableContents"/>
              <w:spacing w:before="0" w:after="0"/>
              <w:jc w:val="center"/>
              <w:rPr/>
            </w:pPr>
            <w:r>
              <w:rPr/>
              <w:t> </w:t>
            </w:r>
            <w:r>
              <w:rPr/>
              <w:t>Gain</w:t>
            </w:r>
          </w:p>
          <w:p>
            <w:pPr>
              <w:pStyle w:val="TableContents"/>
              <w:spacing w:before="0" w:after="0"/>
              <w:jc w:val="center"/>
              <w:rPr/>
            </w:pPr>
            <w:r>
              <w:rPr/>
              <w:t> </w:t>
            </w:r>
            <w:r>
              <w:rPr/>
              <w:t>Reclassified</w:t>
            </w:r>
          </w:p>
          <w:p>
            <w:pPr>
              <w:pStyle w:val="TableContents"/>
              <w:spacing w:before="0" w:after="0"/>
              <w:jc w:val="center"/>
              <w:rPr/>
            </w:pPr>
            <w:r>
              <w:rPr/>
              <w:t> </w:t>
            </w:r>
            <w:r>
              <w:rPr/>
              <w:t>from</w:t>
            </w:r>
          </w:p>
          <w:p>
            <w:pPr>
              <w:pStyle w:val="TableContents"/>
              <w:spacing w:before="0" w:after="0"/>
              <w:jc w:val="center"/>
              <w:rPr/>
            </w:pPr>
            <w:r>
              <w:rPr/>
              <w:t> </w:t>
            </w:r>
            <w:r>
              <w:rPr/>
              <w:t>Accumulated</w:t>
            </w:r>
          </w:p>
          <w:p>
            <w:pPr>
              <w:pStyle w:val="TableContents"/>
              <w:spacing w:before="0" w:after="0"/>
              <w:jc w:val="center"/>
              <w:rPr/>
            </w:pPr>
            <w:r>
              <w:rPr/>
              <w:t> </w:t>
            </w:r>
            <w:r>
              <w:rPr/>
              <w:t>Other</w:t>
            </w:r>
          </w:p>
          <w:p>
            <w:pPr>
              <w:pStyle w:val="TableContents"/>
              <w:spacing w:before="0" w:after="0"/>
              <w:jc w:val="center"/>
              <w:rPr/>
            </w:pPr>
            <w:r>
              <w:rPr/>
              <w:t> </w:t>
            </w:r>
            <w:r>
              <w:rPr/>
              <w:t>Comprehensive</w:t>
            </w:r>
          </w:p>
          <w:p>
            <w:pPr>
              <w:pStyle w:val="TableContents"/>
              <w:spacing w:before="0" w:after="0"/>
              <w:jc w:val="center"/>
              <w:rPr/>
            </w:pPr>
            <w:r>
              <w:rPr/>
              <w:t> </w:t>
            </w:r>
            <w:r>
              <w:rPr/>
              <w:t>Loss into</w:t>
            </w:r>
          </w:p>
          <w:p>
            <w:pPr>
              <w:pStyle w:val="TableContents"/>
              <w:spacing w:before="0" w:after="0"/>
              <w:jc w:val="center"/>
              <w:rPr/>
            </w:pPr>
            <w:r>
              <w:rPr/>
              <w:t> </w:t>
            </w:r>
            <w:r>
              <w:rPr/>
              <w:t>Income</w:t>
            </w:r>
          </w:p>
          <w:p>
            <w:pPr>
              <w:pStyle w:val="TableContents"/>
              <w:spacing w:before="0" w:after="0"/>
              <w:jc w:val="center"/>
              <w:rPr/>
            </w:pPr>
            <w:r>
              <w:rPr/>
              <w:t> </w:t>
            </w:r>
            <w:r>
              <w:rPr/>
              <w:t>(Effective</w:t>
            </w:r>
          </w:p>
        </w:tc>
        <w:tc>
          <w:tcPr>
            <w:tcW w:w="60" w:type="dxa"/>
            <w:tcBorders/>
            <w:shd w:fill="auto" w:val="clear"/>
            <w:tcMar>
              <w:bottom w:w="0" w:type="dxa"/>
            </w:tcMar>
            <w:vAlign w:val="bottom"/>
          </w:tcPr>
          <w:p>
            <w:pPr>
              <w:pStyle w:val="TableContents"/>
              <w:spacing w:before="0" w:after="283"/>
              <w:rPr/>
            </w:pPr>
            <w:r>
              <w:rPr/>
              <w:t> </w:t>
            </w:r>
          </w:p>
        </w:tc>
        <w:tc>
          <w:tcPr>
            <w:tcW w:w="1880" w:type="dxa"/>
            <w:gridSpan w:val="6"/>
            <w:tcBorders>
              <w:bottom w:val="single" w:sz="12" w:space="0" w:color="000000"/>
            </w:tcBorders>
            <w:shd w:fill="auto" w:val="clear"/>
            <w:vAlign w:val="bottom"/>
          </w:tcPr>
          <w:p>
            <w:pPr>
              <w:pStyle w:val="TableContents"/>
              <w:spacing w:before="0" w:after="0"/>
              <w:jc w:val="center"/>
              <w:rPr/>
            </w:pPr>
            <w:r>
              <w:rPr/>
              <w:t>Gain</w:t>
            </w:r>
          </w:p>
          <w:p>
            <w:pPr>
              <w:pStyle w:val="TableContents"/>
              <w:spacing w:before="0" w:after="0"/>
              <w:jc w:val="center"/>
              <w:rPr/>
            </w:pPr>
            <w:r>
              <w:rPr/>
              <w:t>Reclassified from</w:t>
            </w:r>
          </w:p>
          <w:p>
            <w:pPr>
              <w:pStyle w:val="TableContents"/>
              <w:spacing w:before="0" w:after="0"/>
              <w:jc w:val="center"/>
              <w:rPr/>
            </w:pPr>
            <w:r>
              <w:rPr/>
              <w:t>Accumulated Other</w:t>
            </w:r>
          </w:p>
          <w:p>
            <w:pPr>
              <w:pStyle w:val="TableContents"/>
              <w:spacing w:before="0" w:after="0"/>
              <w:jc w:val="center"/>
              <w:rPr/>
            </w:pPr>
            <w:r>
              <w:rPr/>
              <w:t>Comprehensive</w:t>
            </w:r>
          </w:p>
          <w:p>
            <w:pPr>
              <w:pStyle w:val="TableContents"/>
              <w:spacing w:before="0" w:after="0"/>
              <w:jc w:val="center"/>
              <w:rPr/>
            </w:pPr>
            <w:r>
              <w:rPr/>
              <w:t>Loss into Income</w:t>
            </w:r>
          </w:p>
          <w:p>
            <w:pPr>
              <w:pStyle w:val="TableContents"/>
              <w:spacing w:before="0" w:after="0"/>
              <w:jc w:val="center"/>
              <w:rPr/>
            </w:pPr>
            <w:r>
              <w:rPr/>
              <w:t>(Effective Portion)</w:t>
            </w:r>
          </w:p>
        </w:tc>
        <w:tc>
          <w:tcPr>
            <w:tcW w:w="60" w:type="dxa"/>
            <w:tcBorders/>
            <w:shd w:fill="auto" w:val="clear"/>
            <w:tcMar>
              <w:bottom w:w="0" w:type="dxa"/>
            </w:tcMar>
            <w:vAlign w:val="bottom"/>
          </w:tcPr>
          <w:p>
            <w:pPr>
              <w:pStyle w:val="TableContents"/>
              <w:spacing w:before="0" w:after="283"/>
              <w:rPr/>
            </w:pPr>
            <w:r>
              <w:rPr/>
              <w:t> </w:t>
            </w:r>
          </w:p>
        </w:tc>
        <w:tc>
          <w:tcPr>
            <w:tcW w:w="1535" w:type="dxa"/>
            <w:tcBorders/>
            <w:shd w:fill="auto" w:val="clear"/>
            <w:tcMar>
              <w:bottom w:w="0" w:type="dxa"/>
            </w:tcMar>
            <w:vAlign w:val="bottom"/>
          </w:tcPr>
          <w:p>
            <w:pPr>
              <w:pStyle w:val="TableContents"/>
              <w:spacing w:before="0" w:after="0"/>
              <w:jc w:val="center"/>
              <w:rPr/>
            </w:pPr>
            <w:r>
              <w:rPr/>
              <w:t> </w:t>
            </w:r>
            <w:r>
              <w:rPr/>
              <w:t>Location of</w:t>
            </w:r>
          </w:p>
          <w:p>
            <w:pPr>
              <w:pStyle w:val="TableContents"/>
              <w:spacing w:before="0" w:after="0"/>
              <w:jc w:val="center"/>
              <w:rPr/>
            </w:pPr>
            <w:r>
              <w:rPr/>
              <w:t> </w:t>
            </w:r>
            <w:r>
              <w:rPr/>
              <w:t>Gain (Loss)</w:t>
            </w:r>
          </w:p>
          <w:p>
            <w:pPr>
              <w:pStyle w:val="TableContents"/>
              <w:spacing w:before="0" w:after="0"/>
              <w:jc w:val="center"/>
              <w:rPr/>
            </w:pPr>
            <w:r>
              <w:rPr/>
              <w:t> </w:t>
            </w:r>
            <w:r>
              <w:rPr/>
              <w:t>Recognized</w:t>
            </w:r>
          </w:p>
        </w:tc>
        <w:tc>
          <w:tcPr>
            <w:tcW w:w="60" w:type="dxa"/>
            <w:tcBorders/>
            <w:shd w:fill="auto" w:val="clear"/>
            <w:tcMar>
              <w:bottom w:w="0" w:type="dxa"/>
            </w:tcMar>
            <w:vAlign w:val="bottom"/>
          </w:tcPr>
          <w:p>
            <w:pPr>
              <w:pStyle w:val="TableContents"/>
              <w:spacing w:before="0" w:after="283"/>
              <w:rPr/>
            </w:pPr>
            <w:r>
              <w:rPr/>
              <w:t> </w:t>
            </w:r>
          </w:p>
        </w:tc>
        <w:tc>
          <w:tcPr>
            <w:tcW w:w="1705" w:type="dxa"/>
            <w:gridSpan w:val="6"/>
            <w:tcBorders>
              <w:bottom w:val="single" w:sz="12" w:space="0" w:color="000000"/>
            </w:tcBorders>
            <w:shd w:fill="auto" w:val="clear"/>
            <w:vAlign w:val="bottom"/>
          </w:tcPr>
          <w:p>
            <w:pPr>
              <w:pStyle w:val="TableContents"/>
              <w:spacing w:before="0" w:after="0"/>
              <w:jc w:val="center"/>
              <w:rPr/>
            </w:pPr>
            <w:r>
              <w:rPr/>
              <w:t>Gain (Loss)</w:t>
            </w:r>
          </w:p>
          <w:p>
            <w:pPr>
              <w:pStyle w:val="TableContents"/>
              <w:spacing w:before="0" w:after="0"/>
              <w:jc w:val="center"/>
              <w:rPr/>
            </w:pPr>
            <w:r>
              <w:rPr/>
              <w:t>Recognized</w:t>
            </w:r>
          </w:p>
          <w:p>
            <w:pPr>
              <w:pStyle w:val="TableContents"/>
              <w:spacing w:before="0" w:after="0"/>
              <w:jc w:val="center"/>
              <w:rPr/>
            </w:pPr>
            <w:r>
              <w:rPr/>
              <w:t>in Income (1)</w:t>
            </w:r>
          </w:p>
        </w:tc>
        <w:tc>
          <w:tcPr>
            <w:tcW w:w="110" w:type="dxa"/>
            <w:tcBorders/>
            <w:shd w:fill="auto" w:val="clear"/>
            <w:tcMar>
              <w:bottom w:w="0" w:type="dxa"/>
            </w:tcMar>
            <w:vAlign w:val="bottom"/>
          </w:tcPr>
          <w:p>
            <w:pPr>
              <w:pStyle w:val="TableContents"/>
              <w:spacing w:before="0" w:after="283"/>
              <w:rPr/>
            </w:pPr>
            <w:r>
              <w:rPr/>
              <w:t> </w:t>
            </w:r>
          </w:p>
        </w:tc>
      </w:tr>
      <w:tr>
        <w:trPr/>
        <w:tc>
          <w:tcPr>
            <w:tcW w:w="45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43" w:type="dxa"/>
            <w:gridSpan w:val="2"/>
            <w:tcBorders>
              <w:bottom w:val="single" w:sz="12" w:space="0" w:color="000000"/>
            </w:tcBorders>
            <w:shd w:fill="auto" w:val="clear"/>
            <w:vAlign w:val="bottom"/>
          </w:tcPr>
          <w:p>
            <w:pPr>
              <w:pStyle w:val="TableContents"/>
              <w:spacing w:before="0" w:after="0"/>
              <w:jc w:val="center"/>
              <w:rPr/>
            </w:pPr>
            <w:r>
              <w:rPr/>
              <w:t>2019</w:t>
            </w:r>
          </w:p>
        </w:tc>
        <w:tc>
          <w:tcPr>
            <w:tcW w:w="103" w:type="dxa"/>
            <w:tcBorders/>
            <w:shd w:fill="auto" w:val="clear"/>
            <w:tcMar>
              <w:bottom w:w="0" w:type="dxa"/>
            </w:tcMar>
            <w:vAlign w:val="bottom"/>
          </w:tcPr>
          <w:p>
            <w:pPr>
              <w:pStyle w:val="TableContents"/>
              <w:spacing w:before="0" w:after="283"/>
              <w:rPr/>
            </w:pPr>
            <w:r>
              <w:rPr/>
              <w:t> </w:t>
            </w:r>
          </w:p>
        </w:tc>
        <w:tc>
          <w:tcPr>
            <w:tcW w:w="65" w:type="dxa"/>
            <w:tcBorders/>
            <w:shd w:fill="auto" w:val="clear"/>
            <w:tcMar>
              <w:bottom w:w="0" w:type="dxa"/>
            </w:tcMar>
            <w:vAlign w:val="bottom"/>
          </w:tcPr>
          <w:p>
            <w:pPr>
              <w:pStyle w:val="TableContents"/>
              <w:spacing w:before="0" w:after="283"/>
              <w:rPr/>
            </w:pPr>
            <w:r>
              <w:rPr/>
              <w:t> </w:t>
            </w:r>
          </w:p>
        </w:tc>
        <w:tc>
          <w:tcPr>
            <w:tcW w:w="764" w:type="dxa"/>
            <w:gridSpan w:val="2"/>
            <w:tcBorders>
              <w:bottom w:val="single" w:sz="12" w:space="0" w:color="000000"/>
            </w:tcBorders>
            <w:shd w:fill="auto" w:val="clear"/>
            <w:vAlign w:val="bottom"/>
          </w:tcPr>
          <w:p>
            <w:pPr>
              <w:pStyle w:val="TableContents"/>
              <w:spacing w:before="0" w:after="0"/>
              <w:jc w:val="center"/>
              <w:rPr/>
            </w:pPr>
            <w:r>
              <w:rPr/>
              <w:t>2018</w:t>
            </w:r>
          </w:p>
        </w:tc>
        <w:tc>
          <w:tcPr>
            <w:tcW w:w="60" w:type="dxa"/>
            <w:tcBorders/>
            <w:shd w:fill="auto" w:val="clear"/>
            <w:tcMar>
              <w:bottom w:w="0" w:type="dxa"/>
            </w:tcMar>
            <w:vAlign w:val="bottom"/>
          </w:tcPr>
          <w:p>
            <w:pPr>
              <w:pStyle w:val="TableContents"/>
              <w:spacing w:before="0" w:after="283"/>
              <w:rPr/>
            </w:pPr>
            <w:r>
              <w:rPr/>
              <w:t> </w:t>
            </w:r>
          </w:p>
        </w:tc>
        <w:tc>
          <w:tcPr>
            <w:tcW w:w="1565" w:type="dxa"/>
            <w:tcBorders>
              <w:bottom w:val="single" w:sz="12" w:space="0" w:color="000000"/>
            </w:tcBorders>
            <w:shd w:fill="auto" w:val="clear"/>
            <w:vAlign w:val="bottom"/>
          </w:tcPr>
          <w:p>
            <w:pPr>
              <w:pStyle w:val="TableContents"/>
              <w:spacing w:before="0" w:after="0"/>
              <w:jc w:val="center"/>
              <w:rPr/>
            </w:pPr>
            <w:r>
              <w:rPr/>
              <w:t> </w:t>
            </w:r>
            <w:r>
              <w:rPr/>
              <w:t>Portion)</w:t>
            </w:r>
          </w:p>
        </w:tc>
        <w:tc>
          <w:tcPr>
            <w:tcW w:w="60" w:type="dxa"/>
            <w:tcBorders/>
            <w:shd w:fill="auto" w:val="clear"/>
            <w:tcMar>
              <w:bottom w:w="0" w:type="dxa"/>
            </w:tcMar>
            <w:vAlign w:val="bottom"/>
          </w:tcPr>
          <w:p>
            <w:pPr>
              <w:pStyle w:val="TableContents"/>
              <w:spacing w:before="0" w:after="283"/>
              <w:rPr/>
            </w:pPr>
            <w:r>
              <w:rPr/>
              <w:t> </w:t>
            </w:r>
          </w:p>
        </w:tc>
        <w:tc>
          <w:tcPr>
            <w:tcW w:w="939" w:type="dxa"/>
            <w:gridSpan w:val="2"/>
            <w:tcBorders>
              <w:bottom w:val="single" w:sz="12" w:space="0" w:color="000000"/>
            </w:tcBorders>
            <w:shd w:fill="auto" w:val="clear"/>
            <w:vAlign w:val="bottom"/>
          </w:tcPr>
          <w:p>
            <w:pPr>
              <w:pStyle w:val="TableContents"/>
              <w:spacing w:before="0" w:after="0"/>
              <w:jc w:val="center"/>
              <w:rPr/>
            </w:pPr>
            <w:r>
              <w:rPr/>
              <w:t>2019</w:t>
            </w:r>
          </w:p>
        </w:tc>
        <w:tc>
          <w:tcPr>
            <w:tcW w:w="108" w:type="dxa"/>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rPr/>
            </w:pPr>
            <w:r>
              <w:rPr/>
              <w:t> </w:t>
            </w:r>
          </w:p>
        </w:tc>
        <w:tc>
          <w:tcPr>
            <w:tcW w:w="725" w:type="dxa"/>
            <w:gridSpan w:val="2"/>
            <w:tcBorders>
              <w:bottom w:val="single" w:sz="12" w:space="0" w:color="000000"/>
            </w:tcBorders>
            <w:shd w:fill="auto" w:val="clear"/>
            <w:vAlign w:val="bottom"/>
          </w:tcPr>
          <w:p>
            <w:pPr>
              <w:pStyle w:val="TableContents"/>
              <w:spacing w:before="0" w:after="0"/>
              <w:jc w:val="center"/>
              <w:rPr/>
            </w:pPr>
            <w:r>
              <w:rPr/>
              <w:t>2018</w:t>
            </w:r>
          </w:p>
        </w:tc>
        <w:tc>
          <w:tcPr>
            <w:tcW w:w="60" w:type="dxa"/>
            <w:tcBorders/>
            <w:shd w:fill="auto" w:val="clear"/>
            <w:tcMar>
              <w:bottom w:w="0" w:type="dxa"/>
            </w:tcMar>
            <w:vAlign w:val="bottom"/>
          </w:tcPr>
          <w:p>
            <w:pPr>
              <w:pStyle w:val="TableContents"/>
              <w:spacing w:before="0" w:after="283"/>
              <w:rPr/>
            </w:pPr>
            <w:r>
              <w:rPr/>
              <w:t> </w:t>
            </w:r>
          </w:p>
        </w:tc>
        <w:tc>
          <w:tcPr>
            <w:tcW w:w="1535" w:type="dxa"/>
            <w:tcBorders>
              <w:bottom w:val="single" w:sz="12" w:space="0" w:color="000000"/>
            </w:tcBorders>
            <w:shd w:fill="auto" w:val="clear"/>
            <w:vAlign w:val="bottom"/>
          </w:tcPr>
          <w:p>
            <w:pPr>
              <w:pStyle w:val="TableContents"/>
              <w:spacing w:before="0" w:after="0"/>
              <w:jc w:val="center"/>
              <w:rPr/>
            </w:pPr>
            <w:r>
              <w:rPr/>
              <w:t> </w:t>
            </w:r>
            <w:r>
              <w:rPr/>
              <w:t>in Income (1)</w:t>
            </w:r>
          </w:p>
        </w:tc>
        <w:tc>
          <w:tcPr>
            <w:tcW w:w="60" w:type="dxa"/>
            <w:tcBorders/>
            <w:shd w:fill="auto" w:val="clear"/>
            <w:tcMar>
              <w:bottom w:w="0" w:type="dxa"/>
            </w:tcMar>
            <w:vAlign w:val="bottom"/>
          </w:tcPr>
          <w:p>
            <w:pPr>
              <w:pStyle w:val="TableContents"/>
              <w:spacing w:before="0" w:after="283"/>
              <w:rPr/>
            </w:pPr>
            <w:r>
              <w:rPr/>
              <w:t> </w:t>
            </w:r>
          </w:p>
        </w:tc>
        <w:tc>
          <w:tcPr>
            <w:tcW w:w="775" w:type="dxa"/>
            <w:gridSpan w:val="2"/>
            <w:tcBorders>
              <w:bottom w:val="single" w:sz="12" w:space="0" w:color="000000"/>
            </w:tcBorders>
            <w:shd w:fill="auto" w:val="clear"/>
            <w:vAlign w:val="bottom"/>
          </w:tcPr>
          <w:p>
            <w:pPr>
              <w:pStyle w:val="TableContents"/>
              <w:spacing w:before="0" w:after="0"/>
              <w:jc w:val="center"/>
              <w:rPr/>
            </w:pPr>
            <w:r>
              <w:rPr/>
              <w:t>2019</w:t>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75" w:type="dxa"/>
            <w:gridSpan w:val="2"/>
            <w:tcBorders>
              <w:bottom w:val="single" w:sz="12" w:space="0" w:color="000000"/>
            </w:tcBorders>
            <w:shd w:fill="auto" w:val="clear"/>
            <w:vAlign w:val="bottom"/>
          </w:tcPr>
          <w:p>
            <w:pPr>
              <w:pStyle w:val="TableContents"/>
              <w:spacing w:before="0" w:after="0"/>
              <w:jc w:val="center"/>
              <w:rPr/>
            </w:pPr>
            <w:r>
              <w:rPr/>
              <w:t>2018</w:t>
            </w:r>
          </w:p>
        </w:tc>
        <w:tc>
          <w:tcPr>
            <w:tcW w:w="110" w:type="dxa"/>
            <w:tcBorders/>
            <w:shd w:fill="auto" w:val="clear"/>
            <w:tcMar>
              <w:bottom w:w="0" w:type="dxa"/>
            </w:tcMar>
            <w:vAlign w:val="bottom"/>
          </w:tcPr>
          <w:p>
            <w:pPr>
              <w:pStyle w:val="TableContents"/>
              <w:spacing w:before="0" w:after="283"/>
              <w:rPr/>
            </w:pPr>
            <w:r>
              <w:rPr/>
              <w:t> </w:t>
            </w:r>
          </w:p>
        </w:tc>
      </w:tr>
      <w:tr>
        <w:trPr/>
        <w:tc>
          <w:tcPr>
            <w:tcW w:w="45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43" w:type="dxa"/>
            <w:gridSpan w:val="2"/>
            <w:tcBorders/>
            <w:shd w:fill="auto" w:val="clear"/>
            <w:tcMar>
              <w:bottom w:w="0" w:type="dxa"/>
            </w:tcMar>
            <w:vAlign w:val="bottom"/>
          </w:tcPr>
          <w:p>
            <w:pPr>
              <w:pStyle w:val="TableContents"/>
              <w:spacing w:before="0" w:after="283"/>
              <w:rPr/>
            </w:pPr>
            <w:r>
              <w:rPr/>
              <w:t> </w:t>
            </w:r>
          </w:p>
        </w:tc>
        <w:tc>
          <w:tcPr>
            <w:tcW w:w="103" w:type="dxa"/>
            <w:tcBorders/>
            <w:shd w:fill="auto" w:val="clear"/>
            <w:tcMar>
              <w:bottom w:w="0" w:type="dxa"/>
            </w:tcMar>
            <w:vAlign w:val="bottom"/>
          </w:tcPr>
          <w:p>
            <w:pPr>
              <w:pStyle w:val="TableContents"/>
              <w:spacing w:before="0" w:after="283"/>
              <w:rPr/>
            </w:pPr>
            <w:r>
              <w:rPr/>
              <w:t> </w:t>
            </w:r>
          </w:p>
        </w:tc>
        <w:tc>
          <w:tcPr>
            <w:tcW w:w="65" w:type="dxa"/>
            <w:tcBorders/>
            <w:shd w:fill="auto" w:val="clear"/>
            <w:tcMar>
              <w:bottom w:w="0" w:type="dxa"/>
            </w:tcMar>
            <w:vAlign w:val="bottom"/>
          </w:tcPr>
          <w:p>
            <w:pPr>
              <w:pStyle w:val="TableContents"/>
              <w:spacing w:before="0" w:after="283"/>
              <w:rPr/>
            </w:pPr>
            <w:r>
              <w:rPr/>
              <w:t> </w:t>
            </w:r>
          </w:p>
        </w:tc>
        <w:tc>
          <w:tcPr>
            <w:tcW w:w="764"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6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880" w:type="dxa"/>
            <w:gridSpan w:val="6"/>
            <w:tcBorders/>
            <w:shd w:fill="auto" w:val="clear"/>
            <w:tcMar>
              <w:bottom w:w="0" w:type="dxa"/>
            </w:tcMar>
            <w:vAlign w:val="bottom"/>
          </w:tcPr>
          <w:p>
            <w:pPr>
              <w:pStyle w:val="TableContents"/>
              <w:spacing w:before="0" w:after="0"/>
              <w:jc w:val="center"/>
              <w:rPr/>
            </w:pPr>
            <w:r>
              <w:rPr/>
              <w:t>(In thousands)</w:t>
            </w:r>
          </w:p>
        </w:tc>
        <w:tc>
          <w:tcPr>
            <w:tcW w:w="60" w:type="dxa"/>
            <w:tcBorders/>
            <w:shd w:fill="auto" w:val="clear"/>
            <w:tcMar>
              <w:bottom w:w="0" w:type="dxa"/>
            </w:tcMar>
            <w:vAlign w:val="bottom"/>
          </w:tcPr>
          <w:p>
            <w:pPr>
              <w:pStyle w:val="TableContents"/>
              <w:spacing w:before="0" w:after="283"/>
              <w:rPr/>
            </w:pPr>
            <w:r>
              <w:rPr/>
              <w:t> </w:t>
            </w:r>
          </w:p>
        </w:tc>
        <w:tc>
          <w:tcPr>
            <w:tcW w:w="15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75" w:type="dxa"/>
            <w:gridSpan w:val="2"/>
            <w:tcBorders/>
            <w:shd w:fill="auto" w:val="clear"/>
            <w:tcMar>
              <w:bottom w:w="0" w:type="dxa"/>
            </w:tcMar>
            <w:vAlign w:val="bottom"/>
          </w:tcPr>
          <w:p>
            <w:pPr>
              <w:pStyle w:val="TableContents"/>
              <w:spacing w:before="0" w:after="283"/>
              <w:rPr/>
            </w:pPr>
            <w:r>
              <w:rPr/>
              <w:t> </w:t>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75"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ind w:left="180" w:right="0" w:hanging="180"/>
              <w:rPr/>
            </w:pPr>
            <w:r>
              <w:rPr/>
              <w:t> </w:t>
            </w:r>
          </w:p>
        </w:tc>
      </w:tr>
      <w:tr>
        <w:trPr/>
        <w:tc>
          <w:tcPr>
            <w:tcW w:w="45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770" w:type="dxa"/>
            <w:gridSpan w:val="20"/>
            <w:tcBorders/>
            <w:shd w:fill="auto" w:val="clear"/>
            <w:tcMar>
              <w:bottom w:w="0" w:type="dxa"/>
            </w:tcMar>
            <w:vAlign w:val="bottom"/>
          </w:tcPr>
          <w:p>
            <w:pPr>
              <w:pStyle w:val="TableContents"/>
              <w:spacing w:before="0" w:after="283"/>
              <w:rPr/>
            </w:pPr>
            <w:r>
              <w:rPr/>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75"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rPr/>
            </w:pPr>
            <w:r>
              <w:rPr/>
              <w:t> </w:t>
            </w:r>
          </w:p>
        </w:tc>
      </w:tr>
      <w:tr>
        <w:trPr/>
        <w:tc>
          <w:tcPr>
            <w:tcW w:w="4505" w:type="dxa"/>
            <w:tcBorders/>
            <w:shd w:fill="auto" w:val="clear"/>
            <w:tcMar>
              <w:bottom w:w="0" w:type="dxa"/>
            </w:tcMar>
            <w:vAlign w:val="bottom"/>
          </w:tcPr>
          <w:p>
            <w:pPr>
              <w:pStyle w:val="TableContents"/>
              <w:spacing w:before="0" w:after="0"/>
              <w:ind w:left="180" w:right="0" w:hanging="180"/>
              <w:rPr/>
            </w:pPr>
            <w:r>
              <w:rPr/>
              <w:t>Fair Value Hedges</w:t>
            </w:r>
          </w:p>
        </w:tc>
        <w:tc>
          <w:tcPr>
            <w:tcW w:w="60" w:type="dxa"/>
            <w:tcBorders/>
            <w:shd w:fill="auto" w:val="clear"/>
            <w:tcMar>
              <w:bottom w:w="0" w:type="dxa"/>
            </w:tcMar>
            <w:vAlign w:val="bottom"/>
          </w:tcPr>
          <w:p>
            <w:pPr>
              <w:pStyle w:val="TableContents"/>
              <w:spacing w:before="0" w:after="283"/>
              <w:rPr/>
            </w:pPr>
            <w:r>
              <w:rPr/>
              <w:t> </w:t>
            </w:r>
          </w:p>
        </w:tc>
        <w:tc>
          <w:tcPr>
            <w:tcW w:w="843" w:type="dxa"/>
            <w:gridSpan w:val="2"/>
            <w:tcBorders/>
            <w:shd w:fill="auto" w:val="clear"/>
            <w:tcMar>
              <w:bottom w:w="0" w:type="dxa"/>
            </w:tcMar>
            <w:vAlign w:val="bottom"/>
          </w:tcPr>
          <w:p>
            <w:pPr>
              <w:pStyle w:val="TableContents"/>
              <w:spacing w:before="0" w:after="283"/>
              <w:rPr/>
            </w:pPr>
            <w:r>
              <w:rPr/>
              <w:t> </w:t>
            </w:r>
          </w:p>
        </w:tc>
        <w:tc>
          <w:tcPr>
            <w:tcW w:w="103" w:type="dxa"/>
            <w:tcBorders/>
            <w:shd w:fill="auto" w:val="clear"/>
            <w:tcMar>
              <w:bottom w:w="0" w:type="dxa"/>
            </w:tcMar>
            <w:vAlign w:val="bottom"/>
          </w:tcPr>
          <w:p>
            <w:pPr>
              <w:pStyle w:val="TableContents"/>
              <w:spacing w:before="0" w:after="283"/>
              <w:rPr/>
            </w:pPr>
            <w:r>
              <w:rPr/>
              <w:t> </w:t>
            </w:r>
          </w:p>
        </w:tc>
        <w:tc>
          <w:tcPr>
            <w:tcW w:w="65" w:type="dxa"/>
            <w:tcBorders/>
            <w:shd w:fill="auto" w:val="clear"/>
            <w:tcMar>
              <w:bottom w:w="0" w:type="dxa"/>
            </w:tcMar>
            <w:vAlign w:val="bottom"/>
          </w:tcPr>
          <w:p>
            <w:pPr>
              <w:pStyle w:val="TableContents"/>
              <w:spacing w:before="0" w:after="283"/>
              <w:rPr/>
            </w:pPr>
            <w:r>
              <w:rPr/>
              <w:t> </w:t>
            </w:r>
          </w:p>
        </w:tc>
        <w:tc>
          <w:tcPr>
            <w:tcW w:w="764"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6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39" w:type="dxa"/>
            <w:gridSpan w:val="2"/>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rPr/>
            </w:pPr>
            <w:r>
              <w:rPr/>
              <w:t> </w:t>
            </w:r>
          </w:p>
        </w:tc>
        <w:tc>
          <w:tcPr>
            <w:tcW w:w="108" w:type="dxa"/>
            <w:tcBorders/>
            <w:shd w:fill="auto" w:val="clear"/>
            <w:tcMar>
              <w:bottom w:w="0" w:type="dxa"/>
            </w:tcMar>
            <w:vAlign w:val="bottom"/>
          </w:tcPr>
          <w:p>
            <w:pPr>
              <w:pStyle w:val="TableContents"/>
              <w:spacing w:before="0" w:after="283"/>
              <w:rPr/>
            </w:pPr>
            <w:r>
              <w:rPr/>
              <w:t> </w:t>
            </w:r>
          </w:p>
        </w:tc>
        <w:tc>
          <w:tcPr>
            <w:tcW w:w="72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ind w:left="180" w:right="0" w:hanging="180"/>
              <w:rPr/>
            </w:pPr>
            <w:r>
              <w:rPr/>
              <w:t> </w:t>
            </w:r>
          </w:p>
        </w:tc>
        <w:tc>
          <w:tcPr>
            <w:tcW w:w="15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75" w:type="dxa"/>
            <w:gridSpan w:val="2"/>
            <w:tcBorders/>
            <w:shd w:fill="auto" w:val="clear"/>
            <w:tcMar>
              <w:bottom w:w="0" w:type="dxa"/>
            </w:tcMar>
            <w:vAlign w:val="bottom"/>
          </w:tcPr>
          <w:p>
            <w:pPr>
              <w:pStyle w:val="TableContents"/>
              <w:spacing w:before="0" w:after="283"/>
              <w:rPr/>
            </w:pPr>
            <w:r>
              <w:rPr/>
              <w:t> </w:t>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775"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rPr/>
            </w:pPr>
            <w:r>
              <w:rPr/>
              <w:t> </w:t>
            </w:r>
          </w:p>
        </w:tc>
      </w:tr>
      <w:tr>
        <w:trPr/>
        <w:tc>
          <w:tcPr>
            <w:tcW w:w="4505" w:type="dxa"/>
            <w:tcBorders/>
            <w:shd w:fill="CCEEFF" w:val="clear"/>
            <w:tcMar>
              <w:bottom w:w="0" w:type="dxa"/>
            </w:tcMar>
            <w:vAlign w:val="bottom"/>
          </w:tcPr>
          <w:p>
            <w:pPr>
              <w:pStyle w:val="TableContents"/>
              <w:spacing w:before="0" w:after="0"/>
              <w:ind w:left="360" w:right="0" w:hanging="180"/>
              <w:rPr/>
            </w:pPr>
            <w:r>
              <w:rPr/>
              <w:t>Pay-fixed interest rate swap agreements</w:t>
            </w:r>
          </w:p>
        </w:tc>
        <w:tc>
          <w:tcPr>
            <w:tcW w:w="60" w:type="dxa"/>
            <w:tcBorders/>
            <w:shd w:fill="CCEEFF" w:val="clear"/>
            <w:tcMar>
              <w:bottom w:w="0" w:type="dxa"/>
            </w:tcMar>
            <w:vAlign w:val="bottom"/>
          </w:tcPr>
          <w:p>
            <w:pPr>
              <w:pStyle w:val="TableContents"/>
              <w:spacing w:before="0" w:after="283"/>
              <w:rPr/>
            </w:pPr>
            <w:r>
              <w:rPr/>
              <w:t> </w:t>
            </w:r>
          </w:p>
        </w:tc>
        <w:tc>
          <w:tcPr>
            <w:tcW w:w="843" w:type="dxa"/>
            <w:gridSpan w:val="2"/>
            <w:tcBorders/>
            <w:shd w:fill="CCEEFF" w:val="clear"/>
            <w:tcMar>
              <w:bottom w:w="0" w:type="dxa"/>
            </w:tcMar>
            <w:vAlign w:val="bottom"/>
          </w:tcPr>
          <w:p>
            <w:pPr>
              <w:pStyle w:val="TableContents"/>
              <w:spacing w:before="0" w:after="283"/>
              <w:rPr/>
            </w:pPr>
            <w:r>
              <w:rPr/>
              <w:t> </w:t>
            </w:r>
          </w:p>
        </w:tc>
        <w:tc>
          <w:tcPr>
            <w:tcW w:w="103" w:type="dxa"/>
            <w:tcBorders/>
            <w:shd w:fill="CCEEFF" w:val="clear"/>
            <w:tcMar>
              <w:bottom w:w="0" w:type="dxa"/>
            </w:tcMar>
            <w:vAlign w:val="bottom"/>
          </w:tcPr>
          <w:p>
            <w:pPr>
              <w:pStyle w:val="TableContents"/>
              <w:spacing w:before="0" w:after="283"/>
              <w:rPr/>
            </w:pPr>
            <w:r>
              <w:rPr/>
              <w:t> </w:t>
            </w:r>
          </w:p>
        </w:tc>
        <w:tc>
          <w:tcPr>
            <w:tcW w:w="65" w:type="dxa"/>
            <w:tcBorders/>
            <w:shd w:fill="CCEEFF" w:val="clear"/>
            <w:tcMar>
              <w:bottom w:w="0" w:type="dxa"/>
            </w:tcMar>
            <w:vAlign w:val="bottom"/>
          </w:tcPr>
          <w:p>
            <w:pPr>
              <w:pStyle w:val="TableContents"/>
              <w:spacing w:before="0" w:after="283"/>
              <w:rPr/>
            </w:pPr>
            <w:r>
              <w:rPr/>
              <w:t> </w:t>
            </w:r>
          </w:p>
        </w:tc>
        <w:tc>
          <w:tcPr>
            <w:tcW w:w="764" w:type="dxa"/>
            <w:gridSpan w:val="2"/>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39" w:type="dxa"/>
            <w:gridSpan w:val="2"/>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725" w:type="dxa"/>
            <w:gridSpan w:val="2"/>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0"/>
              <w:ind w:left="180" w:right="0" w:hanging="180"/>
              <w:rPr/>
            </w:pPr>
            <w:r>
              <w:rPr/>
              <w:t>Interest income</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635" w:type="dxa"/>
            <w:tcBorders>
              <w:bottom w:val="double" w:sz="8" w:space="0" w:color="000000"/>
            </w:tcBorders>
            <w:shd w:fill="CCEEFF" w:val="clear"/>
            <w:vAlign w:val="bottom"/>
          </w:tcPr>
          <w:p>
            <w:pPr>
              <w:pStyle w:val="TableContents"/>
              <w:spacing w:before="0" w:after="0"/>
              <w:jc w:val="right"/>
              <w:rPr/>
            </w:pPr>
            <w:r>
              <w:rPr/>
              <w:t>(203</w:t>
            </w:r>
          </w:p>
        </w:tc>
        <w:tc>
          <w:tcPr>
            <w:tcW w:w="95" w:type="dxa"/>
            <w:tcBorders/>
            <w:shd w:fill="CCEEFF" w:val="clear"/>
            <w:tcMar>
              <w:bottom w:w="0" w:type="dxa"/>
            </w:tcMar>
            <w:vAlign w:val="bottom"/>
          </w:tcPr>
          <w:p>
            <w:pPr>
              <w:pStyle w:val="TableContents"/>
              <w:spacing w:before="0" w:after="0"/>
              <w:rPr/>
            </w:pPr>
            <w:r>
              <w:rPr/>
              <w:t>)</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635" w:type="dxa"/>
            <w:tcBorders>
              <w:bottom w:val="double" w:sz="8" w:space="0" w:color="000000"/>
            </w:tcBorders>
            <w:shd w:fill="CCEEFF" w:val="clear"/>
            <w:vAlign w:val="bottom"/>
          </w:tcPr>
          <w:p>
            <w:pPr>
              <w:pStyle w:val="TableContents"/>
              <w:spacing w:before="0" w:after="0"/>
              <w:jc w:val="right"/>
              <w:rPr/>
            </w:pPr>
            <w:r>
              <w:rPr/>
              <w:t>-</w:t>
            </w:r>
          </w:p>
        </w:tc>
        <w:tc>
          <w:tcPr>
            <w:tcW w:w="110" w:type="dxa"/>
            <w:tcBorders/>
            <w:shd w:fill="CCEEFF" w:val="clear"/>
            <w:tcMar>
              <w:bottom w:w="0" w:type="dxa"/>
            </w:tcMar>
            <w:vAlign w:val="bottom"/>
          </w:tcPr>
          <w:p>
            <w:pPr>
              <w:pStyle w:val="TableContents"/>
              <w:spacing w:before="0" w:after="283"/>
              <w:rPr/>
            </w:pPr>
            <w:r>
              <w:rPr/>
              <w:t> </w:t>
            </w:r>
          </w:p>
        </w:tc>
      </w:tr>
      <w:tr>
        <w:trPr/>
        <w:tc>
          <w:tcPr>
            <w:tcW w:w="4505" w:type="dxa"/>
            <w:tcBorders/>
            <w:shd w:fill="FFFFFF" w:val="clear"/>
            <w:tcMar>
              <w:bottom w:w="0" w:type="dxa"/>
            </w:tcMar>
            <w:vAlign w:val="bottom"/>
          </w:tcPr>
          <w:p>
            <w:pPr>
              <w:pStyle w:val="TableContents"/>
              <w:spacing w:before="0" w:after="0"/>
              <w:ind w:left="180" w:right="0" w:hanging="180"/>
              <w:rPr/>
            </w:pPr>
            <w:r>
              <w:rPr/>
              <w:t>Cash Flow Hedges</w:t>
            </w:r>
          </w:p>
        </w:tc>
        <w:tc>
          <w:tcPr>
            <w:tcW w:w="60" w:type="dxa"/>
            <w:tcBorders/>
            <w:shd w:fill="FFFFFF" w:val="clear"/>
            <w:tcMar>
              <w:bottom w:w="0" w:type="dxa"/>
            </w:tcMar>
            <w:vAlign w:val="bottom"/>
          </w:tcPr>
          <w:p>
            <w:pPr>
              <w:pStyle w:val="TableContents"/>
              <w:spacing w:before="0" w:after="283"/>
              <w:rPr/>
            </w:pPr>
            <w:r>
              <w:rPr/>
              <w:t> </w:t>
            </w:r>
          </w:p>
        </w:tc>
        <w:tc>
          <w:tcPr>
            <w:tcW w:w="843" w:type="dxa"/>
            <w:gridSpan w:val="2"/>
            <w:tcBorders/>
            <w:shd w:fill="FFFFFF" w:val="clear"/>
            <w:tcMar>
              <w:bottom w:w="0" w:type="dxa"/>
            </w:tcMar>
            <w:vAlign w:val="bottom"/>
          </w:tcPr>
          <w:p>
            <w:pPr>
              <w:pStyle w:val="TableContents"/>
              <w:spacing w:before="0" w:after="283"/>
              <w:rPr/>
            </w:pPr>
            <w:r>
              <w:rPr/>
              <w:t> </w:t>
            </w:r>
          </w:p>
        </w:tc>
        <w:tc>
          <w:tcPr>
            <w:tcW w:w="103" w:type="dxa"/>
            <w:tcBorders/>
            <w:shd w:fill="FFFFFF" w:val="clear"/>
            <w:tcMar>
              <w:bottom w:w="0" w:type="dxa"/>
            </w:tcMar>
            <w:vAlign w:val="bottom"/>
          </w:tcPr>
          <w:p>
            <w:pPr>
              <w:pStyle w:val="TableContents"/>
              <w:spacing w:before="0" w:after="283"/>
              <w:rPr/>
            </w:pPr>
            <w:r>
              <w:rPr/>
              <w:t> </w:t>
            </w:r>
          </w:p>
        </w:tc>
        <w:tc>
          <w:tcPr>
            <w:tcW w:w="65" w:type="dxa"/>
            <w:tcBorders/>
            <w:shd w:fill="FFFFFF" w:val="clear"/>
            <w:tcMar>
              <w:bottom w:w="0" w:type="dxa"/>
            </w:tcMar>
            <w:vAlign w:val="bottom"/>
          </w:tcPr>
          <w:p>
            <w:pPr>
              <w:pStyle w:val="TableContents"/>
              <w:spacing w:before="0" w:after="283"/>
              <w:rPr/>
            </w:pPr>
            <w:r>
              <w:rPr/>
              <w:t> </w:t>
            </w:r>
          </w:p>
        </w:tc>
        <w:tc>
          <w:tcPr>
            <w:tcW w:w="764" w:type="dxa"/>
            <w:gridSpan w:val="2"/>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939" w:type="dxa"/>
            <w:gridSpan w:val="2"/>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725" w:type="dxa"/>
            <w:gridSpan w:val="2"/>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ind w:left="180" w:right="0" w:hanging="180"/>
              <w:rPr/>
            </w:pPr>
            <w:r>
              <w:rPr/>
              <w:t> </w:t>
            </w:r>
          </w:p>
        </w:tc>
        <w:tc>
          <w:tcPr>
            <w:tcW w:w="153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rPr/>
            </w:pPr>
            <w:r>
              <w:rPr/>
              <w:t> </w:t>
            </w:r>
          </w:p>
        </w:tc>
      </w:tr>
      <w:tr>
        <w:trPr/>
        <w:tc>
          <w:tcPr>
            <w:tcW w:w="4505" w:type="dxa"/>
            <w:tcBorders/>
            <w:shd w:fill="CCEEFF" w:val="clear"/>
            <w:tcMar>
              <w:bottom w:w="0" w:type="dxa"/>
            </w:tcMar>
            <w:vAlign w:val="bottom"/>
          </w:tcPr>
          <w:p>
            <w:pPr>
              <w:pStyle w:val="TableContents"/>
              <w:spacing w:before="0" w:after="0"/>
              <w:ind w:left="360" w:right="0" w:hanging="180"/>
              <w:rPr/>
            </w:pPr>
            <w:r>
              <w:rPr/>
              <w:t>Interest rate cap agreements</w:t>
            </w:r>
          </w:p>
        </w:tc>
        <w:tc>
          <w:tcPr>
            <w:tcW w:w="60"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0"/>
              <w:rPr/>
            </w:pPr>
            <w:r>
              <w:rPr/>
              <w:t>$</w:t>
            </w:r>
          </w:p>
        </w:tc>
        <w:tc>
          <w:tcPr>
            <w:tcW w:w="691" w:type="dxa"/>
            <w:tcBorders/>
            <w:shd w:fill="CCEEFF" w:val="clear"/>
            <w:tcMar>
              <w:bottom w:w="0" w:type="dxa"/>
            </w:tcMar>
            <w:vAlign w:val="bottom"/>
          </w:tcPr>
          <w:p>
            <w:pPr>
              <w:pStyle w:val="TableContents"/>
              <w:spacing w:before="0" w:after="0"/>
              <w:jc w:val="right"/>
              <w:rPr/>
            </w:pPr>
            <w:r>
              <w:rPr/>
              <w:t>(1,274</w:t>
            </w:r>
          </w:p>
        </w:tc>
        <w:tc>
          <w:tcPr>
            <w:tcW w:w="103" w:type="dxa"/>
            <w:tcBorders/>
            <w:shd w:fill="CCEEFF" w:val="clear"/>
            <w:tcMar>
              <w:bottom w:w="0" w:type="dxa"/>
            </w:tcMar>
            <w:vAlign w:val="bottom"/>
          </w:tcPr>
          <w:p>
            <w:pPr>
              <w:pStyle w:val="TableContents"/>
              <w:spacing w:before="0" w:after="0"/>
              <w:rPr/>
            </w:pPr>
            <w:r>
              <w:rPr/>
              <w:t>)</w:t>
            </w:r>
          </w:p>
        </w:tc>
        <w:tc>
          <w:tcPr>
            <w:tcW w:w="65"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0"/>
              <w:rPr/>
            </w:pPr>
            <w:r>
              <w:rPr/>
              <w:t>$</w:t>
            </w:r>
          </w:p>
        </w:tc>
        <w:tc>
          <w:tcPr>
            <w:tcW w:w="612" w:type="dxa"/>
            <w:tcBorders/>
            <w:shd w:fill="CCEEFF" w:val="clear"/>
            <w:tcMar>
              <w:bottom w:w="0" w:type="dxa"/>
            </w:tcMar>
            <w:vAlign w:val="bottom"/>
          </w:tcPr>
          <w:p>
            <w:pPr>
              <w:pStyle w:val="TableContents"/>
              <w:spacing w:before="0" w:after="0"/>
              <w:jc w:val="right"/>
              <w:rPr/>
            </w:pPr>
            <w:r>
              <w:rPr/>
              <w:t>757</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0"/>
              <w:rPr/>
            </w:pPr>
            <w:r>
              <w:rPr/>
              <w:t>Interest expense</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0"/>
              <w:rPr/>
            </w:pPr>
            <w:r>
              <w:rPr/>
              <w:t>$</w:t>
            </w:r>
          </w:p>
        </w:tc>
        <w:tc>
          <w:tcPr>
            <w:tcW w:w="686" w:type="dxa"/>
            <w:tcBorders/>
            <w:shd w:fill="CCEEFF" w:val="clear"/>
            <w:tcMar>
              <w:bottom w:w="0" w:type="dxa"/>
            </w:tcMar>
            <w:vAlign w:val="bottom"/>
          </w:tcPr>
          <w:p>
            <w:pPr>
              <w:pStyle w:val="TableContents"/>
              <w:spacing w:before="0" w:after="0"/>
              <w:jc w:val="right"/>
              <w:rPr/>
            </w:pPr>
            <w:r>
              <w:rPr/>
              <w:t>233</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0"/>
              <w:rPr/>
            </w:pPr>
            <w:r>
              <w:rPr/>
              <w:t>$</w:t>
            </w:r>
          </w:p>
        </w:tc>
        <w:tc>
          <w:tcPr>
            <w:tcW w:w="472" w:type="dxa"/>
            <w:tcBorders/>
            <w:shd w:fill="CCEEFF" w:val="clear"/>
            <w:tcMar>
              <w:bottom w:w="0" w:type="dxa"/>
            </w:tcMar>
            <w:vAlign w:val="bottom"/>
          </w:tcPr>
          <w:p>
            <w:pPr>
              <w:pStyle w:val="TableContents"/>
              <w:spacing w:before="0" w:after="0"/>
              <w:jc w:val="right"/>
              <w:rPr/>
            </w:pPr>
            <w:r>
              <w:rPr/>
              <w:t>52</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0"/>
              <w:ind w:left="180" w:right="0" w:hanging="180"/>
              <w:rPr/>
            </w:pPr>
            <w:r>
              <w:rPr/>
              <w:t>Interest expense</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0"/>
              <w:rPr/>
            </w:pPr>
            <w:r>
              <w:rPr/>
              <w:t>$</w:t>
            </w:r>
          </w:p>
        </w:tc>
        <w:tc>
          <w:tcPr>
            <w:tcW w:w="635" w:type="dxa"/>
            <w:tcBorders/>
            <w:shd w:fill="CCEEFF" w:val="clear"/>
            <w:tcMar>
              <w:bottom w:w="0" w:type="dxa"/>
            </w:tcM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0"/>
              <w:rPr/>
            </w:pPr>
            <w:r>
              <w:rPr/>
              <w:t>$</w:t>
            </w:r>
          </w:p>
        </w:tc>
        <w:tc>
          <w:tcPr>
            <w:tcW w:w="635" w:type="dxa"/>
            <w:tcBorders/>
            <w:shd w:fill="CCEEFF" w:val="clear"/>
            <w:tcMar>
              <w:bottom w:w="0" w:type="dxa"/>
            </w:tcMar>
            <w:vAlign w:val="bottom"/>
          </w:tcPr>
          <w:p>
            <w:pPr>
              <w:pStyle w:val="TableContents"/>
              <w:spacing w:before="0" w:after="0"/>
              <w:jc w:val="right"/>
              <w:rPr/>
            </w:pPr>
            <w:r>
              <w:rPr/>
              <w:t>-</w:t>
            </w:r>
          </w:p>
        </w:tc>
        <w:tc>
          <w:tcPr>
            <w:tcW w:w="110" w:type="dxa"/>
            <w:tcBorders/>
            <w:shd w:fill="CCEEFF" w:val="clear"/>
            <w:tcMar>
              <w:bottom w:w="0" w:type="dxa"/>
            </w:tcMar>
            <w:vAlign w:val="bottom"/>
          </w:tcPr>
          <w:p>
            <w:pPr>
              <w:pStyle w:val="TableContents"/>
              <w:spacing w:before="0" w:after="283"/>
              <w:rPr/>
            </w:pPr>
            <w:r>
              <w:rPr/>
              <w:t> </w:t>
            </w:r>
          </w:p>
        </w:tc>
      </w:tr>
      <w:tr>
        <w:trPr/>
        <w:tc>
          <w:tcPr>
            <w:tcW w:w="4505" w:type="dxa"/>
            <w:tcBorders/>
            <w:shd w:fill="FFFFFF" w:val="clear"/>
            <w:tcMar>
              <w:bottom w:w="0" w:type="dxa"/>
            </w:tcMar>
            <w:vAlign w:val="bottom"/>
          </w:tcPr>
          <w:p>
            <w:pPr>
              <w:pStyle w:val="TableContents"/>
              <w:spacing w:before="0" w:after="0"/>
              <w:ind w:left="360" w:right="0" w:hanging="180"/>
              <w:rPr/>
            </w:pPr>
            <w:r>
              <w:rPr/>
              <w:t>Pay-fixed interest rate swap agreements</w:t>
            </w:r>
          </w:p>
        </w:tc>
        <w:tc>
          <w:tcPr>
            <w:tcW w:w="60" w:type="dxa"/>
            <w:tcBorders/>
            <w:shd w:fill="FFFFFF" w:val="clear"/>
            <w:tcMar>
              <w:bottom w:w="0" w:type="dxa"/>
            </w:tcMar>
            <w:vAlign w:val="bottom"/>
          </w:tcPr>
          <w:p>
            <w:pPr>
              <w:pStyle w:val="TableContents"/>
              <w:spacing w:before="0" w:after="283"/>
              <w:rPr/>
            </w:pPr>
            <w:r>
              <w:rPr/>
              <w:t> </w:t>
            </w:r>
          </w:p>
        </w:tc>
        <w:tc>
          <w:tcPr>
            <w:tcW w:w="152" w:type="dxa"/>
            <w:tcBorders>
              <w:bottom w:val="single" w:sz="12" w:space="0" w:color="000000"/>
            </w:tcBorders>
            <w:shd w:fill="FFFFFF" w:val="clear"/>
            <w:vAlign w:val="bottom"/>
          </w:tcPr>
          <w:p>
            <w:pPr>
              <w:pStyle w:val="TableContents"/>
              <w:spacing w:before="0" w:after="283"/>
              <w:rPr/>
            </w:pPr>
            <w:r>
              <w:rPr/>
              <w:t> </w:t>
            </w:r>
          </w:p>
        </w:tc>
        <w:tc>
          <w:tcPr>
            <w:tcW w:w="691" w:type="dxa"/>
            <w:tcBorders>
              <w:bottom w:val="single" w:sz="12" w:space="0" w:color="000000"/>
            </w:tcBorders>
            <w:shd w:fill="FFFFFF" w:val="clear"/>
            <w:vAlign w:val="bottom"/>
          </w:tcPr>
          <w:p>
            <w:pPr>
              <w:pStyle w:val="TableContents"/>
              <w:spacing w:before="0" w:after="0"/>
              <w:jc w:val="right"/>
              <w:rPr/>
            </w:pPr>
            <w:r>
              <w:rPr/>
              <w:t>(394</w:t>
            </w:r>
          </w:p>
        </w:tc>
        <w:tc>
          <w:tcPr>
            <w:tcW w:w="103" w:type="dxa"/>
            <w:tcBorders/>
            <w:shd w:fill="FFFFFF" w:val="clear"/>
            <w:tcMar>
              <w:bottom w:w="0" w:type="dxa"/>
            </w:tcMar>
            <w:vAlign w:val="bottom"/>
          </w:tcPr>
          <w:p>
            <w:pPr>
              <w:pStyle w:val="TableContents"/>
              <w:spacing w:before="0" w:after="0"/>
              <w:rPr/>
            </w:pPr>
            <w:r>
              <w:rPr/>
              <w:t>)</w:t>
            </w:r>
          </w:p>
        </w:tc>
        <w:tc>
          <w:tcPr>
            <w:tcW w:w="65" w:type="dxa"/>
            <w:tcBorders/>
            <w:shd w:fill="FFFFFF" w:val="clear"/>
            <w:tcMar>
              <w:bottom w:w="0" w:type="dxa"/>
            </w:tcMar>
            <w:vAlign w:val="bottom"/>
          </w:tcPr>
          <w:p>
            <w:pPr>
              <w:pStyle w:val="TableContents"/>
              <w:spacing w:before="0" w:after="283"/>
              <w:rPr/>
            </w:pPr>
            <w:r>
              <w:rPr/>
              <w:t> </w:t>
            </w:r>
          </w:p>
        </w:tc>
        <w:tc>
          <w:tcPr>
            <w:tcW w:w="152" w:type="dxa"/>
            <w:tcBorders>
              <w:bottom w:val="single" w:sz="12" w:space="0" w:color="000000"/>
            </w:tcBorders>
            <w:shd w:fill="FFFFFF" w:val="clear"/>
            <w:vAlign w:val="bottom"/>
          </w:tcPr>
          <w:p>
            <w:pPr>
              <w:pStyle w:val="TableContents"/>
              <w:spacing w:before="0" w:after="283"/>
              <w:rPr/>
            </w:pPr>
            <w:r>
              <w:rPr/>
              <w:t> </w:t>
            </w:r>
          </w:p>
        </w:tc>
        <w:tc>
          <w:tcPr>
            <w:tcW w:w="612" w:type="dxa"/>
            <w:tcBorders>
              <w:bottom w:val="single" w:sz="12" w:space="0" w:color="000000"/>
            </w:tcBorders>
            <w:shd w:fill="FFFFFF" w:val="clear"/>
            <w:vAlign w:val="bottom"/>
          </w:tcPr>
          <w:p>
            <w:pPr>
              <w:pStyle w:val="TableContents"/>
              <w:spacing w:before="0" w:after="0"/>
              <w:jc w:val="right"/>
              <w:rPr/>
            </w:pPr>
            <w:r>
              <w:rPr/>
              <w:t>254</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0"/>
              <w:rPr/>
            </w:pPr>
            <w:r>
              <w:rPr/>
              <w:t>Interest expense</w:t>
            </w:r>
          </w:p>
        </w:tc>
        <w:tc>
          <w:tcPr>
            <w:tcW w:w="60" w:type="dxa"/>
            <w:tcBorders/>
            <w:shd w:fill="FFFFFF" w:val="clear"/>
            <w:tcMar>
              <w:bottom w:w="0" w:type="dxa"/>
            </w:tcMar>
            <w:vAlign w:val="bottom"/>
          </w:tcPr>
          <w:p>
            <w:pPr>
              <w:pStyle w:val="TableContents"/>
              <w:spacing w:before="0" w:after="283"/>
              <w:rPr/>
            </w:pPr>
            <w:r>
              <w:rPr/>
              <w:t> </w:t>
            </w:r>
          </w:p>
        </w:tc>
        <w:tc>
          <w:tcPr>
            <w:tcW w:w="253" w:type="dxa"/>
            <w:tcBorders>
              <w:bottom w:val="single" w:sz="12" w:space="0" w:color="000000"/>
            </w:tcBorders>
            <w:shd w:fill="FFFFFF" w:val="clear"/>
            <w:vAlign w:val="bottom"/>
          </w:tcPr>
          <w:p>
            <w:pPr>
              <w:pStyle w:val="TableContents"/>
              <w:spacing w:before="0" w:after="283"/>
              <w:rPr/>
            </w:pPr>
            <w:r>
              <w:rPr/>
              <w:t> </w:t>
            </w:r>
          </w:p>
        </w:tc>
        <w:tc>
          <w:tcPr>
            <w:tcW w:w="686" w:type="dxa"/>
            <w:tcBorders>
              <w:bottom w:val="single" w:sz="12" w:space="0" w:color="000000"/>
            </w:tcBorders>
            <w:shd w:fill="FFFFFF" w:val="clear"/>
            <w:vAlign w:val="bottom"/>
          </w:tcPr>
          <w:p>
            <w:pPr>
              <w:pStyle w:val="TableContents"/>
              <w:spacing w:before="0" w:after="0"/>
              <w:jc w:val="right"/>
              <w:rPr/>
            </w:pPr>
            <w:r>
              <w:rPr/>
              <w:t>58</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bottom w:val="single" w:sz="12" w:space="0" w:color="000000"/>
            </w:tcBorders>
            <w:shd w:fill="FFFFFF" w:val="clear"/>
            <w:vAlign w:val="bottom"/>
          </w:tcPr>
          <w:p>
            <w:pPr>
              <w:pStyle w:val="TableContents"/>
              <w:spacing w:before="0" w:after="283"/>
              <w:rPr/>
            </w:pPr>
            <w:r>
              <w:rPr/>
              <w:t> </w:t>
            </w:r>
          </w:p>
        </w:tc>
        <w:tc>
          <w:tcPr>
            <w:tcW w:w="472" w:type="dxa"/>
            <w:tcBorders>
              <w:bottom w:val="single" w:sz="12" w:space="0" w:color="000000"/>
            </w:tcBorders>
            <w:shd w:fill="FFFFFF" w:val="clear"/>
            <w:vAlign w:val="bottom"/>
          </w:tcPr>
          <w:p>
            <w:pPr>
              <w:pStyle w:val="TableContents"/>
              <w:spacing w:before="0" w:after="0"/>
              <w:jc w:val="right"/>
              <w:rPr/>
            </w:pPr>
            <w:r>
              <w:rPr/>
              <w:t>7</w:t>
            </w:r>
          </w:p>
        </w:tc>
        <w:tc>
          <w:tcPr>
            <w:tcW w:w="60" w:type="dxa"/>
            <w:tcBorders/>
            <w:shd w:fill="FFFFFF" w:val="clear"/>
            <w:tcMar>
              <w:bottom w:w="0" w:type="dxa"/>
            </w:tcMar>
            <w:vAlign w:val="bottom"/>
          </w:tcPr>
          <w:p>
            <w:pPr>
              <w:pStyle w:val="TableContents"/>
              <w:spacing w:before="0" w:after="283"/>
              <w:rPr/>
            </w:pPr>
            <w:r>
              <w:rPr/>
              <w:t> </w:t>
            </w:r>
          </w:p>
        </w:tc>
        <w:tc>
          <w:tcPr>
            <w:tcW w:w="1535" w:type="dxa"/>
            <w:tcBorders/>
            <w:shd w:fill="FFFFFF" w:val="clear"/>
            <w:tcMar>
              <w:bottom w:w="0" w:type="dxa"/>
            </w:tcMar>
            <w:vAlign w:val="bottom"/>
          </w:tcPr>
          <w:p>
            <w:pPr>
              <w:pStyle w:val="TableContents"/>
              <w:spacing w:before="0" w:after="0"/>
              <w:ind w:left="180" w:right="0" w:hanging="180"/>
              <w:rPr/>
            </w:pPr>
            <w:r>
              <w:rPr/>
              <w:t>Interest expense</w:t>
            </w:r>
          </w:p>
        </w:tc>
        <w:tc>
          <w:tcPr>
            <w:tcW w:w="60" w:type="dxa"/>
            <w:tcBorders/>
            <w:shd w:fill="FFFFFF" w:val="clear"/>
            <w:tcMar>
              <w:bottom w:w="0" w:type="dxa"/>
            </w:tcMar>
            <w:vAlign w:val="bottom"/>
          </w:tcPr>
          <w:p>
            <w:pPr>
              <w:pStyle w:val="TableContents"/>
              <w:spacing w:before="0" w:after="283"/>
              <w:rPr/>
            </w:pPr>
            <w:r>
              <w:rPr/>
              <w:t> </w:t>
            </w:r>
          </w:p>
        </w:tc>
        <w:tc>
          <w:tcPr>
            <w:tcW w:w="140" w:type="dxa"/>
            <w:tcBorders>
              <w:bottom w:val="single" w:sz="12" w:space="0" w:color="000000"/>
            </w:tcBorders>
            <w:shd w:fill="FFFFFF" w:val="clear"/>
            <w:vAlign w:val="bottom"/>
          </w:tcPr>
          <w:p>
            <w:pPr>
              <w:pStyle w:val="TableContents"/>
              <w:spacing w:before="0" w:after="283"/>
              <w:rPr/>
            </w:pPr>
            <w:r>
              <w:rPr/>
              <w:t> </w:t>
            </w:r>
          </w:p>
        </w:tc>
        <w:tc>
          <w:tcPr>
            <w:tcW w:w="635" w:type="dxa"/>
            <w:tcBorders>
              <w:bottom w:val="single" w:sz="12" w:space="0" w:color="000000"/>
            </w:tcBorders>
            <w:shd w:fill="FFFFFF" w:val="clear"/>
            <w:vAlign w:val="bottom"/>
          </w:tcPr>
          <w:p>
            <w:pPr>
              <w:pStyle w:val="TableContents"/>
              <w:spacing w:before="0" w:after="0"/>
              <w:jc w:val="right"/>
              <w:rPr/>
            </w:pPr>
            <w:r>
              <w:rPr/>
              <w:t>-</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bottom w:val="single" w:sz="12" w:space="0" w:color="000000"/>
            </w:tcBorders>
            <w:shd w:fill="FFFFFF" w:val="clear"/>
            <w:vAlign w:val="bottom"/>
          </w:tcPr>
          <w:p>
            <w:pPr>
              <w:pStyle w:val="TableContents"/>
              <w:spacing w:before="0" w:after="283"/>
              <w:rPr/>
            </w:pPr>
            <w:r>
              <w:rPr/>
              <w:t> </w:t>
            </w:r>
          </w:p>
        </w:tc>
        <w:tc>
          <w:tcPr>
            <w:tcW w:w="635" w:type="dxa"/>
            <w:tcBorders>
              <w:bottom w:val="single" w:sz="12" w:space="0" w:color="000000"/>
            </w:tcBorders>
            <w:shd w:fill="FFFFFF" w:val="clear"/>
            <w:vAlign w:val="bottom"/>
          </w:tcPr>
          <w:p>
            <w:pPr>
              <w:pStyle w:val="TableContents"/>
              <w:spacing w:before="0" w:after="0"/>
              <w:jc w:val="right"/>
              <w:rPr/>
            </w:pPr>
            <w:r>
              <w:rPr/>
              <w:t>(12</w:t>
            </w:r>
          </w:p>
        </w:tc>
        <w:tc>
          <w:tcPr>
            <w:tcW w:w="110" w:type="dxa"/>
            <w:tcBorders/>
            <w:shd w:fill="FFFFFF" w:val="clear"/>
            <w:tcMar>
              <w:bottom w:w="0" w:type="dxa"/>
            </w:tcMar>
            <w:vAlign w:val="bottom"/>
          </w:tcPr>
          <w:p>
            <w:pPr>
              <w:pStyle w:val="TableContents"/>
              <w:spacing w:before="0" w:after="0"/>
              <w:rPr/>
            </w:pPr>
            <w:r>
              <w:rPr/>
              <w:t>)</w:t>
            </w:r>
          </w:p>
        </w:tc>
      </w:tr>
      <w:tr>
        <w:trPr/>
        <w:tc>
          <w:tcPr>
            <w:tcW w:w="4505" w:type="dxa"/>
            <w:tcBorders/>
            <w:shd w:fill="CCEEFF" w:val="clear"/>
            <w:tcMar>
              <w:bottom w:w="0" w:type="dxa"/>
            </w:tcMar>
            <w:vAlign w:val="bottom"/>
          </w:tcPr>
          <w:p>
            <w:pPr>
              <w:pStyle w:val="TableContents"/>
              <w:spacing w:before="0" w:after="0"/>
              <w:ind w:left="540" w:right="0" w:hanging="180"/>
              <w:rPr/>
            </w:pPr>
            <w:r>
              <w:rPr/>
              <w:t>Total</w:t>
            </w:r>
          </w:p>
        </w:tc>
        <w:tc>
          <w:tcPr>
            <w:tcW w:w="60" w:type="dxa"/>
            <w:tcBorders/>
            <w:shd w:fill="CCEEFF" w:val="clear"/>
            <w:tcMar>
              <w:bottom w:w="0" w:type="dxa"/>
            </w:tcMar>
            <w:vAlign w:val="bottom"/>
          </w:tcPr>
          <w:p>
            <w:pPr>
              <w:pStyle w:val="TableContents"/>
              <w:spacing w:before="0" w:after="283"/>
              <w:rPr/>
            </w:pPr>
            <w:r>
              <w:rPr/>
              <w:t> </w:t>
            </w:r>
          </w:p>
        </w:tc>
        <w:tc>
          <w:tcPr>
            <w:tcW w:w="152" w:type="dxa"/>
            <w:tcBorders>
              <w:bottom w:val="double" w:sz="8" w:space="0" w:color="000000"/>
            </w:tcBorders>
            <w:shd w:fill="CCEEFF" w:val="clear"/>
            <w:vAlign w:val="bottom"/>
          </w:tcPr>
          <w:p>
            <w:pPr>
              <w:pStyle w:val="TableContents"/>
              <w:spacing w:before="0" w:after="0"/>
              <w:rPr/>
            </w:pPr>
            <w:r>
              <w:rPr/>
              <w:t>$</w:t>
            </w:r>
          </w:p>
        </w:tc>
        <w:tc>
          <w:tcPr>
            <w:tcW w:w="691" w:type="dxa"/>
            <w:tcBorders>
              <w:bottom w:val="double" w:sz="8" w:space="0" w:color="000000"/>
            </w:tcBorders>
            <w:shd w:fill="CCEEFF" w:val="clear"/>
            <w:vAlign w:val="bottom"/>
          </w:tcPr>
          <w:p>
            <w:pPr>
              <w:pStyle w:val="TableContents"/>
              <w:spacing w:before="0" w:after="0"/>
              <w:jc w:val="right"/>
              <w:rPr/>
            </w:pPr>
            <w:r>
              <w:rPr/>
              <w:t>(1,668</w:t>
            </w:r>
          </w:p>
        </w:tc>
        <w:tc>
          <w:tcPr>
            <w:tcW w:w="103" w:type="dxa"/>
            <w:tcBorders/>
            <w:shd w:fill="CCEEFF" w:val="clear"/>
            <w:tcMar>
              <w:bottom w:w="0" w:type="dxa"/>
            </w:tcMar>
            <w:vAlign w:val="bottom"/>
          </w:tcPr>
          <w:p>
            <w:pPr>
              <w:pStyle w:val="TableContents"/>
              <w:spacing w:before="0" w:after="0"/>
              <w:rPr/>
            </w:pPr>
            <w:r>
              <w:rPr/>
              <w:t>)</w:t>
            </w:r>
          </w:p>
        </w:tc>
        <w:tc>
          <w:tcPr>
            <w:tcW w:w="65" w:type="dxa"/>
            <w:tcBorders/>
            <w:shd w:fill="CCEEFF" w:val="clear"/>
            <w:tcMar>
              <w:bottom w:w="0" w:type="dxa"/>
            </w:tcMar>
            <w:vAlign w:val="bottom"/>
          </w:tcPr>
          <w:p>
            <w:pPr>
              <w:pStyle w:val="TableContents"/>
              <w:spacing w:before="0" w:after="283"/>
              <w:rPr/>
            </w:pPr>
            <w:r>
              <w:rPr/>
              <w:t> </w:t>
            </w:r>
          </w:p>
        </w:tc>
        <w:tc>
          <w:tcPr>
            <w:tcW w:w="152" w:type="dxa"/>
            <w:tcBorders>
              <w:bottom w:val="double" w:sz="8" w:space="0" w:color="000000"/>
            </w:tcBorders>
            <w:shd w:fill="CCEEFF" w:val="clear"/>
            <w:vAlign w:val="bottom"/>
          </w:tcPr>
          <w:p>
            <w:pPr>
              <w:pStyle w:val="TableContents"/>
              <w:spacing w:before="0" w:after="0"/>
              <w:rPr/>
            </w:pPr>
            <w:r>
              <w:rPr/>
              <w:t>$</w:t>
            </w:r>
          </w:p>
        </w:tc>
        <w:tc>
          <w:tcPr>
            <w:tcW w:w="612" w:type="dxa"/>
            <w:tcBorders>
              <w:bottom w:val="double" w:sz="8" w:space="0" w:color="000000"/>
            </w:tcBorders>
            <w:shd w:fill="CCEEFF" w:val="clear"/>
            <w:vAlign w:val="bottom"/>
          </w:tcPr>
          <w:p>
            <w:pPr>
              <w:pStyle w:val="TableContents"/>
              <w:spacing w:before="0" w:after="0"/>
              <w:jc w:val="right"/>
              <w:rPr/>
            </w:pPr>
            <w:r>
              <w:rPr/>
              <w:t>1,011</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bottom w:val="double" w:sz="8" w:space="0" w:color="000000"/>
            </w:tcBorders>
            <w:shd w:fill="CCEEFF" w:val="clear"/>
            <w:vAlign w:val="bottom"/>
          </w:tcPr>
          <w:p>
            <w:pPr>
              <w:pStyle w:val="TableContents"/>
              <w:spacing w:before="0" w:after="0"/>
              <w:rPr/>
            </w:pPr>
            <w:r>
              <w:rPr/>
              <w:t>$</w:t>
            </w:r>
          </w:p>
        </w:tc>
        <w:tc>
          <w:tcPr>
            <w:tcW w:w="686" w:type="dxa"/>
            <w:tcBorders>
              <w:bottom w:val="double" w:sz="8" w:space="0" w:color="000000"/>
            </w:tcBorders>
            <w:shd w:fill="CCEEFF" w:val="clear"/>
            <w:vAlign w:val="bottom"/>
          </w:tcPr>
          <w:p>
            <w:pPr>
              <w:pStyle w:val="TableContents"/>
              <w:spacing w:before="0" w:after="0"/>
              <w:jc w:val="right"/>
              <w:rPr/>
            </w:pPr>
            <w:r>
              <w:rPr/>
              <w:t>291</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bottom w:val="double" w:sz="8" w:space="0" w:color="000000"/>
            </w:tcBorders>
            <w:shd w:fill="CCEEFF" w:val="clear"/>
            <w:vAlign w:val="bottom"/>
          </w:tcPr>
          <w:p>
            <w:pPr>
              <w:pStyle w:val="TableContents"/>
              <w:spacing w:before="0" w:after="0"/>
              <w:rPr/>
            </w:pPr>
            <w:r>
              <w:rPr/>
              <w:t>$</w:t>
            </w:r>
          </w:p>
        </w:tc>
        <w:tc>
          <w:tcPr>
            <w:tcW w:w="472" w:type="dxa"/>
            <w:tcBorders>
              <w:bottom w:val="double" w:sz="8" w:space="0" w:color="000000"/>
            </w:tcBorders>
            <w:shd w:fill="CCEEFF" w:val="clear"/>
            <w:vAlign w:val="bottom"/>
          </w:tcPr>
          <w:p>
            <w:pPr>
              <w:pStyle w:val="TableContents"/>
              <w:spacing w:before="0" w:after="0"/>
              <w:jc w:val="right"/>
              <w:rPr/>
            </w:pPr>
            <w:r>
              <w:rPr/>
              <w:t>59</w:t>
            </w:r>
          </w:p>
        </w:tc>
        <w:tc>
          <w:tcPr>
            <w:tcW w:w="60" w:type="dxa"/>
            <w:tcBorders/>
            <w:shd w:fill="CCEEFF" w:val="clear"/>
            <w:tcMar>
              <w:bottom w:w="0" w:type="dxa"/>
            </w:tcMar>
            <w:vAlign w:val="bottom"/>
          </w:tcPr>
          <w:p>
            <w:pPr>
              <w:pStyle w:val="TableContents"/>
              <w:spacing w:before="0" w:after="283"/>
              <w:ind w:left="180" w:right="0" w:hanging="180"/>
              <w:rPr/>
            </w:pPr>
            <w:r>
              <w:rPr/>
              <w:t> </w:t>
            </w:r>
          </w:p>
        </w:tc>
        <w:tc>
          <w:tcPr>
            <w:tcW w:w="15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635" w:type="dxa"/>
            <w:tcBorders>
              <w:bottom w:val="double" w:sz="8" w:space="0" w:color="000000"/>
            </w:tcBorders>
            <w:shd w:fill="CCEEFF" w:val="cle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635" w:type="dxa"/>
            <w:tcBorders>
              <w:bottom w:val="double" w:sz="8" w:space="0" w:color="000000"/>
            </w:tcBorders>
            <w:shd w:fill="CCEEFF" w:val="clear"/>
            <w:vAlign w:val="bottom"/>
          </w:tcPr>
          <w:p>
            <w:pPr>
              <w:pStyle w:val="TableContents"/>
              <w:spacing w:before="0" w:after="0"/>
              <w:jc w:val="right"/>
              <w:rPr/>
            </w:pPr>
            <w:r>
              <w:rPr/>
              <w:t>(12</w:t>
            </w:r>
          </w:p>
        </w:tc>
        <w:tc>
          <w:tcPr>
            <w:tcW w:w="110" w:type="dxa"/>
            <w:tcBorders/>
            <w:shd w:fill="CCEEFF" w:val="clear"/>
            <w:tcMar>
              <w:bottom w:w="0" w:type="dxa"/>
            </w:tcMar>
            <w:vAlign w:val="bottom"/>
          </w:tcPr>
          <w:p>
            <w:pPr>
              <w:pStyle w:val="TableContents"/>
              <w:spacing w:before="0" w:after="0"/>
              <w:ind w:left="180" w:right="0" w:hanging="180"/>
              <w:rPr/>
            </w:pPr>
            <w:r>
              <w:rPr/>
              <w:t>)</w:t>
            </w:r>
          </w:p>
        </w:tc>
      </w:tr>
      <w:tr>
        <w:trPr/>
        <w:tc>
          <w:tcPr>
            <w:tcW w:w="450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52" w:type="dxa"/>
            <w:tcBorders/>
            <w:shd w:fill="FFFFFF" w:val="clear"/>
            <w:tcMar>
              <w:bottom w:w="0" w:type="dxa"/>
            </w:tcMar>
            <w:vAlign w:val="bottom"/>
          </w:tcPr>
          <w:p>
            <w:pPr>
              <w:pStyle w:val="TableContents"/>
              <w:spacing w:before="0" w:after="283"/>
              <w:rPr/>
            </w:pPr>
            <w:r>
              <w:rPr/>
              <w:t> </w:t>
            </w:r>
          </w:p>
        </w:tc>
        <w:tc>
          <w:tcPr>
            <w:tcW w:w="691"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rPr/>
            </w:pPr>
            <w:r>
              <w:rPr/>
              <w:t> </w:t>
            </w:r>
          </w:p>
        </w:tc>
        <w:tc>
          <w:tcPr>
            <w:tcW w:w="65" w:type="dxa"/>
            <w:tcBorders/>
            <w:shd w:fill="FFFFFF" w:val="clear"/>
            <w:tcMar>
              <w:bottom w:w="0" w:type="dxa"/>
            </w:tcMar>
            <w:vAlign w:val="bottom"/>
          </w:tcPr>
          <w:p>
            <w:pPr>
              <w:pStyle w:val="TableContents"/>
              <w:spacing w:before="0" w:after="283"/>
              <w:rPr/>
            </w:pPr>
            <w:r>
              <w:rPr/>
              <w:t> </w:t>
            </w:r>
          </w:p>
        </w:tc>
        <w:tc>
          <w:tcPr>
            <w:tcW w:w="152" w:type="dxa"/>
            <w:tcBorders/>
            <w:shd w:fill="FFFFFF" w:val="clear"/>
            <w:tcMar>
              <w:bottom w:w="0" w:type="dxa"/>
            </w:tcMar>
            <w:vAlign w:val="bottom"/>
          </w:tcPr>
          <w:p>
            <w:pPr>
              <w:pStyle w:val="TableContents"/>
              <w:spacing w:before="0" w:after="283"/>
              <w:rPr/>
            </w:pPr>
            <w:r>
              <w:rPr/>
              <w:t> </w:t>
            </w:r>
          </w:p>
        </w:tc>
        <w:tc>
          <w:tcPr>
            <w:tcW w:w="61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47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ind w:left="180" w:right="0" w:hanging="180"/>
              <w:rPr/>
            </w:pPr>
            <w:r>
              <w:rPr/>
              <w:t> </w:t>
            </w:r>
          </w:p>
        </w:tc>
        <w:tc>
          <w:tcPr>
            <w:tcW w:w="153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rPr/>
            </w:pPr>
            <w:r>
              <w:rPr/>
              <w:t> </w:t>
            </w:r>
          </w:p>
        </w:tc>
      </w:tr>
      <w:tr>
        <w:trPr/>
        <w:tc>
          <w:tcPr>
            <w:tcW w:w="4505" w:type="dxa"/>
            <w:tcBorders/>
            <w:shd w:fill="CCEEFF" w:val="clear"/>
            <w:tcMar>
              <w:bottom w:w="0" w:type="dxa"/>
            </w:tcMar>
            <w:vAlign w:val="bottom"/>
          </w:tcPr>
          <w:p>
            <w:pPr>
              <w:pStyle w:val="TableContents"/>
              <w:spacing w:before="0" w:after="0"/>
              <w:ind w:left="180" w:right="0" w:hanging="180"/>
              <w:rPr/>
            </w:pPr>
            <w:r>
              <w:rPr/>
              <w:t>No hedge designation</w:t>
            </w:r>
          </w:p>
        </w:tc>
        <w:tc>
          <w:tcPr>
            <w:tcW w:w="60"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rPr/>
            </w:pPr>
            <w:r>
              <w:rPr/>
              <w:t> </w:t>
            </w:r>
          </w:p>
        </w:tc>
        <w:tc>
          <w:tcPr>
            <w:tcW w:w="691" w:type="dxa"/>
            <w:tcBorders/>
            <w:shd w:fill="CCEEFF" w:val="clear"/>
            <w:tcMar>
              <w:bottom w:w="0" w:type="dxa"/>
            </w:tcMar>
            <w:vAlign w:val="bottom"/>
          </w:tcPr>
          <w:p>
            <w:pPr>
              <w:pStyle w:val="TableContents"/>
              <w:spacing w:before="0" w:after="283"/>
              <w:rPr/>
            </w:pPr>
            <w:r>
              <w:rPr/>
              <w:t> </w:t>
            </w:r>
          </w:p>
        </w:tc>
        <w:tc>
          <w:tcPr>
            <w:tcW w:w="103" w:type="dxa"/>
            <w:tcBorders/>
            <w:shd w:fill="CCEEFF" w:val="clear"/>
            <w:tcMar>
              <w:bottom w:w="0" w:type="dxa"/>
            </w:tcMar>
            <w:vAlign w:val="bottom"/>
          </w:tcPr>
          <w:p>
            <w:pPr>
              <w:pStyle w:val="TableContents"/>
              <w:spacing w:before="0" w:after="283"/>
              <w:rPr/>
            </w:pPr>
            <w:r>
              <w:rPr/>
              <w:t> </w:t>
            </w:r>
          </w:p>
        </w:tc>
        <w:tc>
          <w:tcPr>
            <w:tcW w:w="65"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rPr/>
            </w:pPr>
            <w:r>
              <w:rPr/>
              <w:t> </w:t>
            </w:r>
          </w:p>
        </w:tc>
        <w:tc>
          <w:tcPr>
            <w:tcW w:w="61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47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ind w:left="180" w:right="0" w:hanging="180"/>
              <w:rPr/>
            </w:pPr>
            <w:r>
              <w:rPr/>
              <w:t> </w:t>
            </w:r>
          </w:p>
        </w:tc>
        <w:tc>
          <w:tcPr>
            <w:tcW w:w="15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283"/>
              <w:jc w:val="right"/>
              <w:rPr/>
            </w:pPr>
            <w:r>
              <w:rPr/>
              <w:t> </w:t>
            </w:r>
          </w:p>
        </w:tc>
        <w:tc>
          <w:tcPr>
            <w:tcW w:w="110" w:type="dxa"/>
            <w:tcBorders/>
            <w:shd w:fill="CCEEFF" w:val="clear"/>
            <w:tcMar>
              <w:bottom w:w="0" w:type="dxa"/>
            </w:tcMar>
            <w:vAlign w:val="bottom"/>
          </w:tcPr>
          <w:p>
            <w:pPr>
              <w:pStyle w:val="TableContents"/>
              <w:spacing w:before="0" w:after="283"/>
              <w:rPr/>
            </w:pPr>
            <w:r>
              <w:rPr/>
              <w:t> </w:t>
            </w:r>
          </w:p>
        </w:tc>
      </w:tr>
      <w:tr>
        <w:trPr/>
        <w:tc>
          <w:tcPr>
            <w:tcW w:w="4505" w:type="dxa"/>
            <w:tcBorders/>
            <w:shd w:fill="FFFFFF" w:val="clear"/>
            <w:tcMar>
              <w:bottom w:w="0" w:type="dxa"/>
            </w:tcMar>
            <w:vAlign w:val="bottom"/>
          </w:tcPr>
          <w:p>
            <w:pPr>
              <w:pStyle w:val="TableContents"/>
              <w:spacing w:before="0" w:after="0"/>
              <w:ind w:left="360" w:right="0" w:hanging="180"/>
              <w:rPr/>
            </w:pPr>
            <w:r>
              <w:rPr/>
              <w:t>Rate-lock mortgage loan commitments</w:t>
            </w:r>
          </w:p>
        </w:tc>
        <w:tc>
          <w:tcPr>
            <w:tcW w:w="60" w:type="dxa"/>
            <w:tcBorders/>
            <w:shd w:fill="FFFFFF" w:val="clear"/>
            <w:tcMar>
              <w:bottom w:w="0" w:type="dxa"/>
            </w:tcMar>
            <w:vAlign w:val="bottom"/>
          </w:tcPr>
          <w:p>
            <w:pPr>
              <w:pStyle w:val="TableContents"/>
              <w:spacing w:before="0" w:after="283"/>
              <w:rPr/>
            </w:pPr>
            <w:r>
              <w:rPr/>
              <w:t> </w:t>
            </w:r>
          </w:p>
        </w:tc>
        <w:tc>
          <w:tcPr>
            <w:tcW w:w="152" w:type="dxa"/>
            <w:tcBorders/>
            <w:shd w:fill="FFFFFF" w:val="clear"/>
            <w:tcMar>
              <w:bottom w:w="0" w:type="dxa"/>
            </w:tcMar>
            <w:vAlign w:val="bottom"/>
          </w:tcPr>
          <w:p>
            <w:pPr>
              <w:pStyle w:val="TableContents"/>
              <w:spacing w:before="0" w:after="283"/>
              <w:rPr/>
            </w:pPr>
            <w:r>
              <w:rPr/>
              <w:t> </w:t>
            </w:r>
          </w:p>
        </w:tc>
        <w:tc>
          <w:tcPr>
            <w:tcW w:w="691"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rPr/>
            </w:pPr>
            <w:r>
              <w:rPr/>
              <w:t> </w:t>
            </w:r>
          </w:p>
        </w:tc>
        <w:tc>
          <w:tcPr>
            <w:tcW w:w="65" w:type="dxa"/>
            <w:tcBorders/>
            <w:shd w:fill="FFFFFF" w:val="clear"/>
            <w:tcMar>
              <w:bottom w:w="0" w:type="dxa"/>
            </w:tcMar>
            <w:vAlign w:val="bottom"/>
          </w:tcPr>
          <w:p>
            <w:pPr>
              <w:pStyle w:val="TableContents"/>
              <w:spacing w:before="0" w:after="283"/>
              <w:rPr/>
            </w:pPr>
            <w:r>
              <w:rPr/>
              <w:t> </w:t>
            </w:r>
          </w:p>
        </w:tc>
        <w:tc>
          <w:tcPr>
            <w:tcW w:w="152" w:type="dxa"/>
            <w:tcBorders/>
            <w:shd w:fill="FFFFFF" w:val="clear"/>
            <w:tcMar>
              <w:bottom w:w="0" w:type="dxa"/>
            </w:tcMar>
            <w:vAlign w:val="bottom"/>
          </w:tcPr>
          <w:p>
            <w:pPr>
              <w:pStyle w:val="TableContents"/>
              <w:spacing w:before="0" w:after="283"/>
              <w:rPr/>
            </w:pPr>
            <w:r>
              <w:rPr/>
              <w:t> </w:t>
            </w:r>
          </w:p>
        </w:tc>
        <w:tc>
          <w:tcPr>
            <w:tcW w:w="61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47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35" w:type="dxa"/>
            <w:tcBorders/>
            <w:shd w:fill="FFFFFF" w:val="clear"/>
            <w:tcMar>
              <w:bottom w:w="0" w:type="dxa"/>
            </w:tcMar>
            <w:vAlign w:val="bottom"/>
          </w:tcPr>
          <w:p>
            <w:pPr>
              <w:pStyle w:val="TableContents"/>
              <w:spacing w:before="0" w:after="0"/>
              <w:ind w:left="180" w:right="0" w:hanging="180"/>
              <w:rPr/>
            </w:pPr>
            <w:r>
              <w:rPr/>
              <w:t>Net gains on mortgage loans</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0"/>
              <w:rPr/>
            </w:pPr>
            <w:r>
              <w:rPr/>
              <w:t>$</w:t>
            </w:r>
          </w:p>
        </w:tc>
        <w:tc>
          <w:tcPr>
            <w:tcW w:w="635" w:type="dxa"/>
            <w:tcBorders/>
            <w:shd w:fill="FFFFFF" w:val="clear"/>
            <w:tcMar>
              <w:bottom w:w="0" w:type="dxa"/>
            </w:tcMar>
            <w:vAlign w:val="bottom"/>
          </w:tcPr>
          <w:p>
            <w:pPr>
              <w:pStyle w:val="TableContents"/>
              <w:spacing w:before="0" w:after="0"/>
              <w:jc w:val="right"/>
              <w:rPr/>
            </w:pPr>
            <w:r>
              <w:rPr/>
              <w:t>1,460</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0"/>
              <w:rPr/>
            </w:pPr>
            <w:r>
              <w:rPr/>
              <w:t>$</w:t>
            </w:r>
          </w:p>
        </w:tc>
        <w:tc>
          <w:tcPr>
            <w:tcW w:w="635" w:type="dxa"/>
            <w:tcBorders/>
            <w:shd w:fill="FFFFFF" w:val="clear"/>
            <w:tcMar>
              <w:bottom w:w="0" w:type="dxa"/>
            </w:tcMar>
            <w:vAlign w:val="bottom"/>
          </w:tcPr>
          <w:p>
            <w:pPr>
              <w:pStyle w:val="TableContents"/>
              <w:spacing w:before="0" w:after="0"/>
              <w:jc w:val="right"/>
              <w:rPr/>
            </w:pPr>
            <w:r>
              <w:rPr/>
              <w:t>672</w:t>
            </w:r>
          </w:p>
        </w:tc>
        <w:tc>
          <w:tcPr>
            <w:tcW w:w="110" w:type="dxa"/>
            <w:tcBorders/>
            <w:shd w:fill="FFFFFF" w:val="clear"/>
            <w:tcMar>
              <w:bottom w:w="0" w:type="dxa"/>
            </w:tcMar>
            <w:vAlign w:val="bottom"/>
          </w:tcPr>
          <w:p>
            <w:pPr>
              <w:pStyle w:val="TableContents"/>
              <w:spacing w:before="0" w:after="283"/>
              <w:rPr/>
            </w:pPr>
            <w:r>
              <w:rPr/>
              <w:t> </w:t>
            </w:r>
          </w:p>
        </w:tc>
      </w:tr>
      <w:tr>
        <w:trPr/>
        <w:tc>
          <w:tcPr>
            <w:tcW w:w="4505" w:type="dxa"/>
            <w:tcBorders/>
            <w:shd w:fill="CCEEFF" w:val="clear"/>
            <w:tcMar>
              <w:bottom w:w="0" w:type="dxa"/>
            </w:tcMar>
            <w:vAlign w:val="bottom"/>
          </w:tcPr>
          <w:p>
            <w:pPr>
              <w:pStyle w:val="TableContents"/>
              <w:spacing w:before="0" w:after="0"/>
              <w:ind w:left="360" w:right="0" w:hanging="180"/>
              <w:rPr/>
            </w:pPr>
            <w:r>
              <w:rPr/>
              <w:t>Mandatory commitments to sell mortgage loans</w:t>
            </w:r>
          </w:p>
        </w:tc>
        <w:tc>
          <w:tcPr>
            <w:tcW w:w="60"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rPr/>
            </w:pPr>
            <w:r>
              <w:rPr/>
              <w:t> </w:t>
            </w:r>
          </w:p>
        </w:tc>
        <w:tc>
          <w:tcPr>
            <w:tcW w:w="691" w:type="dxa"/>
            <w:tcBorders/>
            <w:shd w:fill="CCEEFF" w:val="clear"/>
            <w:tcMar>
              <w:bottom w:w="0" w:type="dxa"/>
            </w:tcMar>
            <w:vAlign w:val="bottom"/>
          </w:tcPr>
          <w:p>
            <w:pPr>
              <w:pStyle w:val="TableContents"/>
              <w:spacing w:before="0" w:after="283"/>
              <w:rPr/>
            </w:pPr>
            <w:r>
              <w:rPr/>
              <w:t> </w:t>
            </w:r>
          </w:p>
        </w:tc>
        <w:tc>
          <w:tcPr>
            <w:tcW w:w="103" w:type="dxa"/>
            <w:tcBorders/>
            <w:shd w:fill="CCEEFF" w:val="clear"/>
            <w:tcMar>
              <w:bottom w:w="0" w:type="dxa"/>
            </w:tcMar>
            <w:vAlign w:val="bottom"/>
          </w:tcPr>
          <w:p>
            <w:pPr>
              <w:pStyle w:val="TableContents"/>
              <w:spacing w:before="0" w:after="283"/>
              <w:rPr/>
            </w:pPr>
            <w:r>
              <w:rPr/>
              <w:t> </w:t>
            </w:r>
          </w:p>
        </w:tc>
        <w:tc>
          <w:tcPr>
            <w:tcW w:w="65"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rPr/>
            </w:pPr>
            <w:r>
              <w:rPr/>
              <w:t> </w:t>
            </w:r>
          </w:p>
        </w:tc>
        <w:tc>
          <w:tcPr>
            <w:tcW w:w="61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47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0"/>
              <w:ind w:left="180" w:right="0" w:hanging="180"/>
              <w:rPr/>
            </w:pPr>
            <w:r>
              <w:rPr/>
              <w:t>Net gains on mortgage  loans</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0"/>
              <w:jc w:val="right"/>
              <w:rPr/>
            </w:pPr>
            <w:r>
              <w:rPr/>
              <w:t>49</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0"/>
              <w:jc w:val="right"/>
              <w:rPr/>
            </w:pPr>
            <w:r>
              <w:rPr/>
              <w:t>(270</w:t>
            </w:r>
          </w:p>
        </w:tc>
        <w:tc>
          <w:tcPr>
            <w:tcW w:w="110" w:type="dxa"/>
            <w:tcBorders/>
            <w:shd w:fill="CCEEFF" w:val="clear"/>
            <w:tcMar>
              <w:bottom w:w="0" w:type="dxa"/>
            </w:tcMar>
            <w:vAlign w:val="bottom"/>
          </w:tcPr>
          <w:p>
            <w:pPr>
              <w:pStyle w:val="TableContents"/>
              <w:spacing w:before="0" w:after="0"/>
              <w:rPr/>
            </w:pPr>
            <w:r>
              <w:rPr/>
              <w:t>)</w:t>
            </w:r>
          </w:p>
        </w:tc>
      </w:tr>
      <w:tr>
        <w:trPr/>
        <w:tc>
          <w:tcPr>
            <w:tcW w:w="4505" w:type="dxa"/>
            <w:tcBorders/>
            <w:shd w:fill="FFFFFF" w:val="clear"/>
            <w:tcMar>
              <w:bottom w:w="0" w:type="dxa"/>
            </w:tcMar>
            <w:vAlign w:val="bottom"/>
          </w:tcPr>
          <w:p>
            <w:pPr>
              <w:pStyle w:val="TableContents"/>
              <w:spacing w:before="0" w:after="0"/>
              <w:ind w:left="360" w:right="0" w:hanging="180"/>
              <w:rPr/>
            </w:pPr>
            <w:r>
              <w:rPr/>
              <w:t>Pay-fixed interest rate swap agreements -commercial</w:t>
            </w:r>
          </w:p>
        </w:tc>
        <w:tc>
          <w:tcPr>
            <w:tcW w:w="60" w:type="dxa"/>
            <w:tcBorders/>
            <w:shd w:fill="FFFFFF" w:val="clear"/>
            <w:tcMar>
              <w:bottom w:w="0" w:type="dxa"/>
            </w:tcMar>
            <w:vAlign w:val="bottom"/>
          </w:tcPr>
          <w:p>
            <w:pPr>
              <w:pStyle w:val="TableContents"/>
              <w:spacing w:before="0" w:after="283"/>
              <w:rPr/>
            </w:pPr>
            <w:r>
              <w:rPr/>
              <w:t> </w:t>
            </w:r>
          </w:p>
        </w:tc>
        <w:tc>
          <w:tcPr>
            <w:tcW w:w="152" w:type="dxa"/>
            <w:tcBorders/>
            <w:shd w:fill="FFFFFF" w:val="clear"/>
            <w:tcMar>
              <w:bottom w:w="0" w:type="dxa"/>
            </w:tcMar>
            <w:vAlign w:val="bottom"/>
          </w:tcPr>
          <w:p>
            <w:pPr>
              <w:pStyle w:val="TableContents"/>
              <w:spacing w:before="0" w:after="283"/>
              <w:rPr/>
            </w:pPr>
            <w:r>
              <w:rPr/>
              <w:t> </w:t>
            </w:r>
          </w:p>
        </w:tc>
        <w:tc>
          <w:tcPr>
            <w:tcW w:w="691"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rPr/>
            </w:pPr>
            <w:r>
              <w:rPr/>
              <w:t> </w:t>
            </w:r>
          </w:p>
        </w:tc>
        <w:tc>
          <w:tcPr>
            <w:tcW w:w="65" w:type="dxa"/>
            <w:tcBorders/>
            <w:shd w:fill="FFFFFF" w:val="clear"/>
            <w:tcMar>
              <w:bottom w:w="0" w:type="dxa"/>
            </w:tcMar>
            <w:vAlign w:val="bottom"/>
          </w:tcPr>
          <w:p>
            <w:pPr>
              <w:pStyle w:val="TableContents"/>
              <w:spacing w:before="0" w:after="283"/>
              <w:rPr/>
            </w:pPr>
            <w:r>
              <w:rPr/>
              <w:t> </w:t>
            </w:r>
          </w:p>
        </w:tc>
        <w:tc>
          <w:tcPr>
            <w:tcW w:w="152" w:type="dxa"/>
            <w:tcBorders/>
            <w:shd w:fill="FFFFFF" w:val="clear"/>
            <w:tcMar>
              <w:bottom w:w="0" w:type="dxa"/>
            </w:tcMar>
            <w:vAlign w:val="bottom"/>
          </w:tcPr>
          <w:p>
            <w:pPr>
              <w:pStyle w:val="TableContents"/>
              <w:spacing w:before="0" w:after="283"/>
              <w:rPr/>
            </w:pPr>
            <w:r>
              <w:rPr/>
              <w:t> </w:t>
            </w:r>
          </w:p>
        </w:tc>
        <w:tc>
          <w:tcPr>
            <w:tcW w:w="61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47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35" w:type="dxa"/>
            <w:tcBorders/>
            <w:shd w:fill="FFFFFF" w:val="clear"/>
            <w:tcMar>
              <w:bottom w:w="0" w:type="dxa"/>
            </w:tcMar>
            <w:vAlign w:val="bottom"/>
          </w:tcPr>
          <w:p>
            <w:pPr>
              <w:pStyle w:val="TableContents"/>
              <w:spacing w:before="0" w:after="0"/>
              <w:ind w:left="180" w:right="0" w:hanging="180"/>
              <w:rPr/>
            </w:pPr>
            <w:r>
              <w:rPr/>
              <w:t>Interest income</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0"/>
              <w:jc w:val="right"/>
              <w:rPr/>
            </w:pPr>
            <w:r>
              <w:rPr/>
              <w:t>(3,584</w:t>
            </w:r>
          </w:p>
        </w:tc>
        <w:tc>
          <w:tcPr>
            <w:tcW w:w="95" w:type="dxa"/>
            <w:tcBorders/>
            <w:shd w:fill="FFFFFF" w:val="clear"/>
            <w:tcMar>
              <w:bottom w:w="0" w:type="dxa"/>
            </w:tcMar>
            <w:vAlign w:val="bottom"/>
          </w:tcPr>
          <w:p>
            <w:pPr>
              <w:pStyle w:val="TableContents"/>
              <w:spacing w:before="0" w:after="0"/>
              <w:rPr/>
            </w:pPr>
            <w:r>
              <w:rPr/>
              <w:t>)</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0"/>
              <w:jc w:val="right"/>
              <w:rPr/>
            </w:pPr>
            <w:r>
              <w:rPr/>
              <w:t>1,543</w:t>
            </w:r>
          </w:p>
        </w:tc>
        <w:tc>
          <w:tcPr>
            <w:tcW w:w="110" w:type="dxa"/>
            <w:tcBorders/>
            <w:shd w:fill="FFFFFF" w:val="clear"/>
            <w:tcMar>
              <w:bottom w:w="0" w:type="dxa"/>
            </w:tcMar>
            <w:vAlign w:val="bottom"/>
          </w:tcPr>
          <w:p>
            <w:pPr>
              <w:pStyle w:val="TableContents"/>
              <w:spacing w:before="0" w:after="283"/>
              <w:rPr/>
            </w:pPr>
            <w:r>
              <w:rPr/>
              <w:t> </w:t>
            </w:r>
          </w:p>
        </w:tc>
      </w:tr>
      <w:tr>
        <w:trPr/>
        <w:tc>
          <w:tcPr>
            <w:tcW w:w="4505" w:type="dxa"/>
            <w:tcBorders/>
            <w:shd w:fill="CCEEFF" w:val="clear"/>
            <w:tcMar>
              <w:bottom w:w="0" w:type="dxa"/>
            </w:tcMar>
            <w:vAlign w:val="bottom"/>
          </w:tcPr>
          <w:p>
            <w:pPr>
              <w:pStyle w:val="TableContents"/>
              <w:spacing w:before="0" w:after="0"/>
              <w:ind w:left="360" w:right="0" w:hanging="180"/>
              <w:rPr/>
            </w:pPr>
            <w:r>
              <w:rPr/>
              <w:t>Pay-variable interest rate swap agreements -commercial</w:t>
            </w:r>
          </w:p>
        </w:tc>
        <w:tc>
          <w:tcPr>
            <w:tcW w:w="60"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rPr/>
            </w:pPr>
            <w:r>
              <w:rPr/>
              <w:t> </w:t>
            </w:r>
          </w:p>
        </w:tc>
        <w:tc>
          <w:tcPr>
            <w:tcW w:w="691"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rPr/>
            </w:pPr>
            <w:r>
              <w:rPr/>
              <w:t> </w:t>
            </w:r>
          </w:p>
        </w:tc>
        <w:tc>
          <w:tcPr>
            <w:tcW w:w="65"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rPr/>
            </w:pPr>
            <w:r>
              <w:rPr/>
              <w:t> </w:t>
            </w:r>
          </w:p>
        </w:tc>
        <w:tc>
          <w:tcPr>
            <w:tcW w:w="61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47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0"/>
              <w:ind w:left="180" w:right="0" w:hanging="180"/>
              <w:rPr/>
            </w:pPr>
            <w:r>
              <w:rPr/>
              <w:t>Interest income</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0"/>
              <w:jc w:val="right"/>
              <w:rPr/>
            </w:pPr>
            <w:r>
              <w:rPr/>
              <w:t>3,584</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0"/>
              <w:jc w:val="right"/>
              <w:rPr/>
            </w:pPr>
            <w:r>
              <w:rPr/>
              <w:t>(1,543</w:t>
            </w:r>
          </w:p>
        </w:tc>
        <w:tc>
          <w:tcPr>
            <w:tcW w:w="110" w:type="dxa"/>
            <w:tcBorders/>
            <w:shd w:fill="CCEEFF" w:val="clear"/>
            <w:tcMar>
              <w:bottom w:w="0" w:type="dxa"/>
            </w:tcMar>
            <w:vAlign w:val="bottom"/>
          </w:tcPr>
          <w:p>
            <w:pPr>
              <w:pStyle w:val="TableContents"/>
              <w:spacing w:before="0" w:after="0"/>
              <w:rPr/>
            </w:pPr>
            <w:r>
              <w:rPr/>
              <w:t>)</w:t>
            </w:r>
          </w:p>
        </w:tc>
      </w:tr>
      <w:tr>
        <w:trPr/>
        <w:tc>
          <w:tcPr>
            <w:tcW w:w="4505" w:type="dxa"/>
            <w:tcBorders/>
            <w:shd w:fill="FFFFFF" w:val="clear"/>
            <w:tcMar>
              <w:bottom w:w="0" w:type="dxa"/>
            </w:tcMar>
            <w:vAlign w:val="bottom"/>
          </w:tcPr>
          <w:p>
            <w:pPr>
              <w:pStyle w:val="TableContents"/>
              <w:spacing w:before="0" w:after="0"/>
              <w:ind w:left="360" w:right="0" w:hanging="180"/>
              <w:rPr/>
            </w:pPr>
            <w:r>
              <w:rPr/>
              <w:t>Pay-variable interest rate swap agreements</w:t>
            </w:r>
          </w:p>
        </w:tc>
        <w:tc>
          <w:tcPr>
            <w:tcW w:w="60" w:type="dxa"/>
            <w:tcBorders/>
            <w:shd w:fill="FFFFFF" w:val="clear"/>
            <w:tcMar>
              <w:bottom w:w="0" w:type="dxa"/>
            </w:tcMar>
            <w:vAlign w:val="bottom"/>
          </w:tcPr>
          <w:p>
            <w:pPr>
              <w:pStyle w:val="TableContents"/>
              <w:spacing w:before="0" w:after="283"/>
              <w:rPr/>
            </w:pPr>
            <w:r>
              <w:rPr/>
              <w:t> </w:t>
            </w:r>
          </w:p>
        </w:tc>
        <w:tc>
          <w:tcPr>
            <w:tcW w:w="152" w:type="dxa"/>
            <w:tcBorders/>
            <w:shd w:fill="FFFFFF" w:val="clear"/>
            <w:tcMar>
              <w:bottom w:w="0" w:type="dxa"/>
            </w:tcMar>
            <w:vAlign w:val="bottom"/>
          </w:tcPr>
          <w:p>
            <w:pPr>
              <w:pStyle w:val="TableContents"/>
              <w:spacing w:before="0" w:after="283"/>
              <w:rPr/>
            </w:pPr>
            <w:r>
              <w:rPr/>
              <w:t> </w:t>
            </w:r>
          </w:p>
        </w:tc>
        <w:tc>
          <w:tcPr>
            <w:tcW w:w="691"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rPr/>
            </w:pPr>
            <w:r>
              <w:rPr/>
              <w:t> </w:t>
            </w:r>
          </w:p>
        </w:tc>
        <w:tc>
          <w:tcPr>
            <w:tcW w:w="65" w:type="dxa"/>
            <w:tcBorders/>
            <w:shd w:fill="FFFFFF" w:val="clear"/>
            <w:tcMar>
              <w:bottom w:w="0" w:type="dxa"/>
            </w:tcMar>
            <w:vAlign w:val="bottom"/>
          </w:tcPr>
          <w:p>
            <w:pPr>
              <w:pStyle w:val="TableContents"/>
              <w:spacing w:before="0" w:after="283"/>
              <w:rPr/>
            </w:pPr>
            <w:r>
              <w:rPr/>
              <w:t> </w:t>
            </w:r>
          </w:p>
        </w:tc>
        <w:tc>
          <w:tcPr>
            <w:tcW w:w="152" w:type="dxa"/>
            <w:tcBorders/>
            <w:shd w:fill="FFFFFF" w:val="clear"/>
            <w:tcMar>
              <w:bottom w:w="0" w:type="dxa"/>
            </w:tcMar>
            <w:vAlign w:val="bottom"/>
          </w:tcPr>
          <w:p>
            <w:pPr>
              <w:pStyle w:val="TableContents"/>
              <w:spacing w:before="0" w:after="283"/>
              <w:rPr/>
            </w:pPr>
            <w:r>
              <w:rPr/>
              <w:t> </w:t>
            </w:r>
          </w:p>
        </w:tc>
        <w:tc>
          <w:tcPr>
            <w:tcW w:w="61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47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35" w:type="dxa"/>
            <w:tcBorders/>
            <w:shd w:fill="FFFFFF" w:val="clear"/>
            <w:tcMar>
              <w:bottom w:w="0" w:type="dxa"/>
            </w:tcMar>
            <w:vAlign w:val="bottom"/>
          </w:tcPr>
          <w:p>
            <w:pPr>
              <w:pStyle w:val="TableContents"/>
              <w:spacing w:before="0" w:after="0"/>
              <w:ind w:left="180" w:right="0" w:hanging="180"/>
              <w:rPr/>
            </w:pPr>
            <w:r>
              <w:rPr/>
              <w:t>Interest expense</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0"/>
              <w:jc w:val="right"/>
              <w:rPr/>
            </w:pPr>
            <w:r>
              <w:rPr/>
              <w:t>-</w:t>
            </w:r>
          </w:p>
        </w:tc>
        <w:tc>
          <w:tcPr>
            <w:tcW w:w="9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635" w:type="dxa"/>
            <w:tcBorders/>
            <w:shd w:fill="FFFFFF" w:val="clear"/>
            <w:tcMar>
              <w:bottom w:w="0" w:type="dxa"/>
            </w:tcMar>
            <w:vAlign w:val="bottom"/>
          </w:tcPr>
          <w:p>
            <w:pPr>
              <w:pStyle w:val="TableContents"/>
              <w:spacing w:before="0" w:after="0"/>
              <w:jc w:val="right"/>
              <w:rPr/>
            </w:pPr>
            <w:r>
              <w:rPr/>
              <w:t>36</w:t>
            </w:r>
          </w:p>
        </w:tc>
        <w:tc>
          <w:tcPr>
            <w:tcW w:w="110" w:type="dxa"/>
            <w:tcBorders/>
            <w:shd w:fill="FFFFFF" w:val="clear"/>
            <w:tcMar>
              <w:bottom w:w="0" w:type="dxa"/>
            </w:tcMar>
            <w:vAlign w:val="bottom"/>
          </w:tcPr>
          <w:p>
            <w:pPr>
              <w:pStyle w:val="TableContents"/>
              <w:spacing w:before="0" w:after="283"/>
              <w:rPr/>
            </w:pPr>
            <w:r>
              <w:rPr/>
              <w:t> </w:t>
            </w:r>
          </w:p>
        </w:tc>
      </w:tr>
      <w:tr>
        <w:trPr/>
        <w:tc>
          <w:tcPr>
            <w:tcW w:w="4505" w:type="dxa"/>
            <w:tcBorders/>
            <w:shd w:fill="CCEEFF" w:val="clear"/>
            <w:tcMar>
              <w:bottom w:w="0" w:type="dxa"/>
            </w:tcMar>
            <w:vAlign w:val="bottom"/>
          </w:tcPr>
          <w:p>
            <w:pPr>
              <w:pStyle w:val="TableContents"/>
              <w:spacing w:before="0" w:after="0"/>
              <w:ind w:left="360" w:right="0" w:hanging="180"/>
              <w:rPr/>
            </w:pPr>
            <w:r>
              <w:rPr/>
              <w:t>Purchased options</w:t>
            </w:r>
          </w:p>
        </w:tc>
        <w:tc>
          <w:tcPr>
            <w:tcW w:w="60"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rPr/>
            </w:pPr>
            <w:r>
              <w:rPr/>
              <w:t> </w:t>
            </w:r>
          </w:p>
        </w:tc>
        <w:tc>
          <w:tcPr>
            <w:tcW w:w="691"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rPr/>
            </w:pPr>
            <w:r>
              <w:rPr/>
              <w:t> </w:t>
            </w:r>
          </w:p>
        </w:tc>
        <w:tc>
          <w:tcPr>
            <w:tcW w:w="65"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rPr/>
            </w:pPr>
            <w:r>
              <w:rPr/>
              <w:t> </w:t>
            </w:r>
          </w:p>
        </w:tc>
        <w:tc>
          <w:tcPr>
            <w:tcW w:w="61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47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0"/>
              <w:ind w:left="180" w:right="0" w:hanging="180"/>
              <w:rPr/>
            </w:pPr>
            <w:r>
              <w:rPr/>
              <w:t>Interest expense</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0"/>
              <w:jc w:val="right"/>
              <w:rPr/>
            </w:pPr>
            <w:r>
              <w:rPr/>
              <w:t>55</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635" w:type="dxa"/>
            <w:tcBorders/>
            <w:shd w:fill="CCEEFF" w:val="clear"/>
            <w:tcMar>
              <w:bottom w:w="0" w:type="dxa"/>
            </w:tcMar>
            <w:vAlign w:val="bottom"/>
          </w:tcPr>
          <w:p>
            <w:pPr>
              <w:pStyle w:val="TableContents"/>
              <w:spacing w:before="0" w:after="0"/>
              <w:jc w:val="right"/>
              <w:rPr/>
            </w:pPr>
            <w:r>
              <w:rPr/>
              <w:t>(99</w:t>
            </w:r>
          </w:p>
        </w:tc>
        <w:tc>
          <w:tcPr>
            <w:tcW w:w="110" w:type="dxa"/>
            <w:tcBorders/>
            <w:shd w:fill="CCEEFF" w:val="clear"/>
            <w:tcMar>
              <w:bottom w:w="0" w:type="dxa"/>
            </w:tcMar>
            <w:vAlign w:val="bottom"/>
          </w:tcPr>
          <w:p>
            <w:pPr>
              <w:pStyle w:val="TableContents"/>
              <w:spacing w:before="0" w:after="0"/>
              <w:rPr/>
            </w:pPr>
            <w:r>
              <w:rPr/>
              <w:t>)</w:t>
            </w:r>
          </w:p>
        </w:tc>
      </w:tr>
      <w:tr>
        <w:trPr/>
        <w:tc>
          <w:tcPr>
            <w:tcW w:w="4505" w:type="dxa"/>
            <w:tcBorders/>
            <w:shd w:fill="FFFFFF" w:val="clear"/>
            <w:tcMar>
              <w:bottom w:w="0" w:type="dxa"/>
            </w:tcMar>
            <w:vAlign w:val="bottom"/>
          </w:tcPr>
          <w:p>
            <w:pPr>
              <w:pStyle w:val="TableContents"/>
              <w:spacing w:before="0" w:after="0"/>
              <w:ind w:left="360" w:right="0" w:hanging="180"/>
              <w:rPr/>
            </w:pPr>
            <w:r>
              <w:rPr/>
              <w:t>Written options</w:t>
            </w:r>
          </w:p>
        </w:tc>
        <w:tc>
          <w:tcPr>
            <w:tcW w:w="60" w:type="dxa"/>
            <w:tcBorders/>
            <w:shd w:fill="FFFFFF" w:val="clear"/>
            <w:tcMar>
              <w:bottom w:w="0" w:type="dxa"/>
            </w:tcMar>
            <w:vAlign w:val="bottom"/>
          </w:tcPr>
          <w:p>
            <w:pPr>
              <w:pStyle w:val="TableContents"/>
              <w:spacing w:before="0" w:after="283"/>
              <w:rPr/>
            </w:pPr>
            <w:r>
              <w:rPr/>
              <w:t> </w:t>
            </w:r>
          </w:p>
        </w:tc>
        <w:tc>
          <w:tcPr>
            <w:tcW w:w="152" w:type="dxa"/>
            <w:tcBorders/>
            <w:shd w:fill="FFFFFF" w:val="clear"/>
            <w:tcMar>
              <w:bottom w:w="0" w:type="dxa"/>
            </w:tcMar>
            <w:vAlign w:val="bottom"/>
          </w:tcPr>
          <w:p>
            <w:pPr>
              <w:pStyle w:val="TableContents"/>
              <w:spacing w:before="0" w:after="283"/>
              <w:rPr/>
            </w:pPr>
            <w:r>
              <w:rPr/>
              <w:t> </w:t>
            </w:r>
          </w:p>
        </w:tc>
        <w:tc>
          <w:tcPr>
            <w:tcW w:w="691"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rPr/>
            </w:pPr>
            <w:r>
              <w:rPr/>
              <w:t> </w:t>
            </w:r>
          </w:p>
        </w:tc>
        <w:tc>
          <w:tcPr>
            <w:tcW w:w="65" w:type="dxa"/>
            <w:tcBorders/>
            <w:shd w:fill="FFFFFF" w:val="clear"/>
            <w:tcMar>
              <w:bottom w:w="0" w:type="dxa"/>
            </w:tcMar>
            <w:vAlign w:val="bottom"/>
          </w:tcPr>
          <w:p>
            <w:pPr>
              <w:pStyle w:val="TableContents"/>
              <w:spacing w:before="0" w:after="283"/>
              <w:rPr/>
            </w:pPr>
            <w:r>
              <w:rPr/>
              <w:t> </w:t>
            </w:r>
          </w:p>
        </w:tc>
        <w:tc>
          <w:tcPr>
            <w:tcW w:w="152" w:type="dxa"/>
            <w:tcBorders/>
            <w:shd w:fill="FFFFFF" w:val="clear"/>
            <w:tcMar>
              <w:bottom w:w="0" w:type="dxa"/>
            </w:tcMar>
            <w:vAlign w:val="bottom"/>
          </w:tcPr>
          <w:p>
            <w:pPr>
              <w:pStyle w:val="TableContents"/>
              <w:spacing w:before="0" w:after="283"/>
              <w:rPr/>
            </w:pPr>
            <w:r>
              <w:rPr/>
              <w:t> </w:t>
            </w:r>
          </w:p>
        </w:tc>
        <w:tc>
          <w:tcPr>
            <w:tcW w:w="61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65"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686"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rPr/>
            </w:pPr>
            <w:r>
              <w:rPr/>
              <w:t> </w:t>
            </w:r>
          </w:p>
        </w:tc>
        <w:tc>
          <w:tcPr>
            <w:tcW w:w="253" w:type="dxa"/>
            <w:tcBorders/>
            <w:shd w:fill="FFFFFF" w:val="clear"/>
            <w:tcMar>
              <w:bottom w:w="0" w:type="dxa"/>
            </w:tcMar>
            <w:vAlign w:val="bottom"/>
          </w:tcPr>
          <w:p>
            <w:pPr>
              <w:pStyle w:val="TableContents"/>
              <w:spacing w:before="0" w:after="283"/>
              <w:rPr/>
            </w:pPr>
            <w:r>
              <w:rPr/>
              <w:t> </w:t>
            </w:r>
          </w:p>
        </w:tc>
        <w:tc>
          <w:tcPr>
            <w:tcW w:w="472"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1535" w:type="dxa"/>
            <w:tcBorders/>
            <w:shd w:fill="FFFFFF" w:val="clear"/>
            <w:tcMar>
              <w:bottom w:w="0" w:type="dxa"/>
            </w:tcMar>
            <w:vAlign w:val="bottom"/>
          </w:tcPr>
          <w:p>
            <w:pPr>
              <w:pStyle w:val="TableContents"/>
              <w:spacing w:before="0" w:after="0"/>
              <w:ind w:left="180" w:right="0" w:hanging="180"/>
              <w:rPr/>
            </w:pPr>
            <w:r>
              <w:rPr/>
              <w:t>Interest expense</w:t>
            </w:r>
          </w:p>
        </w:tc>
        <w:tc>
          <w:tcPr>
            <w:tcW w:w="60" w:type="dxa"/>
            <w:tcBorders/>
            <w:shd w:fill="FFFFFF" w:val="clear"/>
            <w:tcMar>
              <w:bottom w:w="0" w:type="dxa"/>
            </w:tcMar>
            <w:vAlign w:val="bottom"/>
          </w:tcPr>
          <w:p>
            <w:pPr>
              <w:pStyle w:val="TableContents"/>
              <w:spacing w:before="0" w:after="283"/>
              <w:rPr/>
            </w:pPr>
            <w:r>
              <w:rPr/>
              <w:t> </w:t>
            </w:r>
          </w:p>
        </w:tc>
        <w:tc>
          <w:tcPr>
            <w:tcW w:w="140" w:type="dxa"/>
            <w:tcBorders>
              <w:bottom w:val="single" w:sz="12" w:space="0" w:color="000000"/>
            </w:tcBorders>
            <w:shd w:fill="FFFFFF" w:val="clear"/>
            <w:vAlign w:val="bottom"/>
          </w:tcPr>
          <w:p>
            <w:pPr>
              <w:pStyle w:val="TableContents"/>
              <w:spacing w:before="0" w:after="283"/>
              <w:rPr/>
            </w:pPr>
            <w:r>
              <w:rPr/>
              <w:t> </w:t>
            </w:r>
          </w:p>
        </w:tc>
        <w:tc>
          <w:tcPr>
            <w:tcW w:w="635" w:type="dxa"/>
            <w:tcBorders>
              <w:bottom w:val="single" w:sz="12" w:space="0" w:color="000000"/>
            </w:tcBorders>
            <w:shd w:fill="FFFFFF" w:val="clear"/>
            <w:vAlign w:val="bottom"/>
          </w:tcPr>
          <w:p>
            <w:pPr>
              <w:pStyle w:val="TableContents"/>
              <w:spacing w:before="0" w:after="0"/>
              <w:jc w:val="right"/>
              <w:rPr/>
            </w:pPr>
            <w:r>
              <w:rPr/>
              <w:t>(54</w:t>
            </w:r>
          </w:p>
        </w:tc>
        <w:tc>
          <w:tcPr>
            <w:tcW w:w="95" w:type="dxa"/>
            <w:tcBorders/>
            <w:shd w:fill="FFFFFF" w:val="clear"/>
            <w:tcMar>
              <w:bottom w:w="0" w:type="dxa"/>
            </w:tcMar>
            <w:vAlign w:val="bottom"/>
          </w:tcPr>
          <w:p>
            <w:pPr>
              <w:pStyle w:val="TableContents"/>
              <w:spacing w:before="0" w:after="0"/>
              <w:rPr/>
            </w:pPr>
            <w:r>
              <w:rPr/>
              <w:t>)</w:t>
            </w:r>
          </w:p>
        </w:tc>
        <w:tc>
          <w:tcPr>
            <w:tcW w:w="60" w:type="dxa"/>
            <w:tcBorders/>
            <w:shd w:fill="FFFFFF" w:val="clear"/>
            <w:tcMar>
              <w:bottom w:w="0" w:type="dxa"/>
            </w:tcMar>
            <w:vAlign w:val="bottom"/>
          </w:tcPr>
          <w:p>
            <w:pPr>
              <w:pStyle w:val="TableContents"/>
              <w:spacing w:before="0" w:after="283"/>
              <w:rPr/>
            </w:pPr>
            <w:r>
              <w:rPr/>
              <w:t> </w:t>
            </w:r>
          </w:p>
        </w:tc>
        <w:tc>
          <w:tcPr>
            <w:tcW w:w="140" w:type="dxa"/>
            <w:tcBorders>
              <w:bottom w:val="single" w:sz="12" w:space="0" w:color="000000"/>
            </w:tcBorders>
            <w:shd w:fill="FFFFFF" w:val="clear"/>
            <w:vAlign w:val="bottom"/>
          </w:tcPr>
          <w:p>
            <w:pPr>
              <w:pStyle w:val="TableContents"/>
              <w:spacing w:before="0" w:after="283"/>
              <w:rPr/>
            </w:pPr>
            <w:r>
              <w:rPr/>
              <w:t> </w:t>
            </w:r>
          </w:p>
        </w:tc>
        <w:tc>
          <w:tcPr>
            <w:tcW w:w="635" w:type="dxa"/>
            <w:tcBorders>
              <w:bottom w:val="single" w:sz="12" w:space="0" w:color="000000"/>
            </w:tcBorders>
            <w:shd w:fill="FFFFFF" w:val="clear"/>
            <w:vAlign w:val="bottom"/>
          </w:tcPr>
          <w:p>
            <w:pPr>
              <w:pStyle w:val="TableContents"/>
              <w:spacing w:before="0" w:after="0"/>
              <w:jc w:val="right"/>
              <w:rPr/>
            </w:pPr>
            <w:r>
              <w:rPr/>
              <w:t>99</w:t>
            </w:r>
          </w:p>
        </w:tc>
        <w:tc>
          <w:tcPr>
            <w:tcW w:w="110" w:type="dxa"/>
            <w:tcBorders/>
            <w:shd w:fill="FFFFFF" w:val="clear"/>
            <w:tcMar>
              <w:bottom w:w="0" w:type="dxa"/>
            </w:tcMar>
            <w:vAlign w:val="bottom"/>
          </w:tcPr>
          <w:p>
            <w:pPr>
              <w:pStyle w:val="TableContents"/>
              <w:spacing w:before="0" w:after="283"/>
              <w:rPr/>
            </w:pPr>
            <w:r>
              <w:rPr/>
              <w:t> </w:t>
            </w:r>
          </w:p>
        </w:tc>
      </w:tr>
      <w:tr>
        <w:trPr/>
        <w:tc>
          <w:tcPr>
            <w:tcW w:w="4505" w:type="dxa"/>
            <w:tcBorders/>
            <w:shd w:fill="CCEEFF" w:val="clear"/>
            <w:tcMar>
              <w:bottom w:w="0" w:type="dxa"/>
            </w:tcMar>
            <w:vAlign w:val="bottom"/>
          </w:tcPr>
          <w:p>
            <w:pPr>
              <w:pStyle w:val="TableContents"/>
              <w:spacing w:before="0" w:after="0"/>
              <w:ind w:left="540" w:right="0" w:hanging="180"/>
              <w:rPr/>
            </w:pPr>
            <w:r>
              <w:rPr/>
              <w:t>Total</w:t>
            </w:r>
          </w:p>
        </w:tc>
        <w:tc>
          <w:tcPr>
            <w:tcW w:w="60"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rPr/>
            </w:pPr>
            <w:r>
              <w:rPr/>
              <w:t> </w:t>
            </w:r>
          </w:p>
        </w:tc>
        <w:tc>
          <w:tcPr>
            <w:tcW w:w="691"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rPr/>
            </w:pPr>
            <w:r>
              <w:rPr/>
              <w:t> </w:t>
            </w:r>
          </w:p>
        </w:tc>
        <w:tc>
          <w:tcPr>
            <w:tcW w:w="65" w:type="dxa"/>
            <w:tcBorders/>
            <w:shd w:fill="CCEEFF" w:val="clear"/>
            <w:tcMar>
              <w:bottom w:w="0" w:type="dxa"/>
            </w:tcMar>
            <w:vAlign w:val="bottom"/>
          </w:tcPr>
          <w:p>
            <w:pPr>
              <w:pStyle w:val="TableContents"/>
              <w:spacing w:before="0" w:after="283"/>
              <w:rPr/>
            </w:pPr>
            <w:r>
              <w:rPr/>
              <w:t> </w:t>
            </w:r>
          </w:p>
        </w:tc>
        <w:tc>
          <w:tcPr>
            <w:tcW w:w="152" w:type="dxa"/>
            <w:tcBorders/>
            <w:shd w:fill="CCEEFF" w:val="clear"/>
            <w:tcMar>
              <w:bottom w:w="0" w:type="dxa"/>
            </w:tcMar>
            <w:vAlign w:val="bottom"/>
          </w:tcPr>
          <w:p>
            <w:pPr>
              <w:pStyle w:val="TableContents"/>
              <w:spacing w:before="0" w:after="283"/>
              <w:rPr/>
            </w:pPr>
            <w:r>
              <w:rPr/>
              <w:t> </w:t>
            </w:r>
          </w:p>
        </w:tc>
        <w:tc>
          <w:tcPr>
            <w:tcW w:w="61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6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686" w:type="dxa"/>
            <w:tcBorders/>
            <w:shd w:fill="CCEEFF" w:val="clear"/>
            <w:tcMar>
              <w:bottom w:w="0" w:type="dxa"/>
            </w:tcMar>
            <w:vAlign w:val="bottom"/>
          </w:tcPr>
          <w:p>
            <w:pPr>
              <w:pStyle w:val="TableContents"/>
              <w:spacing w:before="0" w:after="283"/>
              <w:jc w:val="right"/>
              <w:rPr/>
            </w:pPr>
            <w:r>
              <w:rPr/>
              <w:t> </w:t>
            </w:r>
          </w:p>
        </w:tc>
        <w:tc>
          <w:tcPr>
            <w:tcW w:w="108"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rPr/>
            </w:pPr>
            <w:r>
              <w:rPr/>
              <w:t> </w:t>
            </w:r>
          </w:p>
        </w:tc>
        <w:tc>
          <w:tcPr>
            <w:tcW w:w="253" w:type="dxa"/>
            <w:tcBorders/>
            <w:shd w:fill="CCEEFF" w:val="clear"/>
            <w:tcMar>
              <w:bottom w:w="0" w:type="dxa"/>
            </w:tcMar>
            <w:vAlign w:val="bottom"/>
          </w:tcPr>
          <w:p>
            <w:pPr>
              <w:pStyle w:val="TableContents"/>
              <w:spacing w:before="0" w:after="283"/>
              <w:rPr/>
            </w:pPr>
            <w:r>
              <w:rPr/>
              <w:t> </w:t>
            </w:r>
          </w:p>
        </w:tc>
        <w:tc>
          <w:tcPr>
            <w:tcW w:w="472"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15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635" w:type="dxa"/>
            <w:tcBorders>
              <w:bottom w:val="double" w:sz="8" w:space="0" w:color="000000"/>
            </w:tcBorders>
            <w:shd w:fill="CCEEFF" w:val="clear"/>
            <w:vAlign w:val="bottom"/>
          </w:tcPr>
          <w:p>
            <w:pPr>
              <w:pStyle w:val="TableContents"/>
              <w:spacing w:before="0" w:after="0"/>
              <w:jc w:val="right"/>
              <w:rPr/>
            </w:pPr>
            <w:r>
              <w:rPr/>
              <w:t>1,510</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635" w:type="dxa"/>
            <w:tcBorders>
              <w:bottom w:val="double" w:sz="8" w:space="0" w:color="000000"/>
            </w:tcBorders>
            <w:shd w:fill="CCEEFF" w:val="clear"/>
            <w:vAlign w:val="bottom"/>
          </w:tcPr>
          <w:p>
            <w:pPr>
              <w:pStyle w:val="TableContents"/>
              <w:spacing w:before="0" w:after="0"/>
              <w:jc w:val="right"/>
              <w:rPr/>
            </w:pPr>
            <w:r>
              <w:rPr/>
              <w:t>438</w:t>
            </w:r>
          </w:p>
        </w:tc>
        <w:tc>
          <w:tcPr>
            <w:tcW w:w="110" w:type="dxa"/>
            <w:tcBorders/>
            <w:shd w:fill="CCEEFF" w:val="clear"/>
            <w:tcMar>
              <w:bottom w:w="0" w:type="dxa"/>
            </w:tcM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388" w:name="z804370b6552a4ebebce3611650289164"/>
      <w:bookmarkStart w:id="389" w:name="z804370b6552a4ebebce3611650289164"/>
      <w:bookmarkEnd w:id="389"/>
    </w:p>
    <w:tbl>
      <w:tblPr>
        <w:tblW w:w="7870" w:type="dxa"/>
        <w:jc w:val="left"/>
        <w:tblInd w:w="0" w:type="dxa"/>
        <w:tblCellMar>
          <w:top w:w="0" w:type="dxa"/>
          <w:left w:w="0" w:type="dxa"/>
          <w:bottom w:w="0" w:type="dxa"/>
          <w:right w:w="0" w:type="dxa"/>
        </w:tblCellMar>
      </w:tblPr>
      <w:tblGrid>
        <w:gridCol w:w="305"/>
        <w:gridCol w:w="7565"/>
      </w:tblGrid>
      <w:tr>
        <w:trPr/>
        <w:tc>
          <w:tcPr>
            <w:tcW w:w="305" w:type="dxa"/>
            <w:tcBorders/>
            <w:shd w:fill="auto" w:val="clear"/>
            <w:vAlign w:val="center"/>
          </w:tcPr>
          <w:p>
            <w:pPr>
              <w:pStyle w:val="TableContents"/>
              <w:spacing w:before="0" w:after="0"/>
              <w:rPr/>
            </w:pPr>
            <w:r>
              <w:rPr/>
              <w:t>(1)</w:t>
            </w:r>
          </w:p>
        </w:tc>
        <w:tc>
          <w:tcPr>
            <w:tcW w:w="7565" w:type="dxa"/>
            <w:tcBorders/>
            <w:shd w:fill="auto" w:val="clear"/>
            <w:vAlign w:val="center"/>
          </w:tcPr>
          <w:p>
            <w:pPr>
              <w:pStyle w:val="TableContents"/>
              <w:spacing w:before="0" w:after="0"/>
              <w:rPr/>
            </w:pPr>
            <w:r>
              <w:rPr/>
              <w:t> </w:t>
            </w:r>
            <w:r>
              <w:rPr/>
              <w:t>For cash flow hedges, this location and amount refers to the ineffective portion.</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90" w:name="DSPFPageBreakArea37"/>
      <w:bookmarkStart w:id="391" w:name="DSPFPageBreakArea37"/>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392" w:name="DSPFPageNumber37"/>
      <w:bookmarkStart w:id="393" w:name="DSPFPageNumberArea36"/>
      <w:bookmarkEnd w:id="392"/>
      <w:bookmarkEnd w:id="393"/>
      <w:r>
        <w:rPr>
          <w:b w:val="false"/>
          <w:i w:val="false"/>
          <w:caps w:val="false"/>
          <w:smallCaps w:val="false"/>
          <w:sz w:val="13"/>
        </w:rPr>
        <w:t>38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94" w:name="DSPFPageBreak37"/>
      <w:bookmarkStart w:id="395" w:name="DSPFPageBreak37"/>
      <w:bookmarkEnd w:id="3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396" w:name="DSPFPageHeader36"/>
        <w:bookmarkEnd w:id="396"/>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 xml:space="preserve">7.    </w:t>
      </w:r>
      <w:r>
        <w:rPr>
          <w:u w:val="single"/>
        </w:rPr>
        <w:t>Goodwill and other Intangibles</w:t>
      </w:r>
    </w:p>
    <w:p>
      <w:pPr>
        <w:pStyle w:val="TextBody"/>
        <w:spacing w:before="0" w:after="0"/>
        <w:rPr/>
      </w:pPr>
      <w:r>
        <w:rPr/>
      </w:r>
    </w:p>
    <w:p>
      <w:pPr>
        <w:pStyle w:val="TextBody"/>
        <w:spacing w:before="0" w:after="0"/>
        <w:jc w:val="both"/>
        <w:rPr/>
      </w:pPr>
      <w:r>
        <w:rPr/>
        <w:t>The following table summarizes intangible assets, net of amortization:</w:t>
      </w:r>
    </w:p>
    <w:p>
      <w:pPr>
        <w:pStyle w:val="TextBody"/>
        <w:spacing w:before="0" w:after="0"/>
        <w:rPr/>
      </w:pPr>
      <w:r>
        <w:rPr/>
      </w:r>
    </w:p>
    <w:p>
      <w:pPr>
        <w:pStyle w:val="Normal"/>
        <w:spacing w:before="0" w:after="0"/>
        <w:rPr>
          <w:sz w:val="4"/>
          <w:szCs w:val="4"/>
        </w:rPr>
      </w:pPr>
      <w:r>
        <w:rPr>
          <w:sz w:val="4"/>
          <w:szCs w:val="4"/>
        </w:rPr>
      </w:r>
      <w:bookmarkStart w:id="397" w:name="zb24bb903a2ea4df8a06264c3295be211"/>
      <w:bookmarkStart w:id="398" w:name="zb24bb903a2ea4df8a06264c3295be211"/>
      <w:bookmarkEnd w:id="398"/>
    </w:p>
    <w:tbl>
      <w:tblPr>
        <w:tblW w:w="8934" w:type="dxa"/>
        <w:jc w:val="left"/>
        <w:tblInd w:w="0" w:type="dxa"/>
        <w:tblCellMar>
          <w:top w:w="0" w:type="dxa"/>
          <w:left w:w="0" w:type="dxa"/>
          <w:bottom w:w="0" w:type="dxa"/>
          <w:right w:w="0" w:type="dxa"/>
        </w:tblCellMar>
      </w:tblPr>
      <w:tblGrid>
        <w:gridCol w:w="4055"/>
        <w:gridCol w:w="60"/>
        <w:gridCol w:w="146"/>
        <w:gridCol w:w="714"/>
        <w:gridCol w:w="60"/>
        <w:gridCol w:w="60"/>
        <w:gridCol w:w="256"/>
        <w:gridCol w:w="1024"/>
        <w:gridCol w:w="60"/>
        <w:gridCol w:w="60"/>
        <w:gridCol w:w="161"/>
        <w:gridCol w:w="785"/>
        <w:gridCol w:w="69"/>
        <w:gridCol w:w="69"/>
        <w:gridCol w:w="254"/>
        <w:gridCol w:w="1026"/>
        <w:gridCol w:w="75"/>
      </w:tblGrid>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60" w:type="dxa"/>
            <w:gridSpan w:val="6"/>
            <w:tcBorders>
              <w:bottom w:val="single" w:sz="12" w:space="0" w:color="000000"/>
            </w:tcBorders>
            <w:shd w:fill="auto" w:val="clear"/>
            <w:tcMar>
              <w:bottom w:w="28" w:type="dxa"/>
            </w:tcMar>
            <w:vAlign w:val="bottom"/>
          </w:tcPr>
          <w:p>
            <w:pPr>
              <w:pStyle w:val="TableContents"/>
              <w:spacing w:before="0" w:after="0"/>
              <w:jc w:val="center"/>
              <w:rPr/>
            </w:pPr>
            <w:r>
              <w:rPr/>
              <w:t>June 30, 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64" w:type="dxa"/>
            <w:gridSpan w:val="6"/>
            <w:tcBorders>
              <w:bottom w:val="single" w:sz="12" w:space="0" w:color="000000"/>
            </w:tcBorders>
            <w:shd w:fill="auto" w:val="clear"/>
            <w:tcMar>
              <w:bottom w:w="28" w:type="dxa"/>
            </w:tcMar>
            <w:vAlign w:val="bottom"/>
          </w:tcPr>
          <w:p>
            <w:pPr>
              <w:pStyle w:val="TableContents"/>
              <w:spacing w:before="0" w:after="0"/>
              <w:jc w:val="center"/>
              <w:rPr/>
            </w:pPr>
            <w:r>
              <w:rPr/>
              <w:t>December 31, 2018</w:t>
            </w:r>
          </w:p>
        </w:tc>
        <w:tc>
          <w:tcPr>
            <w:tcW w:w="75" w:type="dxa"/>
            <w:tcBorders/>
            <w:shd w:fill="auto" w:val="clear"/>
            <w:vAlign w:val="bottom"/>
          </w:tcPr>
          <w:p>
            <w:pPr>
              <w:pStyle w:val="TableContents"/>
              <w:spacing w:before="0" w:after="283"/>
              <w:rPr/>
            </w:pPr>
            <w:r>
              <w:rPr/>
              <w:t> </w:t>
            </w:r>
          </w:p>
        </w:tc>
      </w:tr>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pPr>
            <w:r>
              <w:rPr/>
              <w:t>Gross</w:t>
            </w:r>
          </w:p>
          <w:p>
            <w:pPr>
              <w:pStyle w:val="TableContents"/>
              <w:spacing w:before="0" w:after="0"/>
              <w:jc w:val="center"/>
              <w:rPr/>
            </w:pPr>
            <w:r>
              <w:rPr/>
              <w:t>Carrying</w:t>
            </w:r>
          </w:p>
          <w:p>
            <w:pPr>
              <w:pStyle w:val="TableContents"/>
              <w:spacing w:before="0" w:after="0"/>
              <w:jc w:val="center"/>
              <w:rPr/>
            </w:pPr>
            <w:r>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bottom"/>
          </w:tcPr>
          <w:p>
            <w:pPr>
              <w:pStyle w:val="TableContents"/>
              <w:spacing w:before="0" w:after="0"/>
              <w:jc w:val="center"/>
              <w:rPr/>
            </w:pPr>
            <w:r>
              <w:rPr/>
              <w:t>Accumulated</w:t>
            </w:r>
          </w:p>
          <w:p>
            <w:pPr>
              <w:pStyle w:val="TableContents"/>
              <w:spacing w:before="0" w:after="0"/>
              <w:jc w:val="center"/>
              <w:rPr/>
            </w:pPr>
            <w:r>
              <w:rPr/>
              <w:t>Amortization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6" w:type="dxa"/>
            <w:gridSpan w:val="2"/>
            <w:tcBorders>
              <w:bottom w:val="single" w:sz="12" w:space="0" w:color="000000"/>
            </w:tcBorders>
            <w:shd w:fill="auto" w:val="clear"/>
            <w:tcMar>
              <w:bottom w:w="28" w:type="dxa"/>
            </w:tcMar>
            <w:vAlign w:val="bottom"/>
          </w:tcPr>
          <w:p>
            <w:pPr>
              <w:pStyle w:val="TableContents"/>
              <w:spacing w:before="0" w:after="0"/>
              <w:jc w:val="center"/>
              <w:rPr/>
            </w:pPr>
            <w:r>
              <w:rPr/>
              <w:t>Gross</w:t>
            </w:r>
          </w:p>
          <w:p>
            <w:pPr>
              <w:pStyle w:val="TableContents"/>
              <w:spacing w:before="0" w:after="0"/>
              <w:jc w:val="center"/>
              <w:rPr/>
            </w:pPr>
            <w:r>
              <w:rPr/>
              <w:t>Carrying</w:t>
            </w:r>
          </w:p>
          <w:p>
            <w:pPr>
              <w:pStyle w:val="TableContents"/>
              <w:spacing w:before="0" w:after="0"/>
              <w:jc w:val="center"/>
              <w:rPr/>
            </w:pPr>
            <w:r>
              <w:rPr/>
              <w:t>Amount</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bottom"/>
          </w:tcPr>
          <w:p>
            <w:pPr>
              <w:pStyle w:val="TableContents"/>
              <w:spacing w:before="0" w:after="0"/>
              <w:jc w:val="center"/>
              <w:rPr/>
            </w:pPr>
            <w:r>
              <w:rPr/>
              <w:t>Accumulated</w:t>
            </w:r>
          </w:p>
          <w:p>
            <w:pPr>
              <w:pStyle w:val="TableContents"/>
              <w:spacing w:before="0" w:after="0"/>
              <w:jc w:val="center"/>
              <w:rPr/>
            </w:pPr>
            <w:r>
              <w:rPr/>
              <w:t>Amortization</w:t>
            </w:r>
          </w:p>
        </w:tc>
        <w:tc>
          <w:tcPr>
            <w:tcW w:w="75" w:type="dxa"/>
            <w:tcBorders/>
            <w:shd w:fill="auto" w:val="clear"/>
            <w:vAlign w:val="bottom"/>
          </w:tcPr>
          <w:p>
            <w:pPr>
              <w:pStyle w:val="TableContents"/>
              <w:spacing w:before="0" w:after="283"/>
              <w:rPr/>
            </w:pPr>
            <w:r>
              <w:rPr/>
              <w:t> </w:t>
            </w:r>
          </w:p>
        </w:tc>
      </w:tr>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44" w:type="dxa"/>
            <w:gridSpan w:val="14"/>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6" w:type="dxa"/>
            <w:gridSpan w:val="2"/>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128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055" w:type="dxa"/>
            <w:tcBorders/>
            <w:shd w:fill="CCEEFF" w:val="clear"/>
            <w:vAlign w:val="bottom"/>
          </w:tcPr>
          <w:p>
            <w:pPr>
              <w:pStyle w:val="TableContents"/>
              <w:spacing w:before="0" w:after="0"/>
              <w:ind w:left="144" w:right="0" w:hanging="144"/>
              <w:rPr/>
            </w:pPr>
            <w:r>
              <w:rPr/>
              <w:t>Amortized intangible assets - core deposits</w:t>
            </w:r>
          </w:p>
        </w:tc>
        <w:tc>
          <w:tcPr>
            <w:tcW w:w="60" w:type="dxa"/>
            <w:tcBorders/>
            <w:shd w:fill="CCEEFF" w:val="clear"/>
            <w:vAlign w:val="bottom"/>
          </w:tcPr>
          <w:p>
            <w:pPr>
              <w:pStyle w:val="TableContents"/>
              <w:spacing w:before="0" w:after="283"/>
              <w:rPr/>
            </w:pPr>
            <w:r>
              <w:rPr/>
              <w:t> </w:t>
            </w:r>
          </w:p>
        </w:tc>
        <w:tc>
          <w:tcPr>
            <w:tcW w:w="146" w:type="dxa"/>
            <w:tcBorders>
              <w:bottom w:val="double" w:sz="8" w:space="0" w:color="000000"/>
            </w:tcBorders>
            <w:shd w:fill="CCEEFF" w:val="clear"/>
            <w:tcMar>
              <w:bottom w:w="28" w:type="dxa"/>
            </w:tcMar>
            <w:vAlign w:val="bottom"/>
          </w:tcPr>
          <w:p>
            <w:pPr>
              <w:pStyle w:val="TableContents"/>
              <w:spacing w:before="0" w:after="0"/>
              <w:rPr/>
            </w:pPr>
            <w:r>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pPr>
            <w:r>
              <w:rPr/>
              <w:t>11,916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bottom w:val="double" w:sz="8" w:space="0" w:color="000000"/>
            </w:tcBorders>
            <w:shd w:fill="CCEEFF" w:val="clear"/>
            <w:tcMar>
              <w:bottom w:w="28" w:type="dxa"/>
            </w:tcMar>
            <w:vAlign w:val="bottom"/>
          </w:tcPr>
          <w:p>
            <w:pPr>
              <w:pStyle w:val="TableContents"/>
              <w:spacing w:before="0" w:after="0"/>
              <w:rPr/>
            </w:pPr>
            <w:r>
              <w:rPr/>
              <w:t>$</w:t>
            </w:r>
          </w:p>
        </w:tc>
        <w:tc>
          <w:tcPr>
            <w:tcW w:w="1024" w:type="dxa"/>
            <w:tcBorders>
              <w:bottom w:val="double" w:sz="8" w:space="0" w:color="000000"/>
            </w:tcBorders>
            <w:shd w:fill="CCEEFF" w:val="clear"/>
            <w:tcMar>
              <w:bottom w:w="28" w:type="dxa"/>
            </w:tcMar>
            <w:vAlign w:val="bottom"/>
          </w:tcPr>
          <w:p>
            <w:pPr>
              <w:pStyle w:val="TableContents"/>
              <w:spacing w:before="0" w:after="0"/>
              <w:jc w:val="right"/>
              <w:rPr/>
            </w:pPr>
            <w:r>
              <w:rPr/>
              <w:t>6,046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1" w:type="dxa"/>
            <w:tcBorders>
              <w:bottom w:val="double" w:sz="8" w:space="0" w:color="000000"/>
            </w:tcBorders>
            <w:shd w:fill="CCEEFF" w:val="clear"/>
            <w:tcMar>
              <w:bottom w:w="28" w:type="dxa"/>
            </w:tcMar>
            <w:vAlign w:val="bottom"/>
          </w:tcPr>
          <w:p>
            <w:pPr>
              <w:pStyle w:val="TableContents"/>
              <w:spacing w:before="0" w:after="0"/>
              <w:rPr/>
            </w:pPr>
            <w:r>
              <w:rPr/>
              <w:t>$</w:t>
            </w:r>
          </w:p>
        </w:tc>
        <w:tc>
          <w:tcPr>
            <w:tcW w:w="785" w:type="dxa"/>
            <w:tcBorders>
              <w:bottom w:val="double" w:sz="8" w:space="0" w:color="000000"/>
            </w:tcBorders>
            <w:shd w:fill="CCEEFF" w:val="clear"/>
            <w:tcMar>
              <w:bottom w:w="28" w:type="dxa"/>
            </w:tcMar>
            <w:vAlign w:val="bottom"/>
          </w:tcPr>
          <w:p>
            <w:pPr>
              <w:pStyle w:val="TableContents"/>
              <w:spacing w:before="0" w:after="0"/>
              <w:jc w:val="right"/>
              <w:rPr/>
            </w:pPr>
            <w:r>
              <w:rPr/>
              <w:t>11,916</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254" w:type="dxa"/>
            <w:tcBorders>
              <w:bottom w:val="double" w:sz="8" w:space="0" w:color="000000"/>
            </w:tcBorders>
            <w:shd w:fill="CCEEFF" w:val="clear"/>
            <w:tcMar>
              <w:bottom w:w="28" w:type="dxa"/>
            </w:tcMar>
            <w:vAlign w:val="bottom"/>
          </w:tcPr>
          <w:p>
            <w:pPr>
              <w:pStyle w:val="TableContents"/>
              <w:spacing w:before="0" w:after="0"/>
              <w:rPr/>
            </w:pPr>
            <w:r>
              <w:rPr/>
              <w:t>$</w:t>
            </w:r>
          </w:p>
        </w:tc>
        <w:tc>
          <w:tcPr>
            <w:tcW w:w="1026" w:type="dxa"/>
            <w:tcBorders>
              <w:bottom w:val="double" w:sz="8" w:space="0" w:color="000000"/>
            </w:tcBorders>
            <w:shd w:fill="CCEEFF" w:val="clear"/>
            <w:tcMar>
              <w:bottom w:w="28" w:type="dxa"/>
            </w:tcMar>
            <w:vAlign w:val="bottom"/>
          </w:tcPr>
          <w:p>
            <w:pPr>
              <w:pStyle w:val="TableContents"/>
              <w:spacing w:before="0" w:after="0"/>
              <w:jc w:val="right"/>
              <w:rPr/>
            </w:pPr>
            <w:r>
              <w:rPr/>
              <w:t>5,501</w:t>
            </w:r>
          </w:p>
        </w:tc>
        <w:tc>
          <w:tcPr>
            <w:tcW w:w="75" w:type="dxa"/>
            <w:tcBorders/>
            <w:shd w:fill="CCEEFF" w:val="clear"/>
            <w:vAlign w:val="bottom"/>
          </w:tcPr>
          <w:p>
            <w:pPr>
              <w:pStyle w:val="TableContents"/>
              <w:spacing w:before="0" w:after="283"/>
              <w:rPr/>
            </w:pPr>
            <w:r>
              <w:rPr/>
              <w:t> </w:t>
            </w:r>
          </w:p>
        </w:tc>
      </w:tr>
      <w:tr>
        <w:trPr/>
        <w:tc>
          <w:tcPr>
            <w:tcW w:w="4055" w:type="dxa"/>
            <w:tcBorders/>
            <w:shd w:fill="FFFFFF" w:val="clear"/>
            <w:vAlign w:val="bottom"/>
          </w:tcPr>
          <w:p>
            <w:pPr>
              <w:pStyle w:val="TableContents"/>
              <w:spacing w:before="0" w:after="0"/>
              <w:ind w:left="144" w:right="0" w:hanging="144"/>
              <w:rPr/>
            </w:pPr>
            <w:r>
              <w:rPr/>
              <w:t>Unamortized intangible assets - goodwill</w:t>
            </w:r>
          </w:p>
        </w:tc>
        <w:tc>
          <w:tcPr>
            <w:tcW w:w="60" w:type="dxa"/>
            <w:tcBorders/>
            <w:shd w:fill="FFFFFF" w:val="clear"/>
            <w:vAlign w:val="bottom"/>
          </w:tcPr>
          <w:p>
            <w:pPr>
              <w:pStyle w:val="TableContents"/>
              <w:spacing w:before="0" w:after="283"/>
              <w:rPr/>
            </w:pPr>
            <w:r>
              <w:rPr/>
              <w:t> </w:t>
            </w:r>
          </w:p>
        </w:tc>
        <w:tc>
          <w:tcPr>
            <w:tcW w:w="146" w:type="dxa"/>
            <w:tcBorders>
              <w:bottom w:val="double" w:sz="8" w:space="0" w:color="000000"/>
            </w:tcBorders>
            <w:shd w:fill="FFFFFF" w:val="clear"/>
            <w:tcMar>
              <w:bottom w:w="28" w:type="dxa"/>
            </w:tcMar>
            <w:vAlign w:val="bottom"/>
          </w:tcPr>
          <w:p>
            <w:pPr>
              <w:pStyle w:val="TableContents"/>
              <w:spacing w:before="0" w:after="0"/>
              <w:rPr/>
            </w:pPr>
            <w:r>
              <w:rPr/>
              <w:t>$</w:t>
            </w:r>
          </w:p>
        </w:tc>
        <w:tc>
          <w:tcPr>
            <w:tcW w:w="714" w:type="dxa"/>
            <w:tcBorders>
              <w:bottom w:val="double" w:sz="8" w:space="0" w:color="000000"/>
            </w:tcBorders>
            <w:shd w:fill="FFFFFF" w:val="clear"/>
            <w:tcMar>
              <w:bottom w:w="28" w:type="dxa"/>
            </w:tcMar>
            <w:vAlign w:val="bottom"/>
          </w:tcPr>
          <w:p>
            <w:pPr>
              <w:pStyle w:val="TableContents"/>
              <w:spacing w:before="0" w:after="0"/>
              <w:jc w:val="right"/>
              <w:rPr/>
            </w:pPr>
            <w:r>
              <w:rPr/>
              <w:t>28,300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56" w:type="dxa"/>
            <w:tcBorders/>
            <w:shd w:fill="FFFFFF" w:val="clear"/>
            <w:vAlign w:val="bottom"/>
          </w:tcPr>
          <w:p>
            <w:pPr>
              <w:pStyle w:val="TableContents"/>
              <w:spacing w:before="0" w:after="283"/>
              <w:rPr/>
            </w:pPr>
            <w:r>
              <w:rPr/>
              <w:t> </w:t>
            </w:r>
          </w:p>
        </w:tc>
        <w:tc>
          <w:tcPr>
            <w:tcW w:w="102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1" w:type="dxa"/>
            <w:tcBorders>
              <w:bottom w:val="double" w:sz="8" w:space="0" w:color="000000"/>
            </w:tcBorders>
            <w:shd w:fill="FFFFFF" w:val="clear"/>
            <w:tcMar>
              <w:bottom w:w="28" w:type="dxa"/>
            </w:tcMar>
            <w:vAlign w:val="bottom"/>
          </w:tcPr>
          <w:p>
            <w:pPr>
              <w:pStyle w:val="TableContents"/>
              <w:spacing w:before="0" w:after="0"/>
              <w:rPr/>
            </w:pPr>
            <w:r>
              <w:rPr/>
              <w:t>$</w:t>
            </w:r>
          </w:p>
        </w:tc>
        <w:tc>
          <w:tcPr>
            <w:tcW w:w="785" w:type="dxa"/>
            <w:tcBorders>
              <w:bottom w:val="double" w:sz="8" w:space="0" w:color="000000"/>
            </w:tcBorders>
            <w:shd w:fill="FFFFFF" w:val="clear"/>
            <w:tcMar>
              <w:bottom w:w="28" w:type="dxa"/>
            </w:tcMar>
            <w:vAlign w:val="bottom"/>
          </w:tcPr>
          <w:p>
            <w:pPr>
              <w:pStyle w:val="TableContents"/>
              <w:spacing w:before="0" w:after="0"/>
              <w:jc w:val="right"/>
              <w:rPr/>
            </w:pPr>
            <w:r>
              <w:rPr/>
              <w:t>28,300</w:t>
            </w:r>
          </w:p>
        </w:tc>
        <w:tc>
          <w:tcPr>
            <w:tcW w:w="69" w:type="dxa"/>
            <w:tcBorders/>
            <w:shd w:fill="FFFFFF" w:val="clear"/>
            <w:vAlign w:val="bottom"/>
          </w:tcPr>
          <w:p>
            <w:pPr>
              <w:pStyle w:val="TableContents"/>
              <w:spacing w:before="0" w:after="283"/>
              <w:rPr/>
            </w:pPr>
            <w:r>
              <w:rPr/>
              <w:t> </w:t>
            </w:r>
          </w:p>
        </w:tc>
        <w:tc>
          <w:tcPr>
            <w:tcW w:w="69" w:type="dxa"/>
            <w:tcBorders/>
            <w:shd w:fill="FFFFFF" w:val="clear"/>
            <w:vAlign w:val="bottom"/>
          </w:tcPr>
          <w:p>
            <w:pPr>
              <w:pStyle w:val="TableContents"/>
              <w:spacing w:before="0" w:after="283"/>
              <w:rPr/>
            </w:pPr>
            <w:r>
              <w:rPr/>
              <w:t> </w:t>
            </w:r>
          </w:p>
        </w:tc>
        <w:tc>
          <w:tcPr>
            <w:tcW w:w="254" w:type="dxa"/>
            <w:tcBorders/>
            <w:shd w:fill="FFFFFF" w:val="clear"/>
            <w:vAlign w:val="bottom"/>
          </w:tcPr>
          <w:p>
            <w:pPr>
              <w:pStyle w:val="TableContents"/>
              <w:spacing w:before="0" w:after="283"/>
              <w:rPr/>
            </w:pPr>
            <w:r>
              <w:rPr/>
              <w:t> </w:t>
            </w:r>
          </w:p>
        </w:tc>
        <w:tc>
          <w:tcPr>
            <w:tcW w:w="1026"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A summary of estimated core deposit intangible amortization at June 30, 2019 follows:</w:t>
      </w:r>
    </w:p>
    <w:p>
      <w:pPr>
        <w:pStyle w:val="TextBody"/>
        <w:spacing w:before="0" w:after="0"/>
        <w:rPr/>
      </w:pPr>
      <w:r>
        <w:rPr/>
      </w:r>
    </w:p>
    <w:p>
      <w:pPr>
        <w:pStyle w:val="Normal"/>
        <w:spacing w:before="0" w:after="0"/>
        <w:rPr>
          <w:sz w:val="4"/>
          <w:szCs w:val="4"/>
        </w:rPr>
      </w:pPr>
      <w:r>
        <w:rPr>
          <w:sz w:val="4"/>
          <w:szCs w:val="4"/>
        </w:rPr>
      </w:r>
      <w:bookmarkStart w:id="399" w:name="z0a66efa3741b41ecbef7dee1d3e1d386"/>
      <w:bookmarkStart w:id="400" w:name="z0a66efa3741b41ecbef7dee1d3e1d386"/>
      <w:bookmarkEnd w:id="400"/>
    </w:p>
    <w:tbl>
      <w:tblPr>
        <w:tblW w:w="5245" w:type="dxa"/>
        <w:jc w:val="left"/>
        <w:tblInd w:w="0" w:type="dxa"/>
        <w:tblCellMar>
          <w:top w:w="0" w:type="dxa"/>
          <w:left w:w="0" w:type="dxa"/>
          <w:bottom w:w="0" w:type="dxa"/>
          <w:right w:w="0" w:type="dxa"/>
        </w:tblCellMar>
      </w:tblPr>
      <w:tblGrid>
        <w:gridCol w:w="3740"/>
        <w:gridCol w:w="60"/>
        <w:gridCol w:w="274"/>
        <w:gridCol w:w="1096"/>
        <w:gridCol w:w="75"/>
      </w:tblGrid>
      <w:tr>
        <w:trPr/>
        <w:tc>
          <w:tcPr>
            <w:tcW w:w="3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0"/>
              <w:jc w:val="right"/>
              <w:rPr/>
            </w:pPr>
            <w:r>
              <w:rPr/>
              <w:t>(In thousands)</w:t>
            </w:r>
          </w:p>
        </w:tc>
        <w:tc>
          <w:tcPr>
            <w:tcW w:w="75" w:type="dxa"/>
            <w:tcBorders/>
            <w:shd w:fill="auto" w:val="clear"/>
            <w:vAlign w:val="bottom"/>
          </w:tcPr>
          <w:p>
            <w:pPr>
              <w:pStyle w:val="TableContents"/>
              <w:spacing w:before="0" w:after="283"/>
              <w:rPr/>
            </w:pPr>
            <w:r>
              <w:rPr/>
              <w:t> </w:t>
            </w:r>
          </w:p>
        </w:tc>
      </w:tr>
      <w:tr>
        <w:trPr/>
        <w:tc>
          <w:tcPr>
            <w:tcW w:w="3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3740" w:type="dxa"/>
            <w:tcBorders/>
            <w:shd w:fill="CCEEFF" w:val="clear"/>
            <w:vAlign w:val="bottom"/>
          </w:tcPr>
          <w:p>
            <w:pPr>
              <w:pStyle w:val="TableContents"/>
              <w:spacing w:before="0" w:after="0"/>
              <w:rPr/>
            </w:pPr>
            <w:r>
              <w:rPr/>
              <w:t>Six months ending December 31, 2019</w:t>
            </w:r>
          </w:p>
        </w:tc>
        <w:tc>
          <w:tcPr>
            <w:tcW w:w="6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0"/>
              <w:rPr/>
            </w:pPr>
            <w:r>
              <w:rPr/>
              <w:t>$</w:t>
            </w:r>
          </w:p>
        </w:tc>
        <w:tc>
          <w:tcPr>
            <w:tcW w:w="1096" w:type="dxa"/>
            <w:tcBorders/>
            <w:shd w:fill="CCEEFF" w:val="clear"/>
            <w:vAlign w:val="bottom"/>
          </w:tcPr>
          <w:p>
            <w:pPr>
              <w:pStyle w:val="TableContents"/>
              <w:spacing w:before="0" w:after="0"/>
              <w:jc w:val="right"/>
              <w:rPr/>
            </w:pPr>
            <w:r>
              <w:rPr/>
              <w:t>544</w:t>
            </w:r>
          </w:p>
        </w:tc>
        <w:tc>
          <w:tcPr>
            <w:tcW w:w="75" w:type="dxa"/>
            <w:tcBorders/>
            <w:shd w:fill="CCEEFF" w:val="clear"/>
            <w:vAlign w:val="bottom"/>
          </w:tcPr>
          <w:p>
            <w:pPr>
              <w:pStyle w:val="TableContents"/>
              <w:spacing w:before="0" w:after="283"/>
              <w:rPr/>
            </w:pPr>
            <w:r>
              <w:rPr/>
              <w:t> </w:t>
            </w:r>
          </w:p>
        </w:tc>
      </w:tr>
      <w:tr>
        <w:trPr/>
        <w:tc>
          <w:tcPr>
            <w:tcW w:w="3740" w:type="dxa"/>
            <w:tcBorders/>
            <w:shd w:fill="FFFFFF" w:val="clear"/>
            <w:vAlign w:val="bottom"/>
          </w:tcPr>
          <w:p>
            <w:pPr>
              <w:pStyle w:val="TableContents"/>
              <w:spacing w:before="0" w:after="0"/>
              <w:rPr/>
            </w:pPr>
            <w:r>
              <w:rPr/>
              <w:t>2020</w:t>
            </w:r>
          </w:p>
        </w:tc>
        <w:tc>
          <w:tcPr>
            <w:tcW w:w="60"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0"/>
              <w:jc w:val="right"/>
              <w:rPr/>
            </w:pPr>
            <w:r>
              <w:rPr/>
              <w:t>1,020</w:t>
            </w:r>
          </w:p>
        </w:tc>
        <w:tc>
          <w:tcPr>
            <w:tcW w:w="75" w:type="dxa"/>
            <w:tcBorders/>
            <w:shd w:fill="FFFFFF" w:val="clear"/>
            <w:vAlign w:val="bottom"/>
          </w:tcPr>
          <w:p>
            <w:pPr>
              <w:pStyle w:val="TableContents"/>
              <w:spacing w:before="0" w:after="283"/>
              <w:rPr/>
            </w:pPr>
            <w:r>
              <w:rPr/>
              <w:t> </w:t>
            </w:r>
          </w:p>
        </w:tc>
      </w:tr>
      <w:tr>
        <w:trPr/>
        <w:tc>
          <w:tcPr>
            <w:tcW w:w="3740" w:type="dxa"/>
            <w:tcBorders/>
            <w:shd w:fill="CCEEFF" w:val="clear"/>
            <w:vAlign w:val="bottom"/>
          </w:tcPr>
          <w:p>
            <w:pPr>
              <w:pStyle w:val="TableContents"/>
              <w:spacing w:before="0" w:after="0"/>
              <w:rPr/>
            </w:pPr>
            <w:r>
              <w:rPr/>
              <w:t>2021</w:t>
            </w:r>
          </w:p>
        </w:tc>
        <w:tc>
          <w:tcPr>
            <w:tcW w:w="6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0"/>
              <w:jc w:val="right"/>
              <w:rPr/>
            </w:pPr>
            <w:r>
              <w:rPr/>
              <w:t>970</w:t>
            </w:r>
          </w:p>
        </w:tc>
        <w:tc>
          <w:tcPr>
            <w:tcW w:w="75" w:type="dxa"/>
            <w:tcBorders/>
            <w:shd w:fill="CCEEFF" w:val="clear"/>
            <w:vAlign w:val="bottom"/>
          </w:tcPr>
          <w:p>
            <w:pPr>
              <w:pStyle w:val="TableContents"/>
              <w:spacing w:before="0" w:after="283"/>
              <w:rPr/>
            </w:pPr>
            <w:r>
              <w:rPr/>
              <w:t> </w:t>
            </w:r>
          </w:p>
        </w:tc>
      </w:tr>
      <w:tr>
        <w:trPr/>
        <w:tc>
          <w:tcPr>
            <w:tcW w:w="3740" w:type="dxa"/>
            <w:tcBorders/>
            <w:shd w:fill="FFFFFF" w:val="clear"/>
            <w:vAlign w:val="bottom"/>
          </w:tcPr>
          <w:p>
            <w:pPr>
              <w:pStyle w:val="TableContents"/>
              <w:spacing w:before="0" w:after="0"/>
              <w:rPr/>
            </w:pPr>
            <w:r>
              <w:rPr/>
              <w:t>2022</w:t>
            </w:r>
          </w:p>
        </w:tc>
        <w:tc>
          <w:tcPr>
            <w:tcW w:w="60"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0"/>
              <w:jc w:val="right"/>
              <w:rPr/>
            </w:pPr>
            <w:r>
              <w:rPr/>
              <w:t>785</w:t>
            </w:r>
          </w:p>
        </w:tc>
        <w:tc>
          <w:tcPr>
            <w:tcW w:w="75" w:type="dxa"/>
            <w:tcBorders/>
            <w:shd w:fill="FFFFFF" w:val="clear"/>
            <w:vAlign w:val="bottom"/>
          </w:tcPr>
          <w:p>
            <w:pPr>
              <w:pStyle w:val="TableContents"/>
              <w:spacing w:before="0" w:after="283"/>
              <w:rPr/>
            </w:pPr>
            <w:r>
              <w:rPr/>
              <w:t> </w:t>
            </w:r>
          </w:p>
        </w:tc>
      </w:tr>
      <w:tr>
        <w:trPr/>
        <w:tc>
          <w:tcPr>
            <w:tcW w:w="3740" w:type="dxa"/>
            <w:tcBorders/>
            <w:shd w:fill="CCEEFF" w:val="clear"/>
            <w:vAlign w:val="bottom"/>
          </w:tcPr>
          <w:p>
            <w:pPr>
              <w:pStyle w:val="TableContents"/>
              <w:spacing w:before="0" w:after="0"/>
              <w:rPr/>
            </w:pPr>
            <w:r>
              <w:rPr/>
              <w:t>2023</w:t>
            </w:r>
          </w:p>
        </w:tc>
        <w:tc>
          <w:tcPr>
            <w:tcW w:w="6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0"/>
              <w:jc w:val="right"/>
              <w:rPr/>
            </w:pPr>
            <w:r>
              <w:rPr/>
              <w:t>547</w:t>
            </w:r>
          </w:p>
        </w:tc>
        <w:tc>
          <w:tcPr>
            <w:tcW w:w="75" w:type="dxa"/>
            <w:tcBorders/>
            <w:shd w:fill="CCEEFF" w:val="clear"/>
            <w:vAlign w:val="bottom"/>
          </w:tcPr>
          <w:p>
            <w:pPr>
              <w:pStyle w:val="TableContents"/>
              <w:spacing w:before="0" w:after="283"/>
              <w:rPr/>
            </w:pPr>
            <w:r>
              <w:rPr/>
              <w:t> </w:t>
            </w:r>
          </w:p>
        </w:tc>
      </w:tr>
      <w:tr>
        <w:trPr/>
        <w:tc>
          <w:tcPr>
            <w:tcW w:w="3740" w:type="dxa"/>
            <w:tcBorders/>
            <w:shd w:fill="FFFFFF" w:val="clear"/>
            <w:vAlign w:val="bottom"/>
          </w:tcPr>
          <w:p>
            <w:pPr>
              <w:pStyle w:val="TableContents"/>
              <w:spacing w:before="0" w:after="0"/>
              <w:rPr/>
            </w:pPr>
            <w:r>
              <w:rPr/>
              <w:t>2024 and thereafter</w:t>
            </w:r>
          </w:p>
        </w:tc>
        <w:tc>
          <w:tcPr>
            <w:tcW w:w="60" w:type="dxa"/>
            <w:tcBorders/>
            <w:shd w:fill="FFFFFF" w:val="clear"/>
            <w:vAlign w:val="bottom"/>
          </w:tcPr>
          <w:p>
            <w:pPr>
              <w:pStyle w:val="TableContents"/>
              <w:spacing w:before="0" w:after="283"/>
              <w:rPr/>
            </w:pPr>
            <w:r>
              <w:rPr/>
              <w:t> </w:t>
            </w:r>
          </w:p>
        </w:tc>
        <w:tc>
          <w:tcPr>
            <w:tcW w:w="27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0"/>
              <w:jc w:val="right"/>
              <w:rPr/>
            </w:pPr>
            <w:r>
              <w:rPr/>
              <w:t>2,004</w:t>
            </w:r>
          </w:p>
        </w:tc>
        <w:tc>
          <w:tcPr>
            <w:tcW w:w="75" w:type="dxa"/>
            <w:tcBorders/>
            <w:shd w:fill="FFFFFF" w:val="clear"/>
            <w:vAlign w:val="bottom"/>
          </w:tcPr>
          <w:p>
            <w:pPr>
              <w:pStyle w:val="TableContents"/>
              <w:spacing w:before="0" w:after="283"/>
              <w:rPr/>
            </w:pPr>
            <w:r>
              <w:rPr/>
              <w:t> </w:t>
            </w:r>
          </w:p>
        </w:tc>
      </w:tr>
      <w:tr>
        <w:trPr/>
        <w:tc>
          <w:tcPr>
            <w:tcW w:w="3740" w:type="dxa"/>
            <w:tcBorders/>
            <w:shd w:fill="CCEEFF" w:val="clear"/>
            <w:vAlign w:val="bottom"/>
          </w:tcPr>
          <w:p>
            <w:pPr>
              <w:pStyle w:val="TableContents"/>
              <w:spacing w:before="0" w:after="0"/>
              <w:ind w:left="180" w:right="0" w:hanging="0"/>
              <w:jc w:val="both"/>
              <w:rPr/>
            </w:pPr>
            <w:r>
              <w:rPr/>
              <w:t>Total</w:t>
            </w:r>
          </w:p>
        </w:tc>
        <w:tc>
          <w:tcPr>
            <w:tcW w:w="60" w:type="dxa"/>
            <w:tcBorders/>
            <w:shd w:fill="CCEEFF" w:val="clear"/>
            <w:vAlign w:val="bottom"/>
          </w:tcPr>
          <w:p>
            <w:pPr>
              <w:pStyle w:val="TableContents"/>
              <w:spacing w:before="0" w:after="283"/>
              <w:rPr/>
            </w:pPr>
            <w:r>
              <w:rPr/>
              <w:t> </w:t>
            </w:r>
          </w:p>
        </w:tc>
        <w:tc>
          <w:tcPr>
            <w:tcW w:w="274" w:type="dxa"/>
            <w:tcBorders>
              <w:bottom w:val="double" w:sz="8" w:space="0" w:color="000000"/>
            </w:tcBorders>
            <w:shd w:fill="CCEEFF" w:val="clear"/>
            <w:tcMar>
              <w:bottom w:w="28" w:type="dxa"/>
            </w:tcMar>
            <w:vAlign w:val="bottom"/>
          </w:tcPr>
          <w:p>
            <w:pPr>
              <w:pStyle w:val="TableContents"/>
              <w:spacing w:before="0" w:after="0"/>
              <w:rPr/>
            </w:pPr>
            <w:r>
              <w:rPr/>
              <w:t>$</w:t>
            </w:r>
          </w:p>
        </w:tc>
        <w:tc>
          <w:tcPr>
            <w:tcW w:w="1096" w:type="dxa"/>
            <w:tcBorders>
              <w:bottom w:val="double" w:sz="8" w:space="0" w:color="000000"/>
            </w:tcBorders>
            <w:shd w:fill="CCEEFF" w:val="clear"/>
            <w:tcMar>
              <w:bottom w:w="28" w:type="dxa"/>
            </w:tcMar>
            <w:vAlign w:val="bottom"/>
          </w:tcPr>
          <w:p>
            <w:pPr>
              <w:pStyle w:val="TableContents"/>
              <w:spacing w:before="0" w:after="0"/>
              <w:jc w:val="right"/>
              <w:rPr/>
            </w:pPr>
            <w:r>
              <w:rPr/>
              <w:t>5,870</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 xml:space="preserve">8.    </w:t>
      </w:r>
      <w:r>
        <w:rPr>
          <w:u w:val="single"/>
        </w:rPr>
        <w:t>Share Based Compensation</w:t>
      </w:r>
    </w:p>
    <w:p>
      <w:pPr>
        <w:pStyle w:val="TextBody"/>
        <w:spacing w:before="0" w:after="0"/>
        <w:rPr/>
      </w:pPr>
      <w:r>
        <w:rPr/>
      </w:r>
    </w:p>
    <w:p>
      <w:pPr>
        <w:pStyle w:val="TextBody"/>
        <w:spacing w:before="0" w:after="0"/>
        <w:jc w:val="both"/>
        <w:rPr/>
      </w:pPr>
      <w:r>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June 30, 2019.  The non-employee director stock purchase plan permits the issuance of additional share based payments for up to 0.2 million shares of common stock as of June 30, 2019. Share based awards and payments are measured at fair value at the date of grant and are expensed over the requisite service period. Common shares issued upon exercise of stock options come from currently authorized but unissued shares.</w:t>
      </w:r>
    </w:p>
    <w:p>
      <w:pPr>
        <w:pStyle w:val="TextBody"/>
        <w:spacing w:before="0" w:after="0"/>
        <w:rPr/>
      </w:pPr>
      <w:r>
        <w:rPr/>
      </w:r>
    </w:p>
    <w:p>
      <w:pPr>
        <w:pStyle w:val="TextBody"/>
        <w:spacing w:before="0" w:after="0"/>
        <w:jc w:val="both"/>
        <w:rPr/>
      </w:pPr>
      <w:r>
        <w:rPr/>
        <w:t>During the three month periods ended June 30, 2019 and 2018 pursuant to our long-term incentive plan, we granted 0.004 million and 0.009 million shares of restricted stock to certain officers.  For both six month periods ended June 30, 2019 and 2018, pursuant to our long-term incentive plan, we granted 0.05 million shares of restricted stock and 0.02 million performance stock units (“PSU”) to certain officers.  Except for 0.002 million shares of restricted stock issued during the first quarters of 2019 and 2018 that vest ratably over three years, the shares of restricted stock and PSUs cliff vest after a period of three years.  The performance feature of the PSUs is based on a comparison of our total shareholder return over the three year period starting on the grant date to the total shareholder return over that period for a banking index of our peers.</w:t>
      </w:r>
    </w:p>
    <w:p>
      <w:pPr>
        <w:pStyle w:val="TextBody"/>
        <w:spacing w:before="0" w:after="0"/>
        <w:rPr/>
      </w:pPr>
      <w:r>
        <w:rPr/>
      </w:r>
    </w:p>
    <w:p>
      <w:pPr>
        <w:pStyle w:val="TextBody"/>
        <w:jc w:val="both"/>
        <w:rPr/>
      </w:pPr>
      <w:r>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0.005 million shares during each six month period ended June 30, 2019 and 2018 pursuant to this plan and expensed their value during those same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01" w:name="DSPFPageBreakArea38"/>
      <w:bookmarkStart w:id="402" w:name="DSPFPageBreakArea38"/>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403" w:name="DSPFPageNumber38"/>
      <w:bookmarkStart w:id="404" w:name="DSPFPageNumberArea37"/>
      <w:bookmarkEnd w:id="403"/>
      <w:bookmarkEnd w:id="404"/>
      <w:r>
        <w:rPr>
          <w:b w:val="false"/>
          <w:i w:val="false"/>
          <w:caps w:val="false"/>
          <w:smallCaps w:val="false"/>
          <w:sz w:val="13"/>
        </w:rPr>
        <w:t>39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05" w:name="DSPFPageBreak38"/>
      <w:bookmarkStart w:id="406" w:name="DSPFPageBreak38"/>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407" w:name="DSPFPageHeader37"/>
        <w:bookmarkEnd w:id="407"/>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Total compensation expense recognized for grants pursuant to our long-term incentive plan was $0.4 million and $0.8 million during the three and six month periods ended June 30, 2019, respectively, and was $0.4 million and $0.7 million during the same periods in 2018, respectively.  The corresponding tax benefit relating to this expense was $0.1 million and $0.2 million for the three and six month periods ended June 30, 2019, respectively and $0.1 million and $0.2 million for the same periods in 2018. Total expense recognized for non-employee director share based payments was $0.06 million and $0.11 million during the three and six month periods ended June 30, 2019, respectively, and was $0.05 million and $0.11 million during the same periods in 2018, respectively.  The corresponding tax benefit relating to this expense was $0.01 million and $0.02 million for the three and six month periods ended June 30, 2019, respectively and $0.01 million and $0.02 million during the same periods in 2018.</w:t>
      </w:r>
    </w:p>
    <w:p>
      <w:pPr>
        <w:pStyle w:val="TextBody"/>
        <w:spacing w:before="0" w:after="0"/>
        <w:rPr/>
      </w:pPr>
      <w:r>
        <w:rPr/>
      </w:r>
    </w:p>
    <w:p>
      <w:pPr>
        <w:pStyle w:val="TextBody"/>
        <w:spacing w:before="0" w:after="0"/>
        <w:jc w:val="both"/>
        <w:rPr/>
      </w:pPr>
      <w:r>
        <w:rPr/>
        <w:t>At June 30, 2019, the total expected compensation cost related to non-vested restricted stock and PSUs not yet recognized was $2.7 million.  The weighted-average period over which this amount will be recognized is 2.0 years.</w:t>
      </w:r>
    </w:p>
    <w:p>
      <w:pPr>
        <w:pStyle w:val="TextBody"/>
        <w:spacing w:before="0" w:after="0"/>
        <w:rPr/>
      </w:pPr>
      <w:r>
        <w:rPr/>
      </w:r>
    </w:p>
    <w:p>
      <w:pPr>
        <w:pStyle w:val="TextBody"/>
        <w:spacing w:before="0" w:after="0"/>
        <w:jc w:val="both"/>
        <w:rPr/>
      </w:pPr>
      <w:r>
        <w:rPr/>
        <w:t>A summary of outstanding stock option grants and related transactions follows:</w:t>
      </w:r>
    </w:p>
    <w:p>
      <w:pPr>
        <w:pStyle w:val="TextBody"/>
        <w:spacing w:before="0" w:after="0"/>
        <w:rPr/>
      </w:pPr>
      <w:r>
        <w:rPr/>
      </w:r>
    </w:p>
    <w:p>
      <w:pPr>
        <w:pStyle w:val="Normal"/>
        <w:spacing w:before="0" w:after="0"/>
        <w:rPr>
          <w:sz w:val="4"/>
          <w:szCs w:val="4"/>
        </w:rPr>
      </w:pPr>
      <w:r>
        <w:rPr>
          <w:sz w:val="4"/>
          <w:szCs w:val="4"/>
        </w:rPr>
      </w:r>
      <w:bookmarkStart w:id="408" w:name="z97c22eebce904d14abe45a2b14bdb81d"/>
      <w:bookmarkStart w:id="409" w:name="z97c22eebce904d14abe45a2b14bdb81d"/>
      <w:bookmarkEnd w:id="409"/>
    </w:p>
    <w:tbl>
      <w:tblPr>
        <w:tblW w:w="8040" w:type="dxa"/>
        <w:jc w:val="left"/>
        <w:tblInd w:w="0" w:type="dxa"/>
        <w:tblCellMar>
          <w:top w:w="0" w:type="dxa"/>
          <w:left w:w="0" w:type="dxa"/>
          <w:bottom w:w="0" w:type="dxa"/>
          <w:right w:w="0" w:type="dxa"/>
        </w:tblCellMar>
      </w:tblPr>
      <w:tblGrid>
        <w:gridCol w:w="2975"/>
        <w:gridCol w:w="60"/>
        <w:gridCol w:w="73"/>
        <w:gridCol w:w="982"/>
        <w:gridCol w:w="95"/>
        <w:gridCol w:w="60"/>
        <w:gridCol w:w="166"/>
        <w:gridCol w:w="664"/>
        <w:gridCol w:w="60"/>
        <w:gridCol w:w="60"/>
        <w:gridCol w:w="204"/>
        <w:gridCol w:w="1091"/>
        <w:gridCol w:w="60"/>
        <w:gridCol w:w="60"/>
        <w:gridCol w:w="274"/>
        <w:gridCol w:w="1096"/>
        <w:gridCol w:w="60"/>
      </w:tblGrid>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pPr>
            <w:r>
              <w:rPr/>
              <w:t>Number of</w:t>
            </w:r>
          </w:p>
          <w:p>
            <w:pPr>
              <w:pStyle w:val="TableContents"/>
              <w:spacing w:before="0" w:after="0"/>
              <w:jc w:val="center"/>
              <w:rPr/>
            </w:pPr>
            <w:r>
              <w:rPr/>
              <w:t>Shares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bottom w:val="single" w:sz="12" w:space="0" w:color="000000"/>
            </w:tcBorders>
            <w:shd w:fill="auto" w:val="clear"/>
            <w:tcMar>
              <w:bottom w:w="28" w:type="dxa"/>
            </w:tcMar>
            <w:vAlign w:val="bottom"/>
          </w:tcPr>
          <w:p>
            <w:pPr>
              <w:pStyle w:val="TableContents"/>
              <w:spacing w:before="0" w:after="0"/>
              <w:jc w:val="center"/>
              <w:rPr/>
            </w:pPr>
            <w:r>
              <w:rPr/>
              <w:t>Average</w:t>
            </w:r>
          </w:p>
          <w:p>
            <w:pPr>
              <w:pStyle w:val="TableContents"/>
              <w:spacing w:before="0" w:after="0"/>
              <w:jc w:val="center"/>
              <w:rPr/>
            </w:pPr>
            <w:r>
              <w:rPr/>
              <w:t>Exercise</w:t>
            </w:r>
          </w:p>
          <w:p>
            <w:pPr>
              <w:pStyle w:val="TableContents"/>
              <w:spacing w:before="0" w:after="0"/>
              <w:jc w:val="center"/>
              <w:rPr/>
            </w:pPr>
            <w:r>
              <w:rPr/>
              <w:t>Price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bottom w:val="single" w:sz="12" w:space="0" w:color="000000"/>
            </w:tcBorders>
            <w:shd w:fill="auto" w:val="clear"/>
            <w:tcMar>
              <w:bottom w:w="28" w:type="dxa"/>
            </w:tcMar>
            <w:vAlign w:val="bottom"/>
          </w:tcPr>
          <w:p>
            <w:pPr>
              <w:pStyle w:val="TableContents"/>
              <w:spacing w:before="0" w:after="0"/>
              <w:jc w:val="center"/>
              <w:rPr/>
            </w:pPr>
            <w:r>
              <w:rPr/>
              <w:t>Weighted-</w:t>
            </w:r>
          </w:p>
          <w:p>
            <w:pPr>
              <w:pStyle w:val="TableContents"/>
              <w:spacing w:before="0" w:after="0"/>
              <w:jc w:val="center"/>
              <w:rPr/>
            </w:pPr>
            <w:r>
              <w:rPr/>
              <w:t>Average</w:t>
            </w:r>
          </w:p>
          <w:p>
            <w:pPr>
              <w:pStyle w:val="TableContents"/>
              <w:spacing w:before="0" w:after="0"/>
              <w:jc w:val="center"/>
              <w:rPr/>
            </w:pPr>
            <w:r>
              <w:rPr/>
              <w:t>Remaining</w:t>
            </w:r>
          </w:p>
          <w:p>
            <w:pPr>
              <w:pStyle w:val="TableContents"/>
              <w:spacing w:before="0" w:after="0"/>
              <w:jc w:val="center"/>
              <w:rPr/>
            </w:pPr>
            <w:r>
              <w:rPr/>
              <w:t>Contractual</w:t>
            </w:r>
          </w:p>
          <w:p>
            <w:pPr>
              <w:pStyle w:val="TableContents"/>
              <w:spacing w:before="0" w:after="0"/>
              <w:jc w:val="center"/>
              <w:rPr/>
            </w:pPr>
            <w:r>
              <w:rPr/>
              <w:t>Term (Years)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bottom"/>
          </w:tcPr>
          <w:p>
            <w:pPr>
              <w:pStyle w:val="TableContents"/>
              <w:spacing w:before="0" w:after="0"/>
              <w:jc w:val="center"/>
              <w:rPr/>
            </w:pPr>
            <w:r>
              <w:rPr/>
              <w:t>Aggregated</w:t>
            </w:r>
          </w:p>
          <w:p>
            <w:pPr>
              <w:pStyle w:val="TableContents"/>
              <w:spacing w:before="0" w:after="0"/>
              <w:jc w:val="center"/>
              <w:rPr/>
            </w:pPr>
            <w:r>
              <w:rPr/>
              <w:t>Intrinsic</w:t>
            </w:r>
          </w:p>
          <w:p>
            <w:pPr>
              <w:pStyle w:val="TableContents"/>
              <w:spacing w:before="0" w:after="0"/>
              <w:jc w:val="center"/>
              <w:rPr/>
            </w:pPr>
            <w:r>
              <w:rPr/>
              <w:t>Value</w:t>
            </w:r>
          </w:p>
        </w:tc>
        <w:tc>
          <w:tcPr>
            <w:tcW w:w="60" w:type="dxa"/>
            <w:tcBorders/>
            <w:shd w:fill="auto" w:val="clear"/>
            <w:vAlign w:val="bottom"/>
          </w:tcPr>
          <w:p>
            <w:pPr>
              <w:pStyle w:val="TableContents"/>
              <w:spacing w:before="0" w:after="283"/>
              <w:rPr/>
            </w:pPr>
            <w:r>
              <w:rPr/>
              <w:t> </w:t>
            </w:r>
          </w:p>
        </w:tc>
      </w:tr>
      <w:tr>
        <w:trPr/>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r>
      <w:tr>
        <w:trPr/>
        <w:tc>
          <w:tcPr>
            <w:tcW w:w="2975" w:type="dxa"/>
            <w:tcBorders/>
            <w:shd w:fill="CCEEFF" w:val="clear"/>
            <w:vAlign w:val="bottom"/>
          </w:tcPr>
          <w:p>
            <w:pPr>
              <w:pStyle w:val="TableContents"/>
              <w:spacing w:before="0" w:after="0"/>
              <w:ind w:left="144" w:right="0" w:hanging="144"/>
              <w:rPr/>
            </w:pPr>
            <w:r>
              <w:rPr/>
              <w:t>Outstanding at January 1, 2019</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0"/>
              <w:jc w:val="right"/>
              <w:rPr/>
            </w:pPr>
            <w:r>
              <w:rPr/>
              <w:t>211,421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0"/>
              <w:rPr/>
            </w:pPr>
            <w:r>
              <w:rPr/>
              <w:t>$</w:t>
            </w:r>
          </w:p>
        </w:tc>
        <w:tc>
          <w:tcPr>
            <w:tcW w:w="664" w:type="dxa"/>
            <w:tcBorders/>
            <w:shd w:fill="CCEEFF" w:val="clear"/>
            <w:vAlign w:val="bottom"/>
          </w:tcPr>
          <w:p>
            <w:pPr>
              <w:pStyle w:val="TableContents"/>
              <w:spacing w:before="0" w:after="0"/>
              <w:jc w:val="right"/>
              <w:rPr/>
            </w:pPr>
            <w:r>
              <w:rPr/>
              <w:t>6.48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5"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7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2975" w:type="dxa"/>
            <w:tcBorders/>
            <w:shd w:fill="FFFFFF" w:val="clear"/>
            <w:vAlign w:val="bottom"/>
          </w:tcPr>
          <w:p>
            <w:pPr>
              <w:pStyle w:val="TableContents"/>
              <w:spacing w:before="0" w:after="0"/>
              <w:ind w:left="324" w:right="0" w:hanging="144"/>
              <w:rPr/>
            </w:pPr>
            <w:r>
              <w:rPr/>
              <w:t>Granted</w:t>
            </w:r>
          </w:p>
        </w:tc>
        <w:tc>
          <w:tcPr>
            <w:tcW w:w="60" w:type="dxa"/>
            <w:tcBorders/>
            <w:shd w:fill="FFFFFF" w:val="clear"/>
            <w:vAlign w:val="bottom"/>
          </w:tcPr>
          <w:p>
            <w:pPr>
              <w:pStyle w:val="TableContents"/>
              <w:spacing w:before="0" w:after="283"/>
              <w:rPr/>
            </w:pPr>
            <w:r>
              <w:rPr/>
              <w:t> </w:t>
            </w:r>
          </w:p>
        </w:tc>
        <w:tc>
          <w:tcPr>
            <w:tcW w:w="73" w:type="dxa"/>
            <w:tcBorders/>
            <w:shd w:fill="FFFFFF" w:val="clear"/>
            <w:vAlign w:val="bottom"/>
          </w:tcPr>
          <w:p>
            <w:pPr>
              <w:pStyle w:val="TableContents"/>
              <w:spacing w:before="0" w:after="283"/>
              <w:rPr/>
            </w:pPr>
            <w:r>
              <w:rPr/>
              <w:t> </w:t>
            </w:r>
          </w:p>
        </w:tc>
        <w:tc>
          <w:tcPr>
            <w:tcW w:w="982"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rPr/>
            </w:pPr>
            <w:r>
              <w:rPr/>
              <w:t> </w:t>
            </w:r>
          </w:p>
        </w:tc>
        <w:tc>
          <w:tcPr>
            <w:tcW w:w="66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295"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37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r>
      <w:tr>
        <w:trPr/>
        <w:tc>
          <w:tcPr>
            <w:tcW w:w="2975" w:type="dxa"/>
            <w:tcBorders/>
            <w:shd w:fill="CCEEFF" w:val="clear"/>
            <w:vAlign w:val="bottom"/>
          </w:tcPr>
          <w:p>
            <w:pPr>
              <w:pStyle w:val="TableContents"/>
              <w:spacing w:before="0" w:after="0"/>
              <w:ind w:left="324" w:right="0" w:hanging="144"/>
              <w:rPr/>
            </w:pPr>
            <w:r>
              <w:rPr/>
              <w:t>Exercised</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0"/>
              <w:jc w:val="right"/>
              <w:rPr/>
            </w:pPr>
            <w:r>
              <w:rPr/>
              <w:t>(68,399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0"/>
              <w:jc w:val="right"/>
              <w:rPr/>
            </w:pPr>
            <w:r>
              <w:rPr/>
              <w:t>10.16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5"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7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2975" w:type="dxa"/>
            <w:tcBorders/>
            <w:shd w:fill="FFFFFF" w:val="clear"/>
            <w:vAlign w:val="bottom"/>
          </w:tcPr>
          <w:p>
            <w:pPr>
              <w:pStyle w:val="TableContents"/>
              <w:spacing w:before="0" w:after="0"/>
              <w:ind w:left="324" w:right="0" w:hanging="144"/>
              <w:rPr/>
            </w:pPr>
            <w:r>
              <w:rPr/>
              <w:t>Forfeited</w:t>
            </w:r>
          </w:p>
        </w:tc>
        <w:tc>
          <w:tcPr>
            <w:tcW w:w="60" w:type="dxa"/>
            <w:tcBorders/>
            <w:shd w:fill="FFFFFF" w:val="clear"/>
            <w:vAlign w:val="bottom"/>
          </w:tcPr>
          <w:p>
            <w:pPr>
              <w:pStyle w:val="TableContents"/>
              <w:spacing w:before="0" w:after="283"/>
              <w:rPr/>
            </w:pPr>
            <w:r>
              <w:rPr/>
              <w:t> </w:t>
            </w:r>
          </w:p>
        </w:tc>
        <w:tc>
          <w:tcPr>
            <w:tcW w:w="73" w:type="dxa"/>
            <w:tcBorders/>
            <w:shd w:fill="FFFFFF" w:val="clear"/>
            <w:vAlign w:val="bottom"/>
          </w:tcPr>
          <w:p>
            <w:pPr>
              <w:pStyle w:val="TableContents"/>
              <w:spacing w:before="0" w:after="283"/>
              <w:rPr/>
            </w:pPr>
            <w:r>
              <w:rPr/>
              <w:t> </w:t>
            </w:r>
          </w:p>
        </w:tc>
        <w:tc>
          <w:tcPr>
            <w:tcW w:w="982"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rPr/>
            </w:pPr>
            <w:r>
              <w:rPr/>
              <w:t> </w:t>
            </w:r>
          </w:p>
        </w:tc>
        <w:tc>
          <w:tcPr>
            <w:tcW w:w="66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295"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370" w:type="dxa"/>
            <w:gridSpan w:val="2"/>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r>
      <w:tr>
        <w:trPr/>
        <w:tc>
          <w:tcPr>
            <w:tcW w:w="2975" w:type="dxa"/>
            <w:tcBorders/>
            <w:shd w:fill="CCEEFF" w:val="clear"/>
            <w:vAlign w:val="bottom"/>
          </w:tcPr>
          <w:p>
            <w:pPr>
              <w:pStyle w:val="TableContents"/>
              <w:spacing w:before="0" w:after="0"/>
              <w:ind w:left="324" w:right="0" w:hanging="144"/>
              <w:rPr/>
            </w:pPr>
            <w:r>
              <w:rPr/>
              <w:t>Expired</w:t>
            </w:r>
          </w:p>
        </w:tc>
        <w:tc>
          <w:tcPr>
            <w:tcW w:w="60" w:type="dxa"/>
            <w:tcBorders/>
            <w:shd w:fill="CCEEFF" w:val="clear"/>
            <w:vAlign w:val="bottom"/>
          </w:tcPr>
          <w:p>
            <w:pPr>
              <w:pStyle w:val="TableContents"/>
              <w:spacing w:before="0" w:after="283"/>
              <w:rPr/>
            </w:pPr>
            <w:r>
              <w:rPr/>
              <w:t> </w:t>
            </w:r>
          </w:p>
        </w:tc>
        <w:tc>
          <w:tcPr>
            <w:tcW w:w="7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2" w:type="dxa"/>
            <w:tcBorders>
              <w:bottom w:val="single" w:sz="12" w:space="0" w:color="000000"/>
            </w:tcBorders>
            <w:shd w:fill="CCEEFF" w:val="clear"/>
            <w:tcMar>
              <w:bottom w:w="28" w:type="dxa"/>
            </w:tcMar>
            <w:vAlign w:val="bottom"/>
          </w:tcPr>
          <w:p>
            <w:pPr>
              <w:pStyle w:val="TableContents"/>
              <w:spacing w:before="0" w:after="0"/>
              <w:jc w:val="right"/>
              <w:rPr/>
            </w:pPr>
            <w:r>
              <w:rPr/>
              <w:t>(558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0"/>
              <w:jc w:val="right"/>
              <w:rPr/>
            </w:pPr>
            <w:r>
              <w:rPr/>
              <w:t>22.35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5"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70"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r>
      <w:tr>
        <w:trPr/>
        <w:tc>
          <w:tcPr>
            <w:tcW w:w="2975" w:type="dxa"/>
            <w:tcBorders/>
            <w:shd w:fill="FFFFFF" w:val="clear"/>
            <w:vAlign w:val="bottom"/>
          </w:tcPr>
          <w:p>
            <w:pPr>
              <w:pStyle w:val="TableContents"/>
              <w:spacing w:before="0" w:after="0"/>
              <w:ind w:left="144" w:right="0" w:hanging="144"/>
              <w:rPr/>
            </w:pPr>
            <w:r>
              <w:rPr/>
              <w:t>Outstanding at June 30, 2019</w:t>
            </w:r>
          </w:p>
        </w:tc>
        <w:tc>
          <w:tcPr>
            <w:tcW w:w="60" w:type="dxa"/>
            <w:tcBorders/>
            <w:shd w:fill="FFFFFF" w:val="clear"/>
            <w:vAlign w:val="bottom"/>
          </w:tcPr>
          <w:p>
            <w:pPr>
              <w:pStyle w:val="TableContents"/>
              <w:spacing w:before="0" w:after="283"/>
              <w:rPr/>
            </w:pPr>
            <w:r>
              <w:rPr/>
              <w:t> </w:t>
            </w:r>
          </w:p>
        </w:tc>
        <w:tc>
          <w:tcPr>
            <w:tcW w:w="73" w:type="dxa"/>
            <w:tcBorders>
              <w:bottom w:val="double" w:sz="8" w:space="0" w:color="000000"/>
            </w:tcBorders>
            <w:shd w:fill="FFFFFF" w:val="clear"/>
            <w:tcMar>
              <w:bottom w:w="28" w:type="dxa"/>
            </w:tcMar>
            <w:vAlign w:val="bottom"/>
          </w:tcPr>
          <w:p>
            <w:pPr>
              <w:pStyle w:val="TableContents"/>
              <w:spacing w:before="0" w:after="283"/>
              <w:rPr/>
            </w:pPr>
            <w:r>
              <w:rPr/>
              <w:t> </w:t>
            </w:r>
          </w:p>
        </w:tc>
        <w:tc>
          <w:tcPr>
            <w:tcW w:w="982" w:type="dxa"/>
            <w:tcBorders>
              <w:bottom w:val="double" w:sz="8" w:space="0" w:color="000000"/>
            </w:tcBorders>
            <w:shd w:fill="FFFFFF" w:val="clear"/>
            <w:tcMar>
              <w:bottom w:w="28" w:type="dxa"/>
            </w:tcMar>
            <w:vAlign w:val="bottom"/>
          </w:tcPr>
          <w:p>
            <w:pPr>
              <w:pStyle w:val="TableContents"/>
              <w:spacing w:before="0" w:after="0"/>
              <w:jc w:val="right"/>
              <w:rPr/>
            </w:pPr>
            <w:r>
              <w:rPr/>
              <w:t>142,464</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6" w:type="dxa"/>
            <w:tcBorders>
              <w:bottom w:val="double" w:sz="8" w:space="0" w:color="000000"/>
            </w:tcBorders>
            <w:shd w:fill="FFFFFF" w:val="clear"/>
            <w:tcMar>
              <w:bottom w:w="28" w:type="dxa"/>
            </w:tcMar>
            <w:vAlign w:val="bottom"/>
          </w:tcPr>
          <w:p>
            <w:pPr>
              <w:pStyle w:val="TableContents"/>
              <w:spacing w:before="0" w:after="0"/>
              <w:rPr/>
            </w:pPr>
            <w:r>
              <w:rPr/>
              <w:t>$</w:t>
            </w:r>
          </w:p>
        </w:tc>
        <w:tc>
          <w:tcPr>
            <w:tcW w:w="664" w:type="dxa"/>
            <w:tcBorders>
              <w:bottom w:val="double" w:sz="8" w:space="0" w:color="000000"/>
            </w:tcBorders>
            <w:shd w:fill="FFFFFF" w:val="clear"/>
            <w:tcMar>
              <w:bottom w:w="28" w:type="dxa"/>
            </w:tcMar>
            <w:vAlign w:val="bottom"/>
          </w:tcPr>
          <w:p>
            <w:pPr>
              <w:pStyle w:val="TableContents"/>
              <w:spacing w:before="0" w:after="0"/>
              <w:jc w:val="right"/>
              <w:rPr/>
            </w:pPr>
            <w:r>
              <w:rPr/>
              <w:t>4.66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4" w:type="dxa"/>
            <w:tcBorders>
              <w:bottom w:val="double" w:sz="8" w:space="0" w:color="000000"/>
            </w:tcBorders>
            <w:shd w:fill="FFFFFF" w:val="clear"/>
            <w:tcMar>
              <w:bottom w:w="28" w:type="dxa"/>
            </w:tcMar>
            <w:vAlign w:val="bottom"/>
          </w:tcPr>
          <w:p>
            <w:pPr>
              <w:pStyle w:val="TableContents"/>
              <w:spacing w:before="0" w:after="283"/>
              <w:rPr/>
            </w:pPr>
            <w:r>
              <w:rPr/>
              <w:t> </w:t>
            </w:r>
          </w:p>
        </w:tc>
        <w:tc>
          <w:tcPr>
            <w:tcW w:w="1091" w:type="dxa"/>
            <w:tcBorders>
              <w:bottom w:val="double" w:sz="8" w:space="0" w:color="000000"/>
            </w:tcBorders>
            <w:shd w:fill="FFFFFF" w:val="clear"/>
            <w:tcMar>
              <w:bottom w:w="28" w:type="dxa"/>
            </w:tcMar>
            <w:vAlign w:val="bottom"/>
          </w:tcPr>
          <w:p>
            <w:pPr>
              <w:pStyle w:val="TableContents"/>
              <w:spacing w:before="0" w:after="0"/>
              <w:jc w:val="right"/>
              <w:rPr/>
            </w:pPr>
            <w:r>
              <w:rPr/>
              <w:t>3.5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4" w:type="dxa"/>
            <w:tcBorders>
              <w:bottom w:val="double" w:sz="8" w:space="0" w:color="000000"/>
            </w:tcBorders>
            <w:shd w:fill="FFFFFF" w:val="clear"/>
            <w:tcMar>
              <w:bottom w:w="28" w:type="dxa"/>
            </w:tcMar>
            <w:vAlign w:val="bottom"/>
          </w:tcPr>
          <w:p>
            <w:pPr>
              <w:pStyle w:val="TableContents"/>
              <w:spacing w:before="0" w:after="0"/>
              <w:rPr/>
            </w:pPr>
            <w:r>
              <w:rPr/>
              <w:t>$</w:t>
            </w:r>
          </w:p>
        </w:tc>
        <w:tc>
          <w:tcPr>
            <w:tcW w:w="1096" w:type="dxa"/>
            <w:tcBorders>
              <w:bottom w:val="double" w:sz="8" w:space="0" w:color="000000"/>
            </w:tcBorders>
            <w:shd w:fill="FFFFFF" w:val="clear"/>
            <w:tcMar>
              <w:bottom w:w="28" w:type="dxa"/>
            </w:tcMar>
            <w:vAlign w:val="bottom"/>
          </w:tcPr>
          <w:p>
            <w:pPr>
              <w:pStyle w:val="TableContents"/>
              <w:spacing w:before="0" w:after="0"/>
              <w:jc w:val="right"/>
              <w:rPr/>
            </w:pPr>
            <w:r>
              <w:rPr/>
              <w:t>2,442</w:t>
            </w:r>
          </w:p>
        </w:tc>
        <w:tc>
          <w:tcPr>
            <w:tcW w:w="60" w:type="dxa"/>
            <w:tcBorders/>
            <w:shd w:fill="FFFFFF" w:val="clear"/>
            <w:vAlign w:val="bottom"/>
          </w:tcPr>
          <w:p>
            <w:pPr>
              <w:pStyle w:val="TableContents"/>
              <w:spacing w:before="0" w:after="283"/>
              <w:rPr/>
            </w:pPr>
            <w:r>
              <w:rPr/>
              <w:t> </w:t>
            </w:r>
          </w:p>
        </w:tc>
      </w:tr>
      <w:tr>
        <w:trPr/>
        <w:tc>
          <w:tcPr>
            <w:tcW w:w="29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9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2975" w:type="dxa"/>
            <w:tcBorders/>
            <w:shd w:fill="FFFFFF" w:val="clear"/>
            <w:vAlign w:val="bottom"/>
          </w:tcPr>
          <w:p>
            <w:pPr>
              <w:pStyle w:val="TableContents"/>
              <w:spacing w:before="0" w:after="0"/>
              <w:ind w:left="144" w:right="0" w:hanging="144"/>
              <w:rPr/>
            </w:pPr>
            <w:r>
              <w:rPr/>
              <w:t>Vested and expected to vest at</w:t>
            </w:r>
          </w:p>
        </w:tc>
        <w:tc>
          <w:tcPr>
            <w:tcW w:w="60" w:type="dxa"/>
            <w:tcBorders/>
            <w:shd w:fill="FFFFFF" w:val="clear"/>
            <w:vAlign w:val="bottom"/>
          </w:tcPr>
          <w:p>
            <w:pPr>
              <w:pStyle w:val="TableContents"/>
              <w:spacing w:before="0" w:after="283"/>
              <w:rPr/>
            </w:pPr>
            <w:r>
              <w:rPr/>
              <w:t> </w:t>
            </w:r>
          </w:p>
        </w:tc>
        <w:tc>
          <w:tcPr>
            <w:tcW w:w="73" w:type="dxa"/>
            <w:tcBorders/>
            <w:shd w:fill="FFFFFF" w:val="clear"/>
            <w:vAlign w:val="bottom"/>
          </w:tcPr>
          <w:p>
            <w:pPr>
              <w:pStyle w:val="TableContents"/>
              <w:spacing w:before="0" w:after="283"/>
              <w:rPr/>
            </w:pPr>
            <w:r>
              <w:rPr/>
              <w:t> </w:t>
            </w:r>
          </w:p>
        </w:tc>
        <w:tc>
          <w:tcPr>
            <w:tcW w:w="982"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6" w:type="dxa"/>
            <w:tcBorders/>
            <w:shd w:fill="FFFFFF" w:val="clear"/>
            <w:vAlign w:val="bottom"/>
          </w:tcPr>
          <w:p>
            <w:pPr>
              <w:pStyle w:val="TableContents"/>
              <w:spacing w:before="0" w:after="283"/>
              <w:rPr/>
            </w:pPr>
            <w:r>
              <w:rPr/>
              <w:t> </w:t>
            </w:r>
          </w:p>
        </w:tc>
        <w:tc>
          <w:tcPr>
            <w:tcW w:w="66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91"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4"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r>
      <w:tr>
        <w:trPr/>
        <w:tc>
          <w:tcPr>
            <w:tcW w:w="2975" w:type="dxa"/>
            <w:tcBorders/>
            <w:shd w:fill="CCEEFF" w:val="clear"/>
            <w:vAlign w:val="bottom"/>
          </w:tcPr>
          <w:p>
            <w:pPr>
              <w:pStyle w:val="TableContents"/>
              <w:spacing w:before="0" w:after="0"/>
              <w:ind w:left="324" w:right="0" w:hanging="144"/>
              <w:rPr/>
            </w:pPr>
            <w:r>
              <w:rPr/>
              <w:t>June 30, 2019</w:t>
            </w:r>
          </w:p>
        </w:tc>
        <w:tc>
          <w:tcPr>
            <w:tcW w:w="60" w:type="dxa"/>
            <w:tcBorders/>
            <w:shd w:fill="CCEEFF" w:val="clear"/>
            <w:vAlign w:val="bottom"/>
          </w:tcPr>
          <w:p>
            <w:pPr>
              <w:pStyle w:val="TableContents"/>
              <w:spacing w:before="0" w:after="283"/>
              <w:rPr/>
            </w:pPr>
            <w:r>
              <w:rPr/>
              <w:t> </w:t>
            </w:r>
          </w:p>
        </w:tc>
        <w:tc>
          <w:tcPr>
            <w:tcW w:w="73" w:type="dxa"/>
            <w:tcBorders>
              <w:bottom w:val="double" w:sz="8" w:space="0" w:color="000000"/>
            </w:tcBorders>
            <w:shd w:fill="CCEEFF" w:val="clear"/>
            <w:tcMar>
              <w:bottom w:w="28" w:type="dxa"/>
            </w:tcMar>
            <w:vAlign w:val="bottom"/>
          </w:tcPr>
          <w:p>
            <w:pPr>
              <w:pStyle w:val="TableContents"/>
              <w:spacing w:before="0" w:after="283"/>
              <w:rPr/>
            </w:pPr>
            <w:r>
              <w:rPr/>
              <w:t> </w:t>
            </w:r>
          </w:p>
        </w:tc>
        <w:tc>
          <w:tcPr>
            <w:tcW w:w="982" w:type="dxa"/>
            <w:tcBorders>
              <w:bottom w:val="double" w:sz="8" w:space="0" w:color="000000"/>
            </w:tcBorders>
            <w:shd w:fill="CCEEFF" w:val="clear"/>
            <w:tcMar>
              <w:bottom w:w="28" w:type="dxa"/>
            </w:tcMar>
            <w:vAlign w:val="bottom"/>
          </w:tcPr>
          <w:p>
            <w:pPr>
              <w:pStyle w:val="TableContents"/>
              <w:spacing w:before="0" w:after="0"/>
              <w:jc w:val="right"/>
              <w:rPr/>
            </w:pPr>
            <w:r>
              <w:rPr/>
              <w:t>142,464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6" w:type="dxa"/>
            <w:tcBorders>
              <w:bottom w:val="double" w:sz="8" w:space="0" w:color="000000"/>
            </w:tcBorders>
            <w:shd w:fill="CCEEFF" w:val="clear"/>
            <w:tcMar>
              <w:bottom w:w="28" w:type="dxa"/>
            </w:tcMar>
            <w:vAlign w:val="bottom"/>
          </w:tcPr>
          <w:p>
            <w:pPr>
              <w:pStyle w:val="TableContents"/>
              <w:spacing w:before="0" w:after="0"/>
              <w:rPr/>
            </w:pPr>
            <w:r>
              <w:rPr/>
              <w:t>$</w:t>
            </w:r>
          </w:p>
        </w:tc>
        <w:tc>
          <w:tcPr>
            <w:tcW w:w="664" w:type="dxa"/>
            <w:tcBorders>
              <w:bottom w:val="double" w:sz="8" w:space="0" w:color="000000"/>
            </w:tcBorders>
            <w:shd w:fill="CCEEFF" w:val="clear"/>
            <w:tcMar>
              <w:bottom w:w="28" w:type="dxa"/>
            </w:tcMar>
            <w:vAlign w:val="bottom"/>
          </w:tcPr>
          <w:p>
            <w:pPr>
              <w:pStyle w:val="TableContents"/>
              <w:spacing w:before="0" w:after="0"/>
              <w:jc w:val="right"/>
              <w:rPr/>
            </w:pPr>
            <w:r>
              <w:rPr/>
              <w:t>4.66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4"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91" w:type="dxa"/>
            <w:tcBorders>
              <w:bottom w:val="double" w:sz="8" w:space="0" w:color="000000"/>
            </w:tcBorders>
            <w:shd w:fill="CCEEFF" w:val="clear"/>
            <w:tcMar>
              <w:bottom w:w="28" w:type="dxa"/>
            </w:tcMar>
            <w:vAlign w:val="bottom"/>
          </w:tcPr>
          <w:p>
            <w:pPr>
              <w:pStyle w:val="TableContents"/>
              <w:spacing w:before="0" w:after="0"/>
              <w:jc w:val="right"/>
              <w:rPr/>
            </w:pPr>
            <w:r>
              <w:rPr/>
              <w:t>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4" w:type="dxa"/>
            <w:tcBorders>
              <w:bottom w:val="double" w:sz="8" w:space="0" w:color="000000"/>
            </w:tcBorders>
            <w:shd w:fill="CCEEFF" w:val="clear"/>
            <w:tcMar>
              <w:bottom w:w="28" w:type="dxa"/>
            </w:tcMar>
            <w:vAlign w:val="bottom"/>
          </w:tcPr>
          <w:p>
            <w:pPr>
              <w:pStyle w:val="TableContents"/>
              <w:spacing w:before="0" w:after="0"/>
              <w:rPr/>
            </w:pPr>
            <w:r>
              <w:rPr/>
              <w:t>$</w:t>
            </w:r>
          </w:p>
        </w:tc>
        <w:tc>
          <w:tcPr>
            <w:tcW w:w="1096" w:type="dxa"/>
            <w:tcBorders>
              <w:bottom w:val="double" w:sz="8" w:space="0" w:color="000000"/>
            </w:tcBorders>
            <w:shd w:fill="CCEEFF" w:val="clear"/>
            <w:tcMar>
              <w:bottom w:w="28" w:type="dxa"/>
            </w:tcMar>
            <w:vAlign w:val="bottom"/>
          </w:tcPr>
          <w:p>
            <w:pPr>
              <w:pStyle w:val="TableContents"/>
              <w:spacing w:before="0" w:after="0"/>
              <w:jc w:val="right"/>
              <w:rPr/>
            </w:pPr>
            <w:r>
              <w:rPr/>
              <w:t>2,442</w:t>
            </w:r>
          </w:p>
        </w:tc>
        <w:tc>
          <w:tcPr>
            <w:tcW w:w="60" w:type="dxa"/>
            <w:tcBorders/>
            <w:shd w:fill="CCEEFF" w:val="clear"/>
            <w:vAlign w:val="bottom"/>
          </w:tcPr>
          <w:p>
            <w:pPr>
              <w:pStyle w:val="TableContents"/>
              <w:spacing w:before="0" w:after="283"/>
              <w:rPr/>
            </w:pPr>
            <w:r>
              <w:rPr/>
              <w:t> </w:t>
            </w:r>
          </w:p>
        </w:tc>
      </w:tr>
      <w:tr>
        <w:trPr/>
        <w:tc>
          <w:tcPr>
            <w:tcW w:w="2975" w:type="dxa"/>
            <w:tcBorders/>
            <w:shd w:fill="FFFFFF" w:val="clear"/>
            <w:vAlign w:val="bottom"/>
          </w:tcPr>
          <w:p>
            <w:pPr>
              <w:pStyle w:val="TableContents"/>
              <w:spacing w:before="0" w:after="0"/>
              <w:ind w:left="144" w:right="0" w:hanging="144"/>
              <w:rPr/>
            </w:pPr>
            <w:r>
              <w:rPr/>
              <w:t>Exercisable at June 30, 2019</w:t>
            </w:r>
          </w:p>
        </w:tc>
        <w:tc>
          <w:tcPr>
            <w:tcW w:w="60" w:type="dxa"/>
            <w:tcBorders/>
            <w:shd w:fill="FFFFFF" w:val="clear"/>
            <w:vAlign w:val="bottom"/>
          </w:tcPr>
          <w:p>
            <w:pPr>
              <w:pStyle w:val="TableContents"/>
              <w:spacing w:before="0" w:after="283"/>
              <w:rPr/>
            </w:pPr>
            <w:r>
              <w:rPr/>
              <w:t> </w:t>
            </w:r>
          </w:p>
        </w:tc>
        <w:tc>
          <w:tcPr>
            <w:tcW w:w="73" w:type="dxa"/>
            <w:tcBorders>
              <w:bottom w:val="double" w:sz="8" w:space="0" w:color="000000"/>
            </w:tcBorders>
            <w:shd w:fill="FFFFFF" w:val="clear"/>
            <w:tcMar>
              <w:bottom w:w="28" w:type="dxa"/>
            </w:tcMar>
            <w:vAlign w:val="bottom"/>
          </w:tcPr>
          <w:p>
            <w:pPr>
              <w:pStyle w:val="TableContents"/>
              <w:spacing w:before="0" w:after="283"/>
              <w:rPr/>
            </w:pPr>
            <w:r>
              <w:rPr/>
              <w:t> </w:t>
            </w:r>
          </w:p>
        </w:tc>
        <w:tc>
          <w:tcPr>
            <w:tcW w:w="982" w:type="dxa"/>
            <w:tcBorders>
              <w:bottom w:val="double" w:sz="8" w:space="0" w:color="000000"/>
            </w:tcBorders>
            <w:shd w:fill="FFFFFF" w:val="clear"/>
            <w:tcMar>
              <w:bottom w:w="28" w:type="dxa"/>
            </w:tcMar>
            <w:vAlign w:val="bottom"/>
          </w:tcPr>
          <w:p>
            <w:pPr>
              <w:pStyle w:val="TableContents"/>
              <w:spacing w:before="0" w:after="0"/>
              <w:jc w:val="right"/>
              <w:rPr/>
            </w:pPr>
            <w:r>
              <w:rPr/>
              <w:t>142,464</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6" w:type="dxa"/>
            <w:tcBorders>
              <w:bottom w:val="double" w:sz="8" w:space="0" w:color="000000"/>
            </w:tcBorders>
            <w:shd w:fill="FFFFFF" w:val="clear"/>
            <w:tcMar>
              <w:bottom w:w="28" w:type="dxa"/>
            </w:tcMar>
            <w:vAlign w:val="bottom"/>
          </w:tcPr>
          <w:p>
            <w:pPr>
              <w:pStyle w:val="TableContents"/>
              <w:spacing w:before="0" w:after="0"/>
              <w:rPr/>
            </w:pPr>
            <w:r>
              <w:rPr/>
              <w:t>$</w:t>
            </w:r>
          </w:p>
        </w:tc>
        <w:tc>
          <w:tcPr>
            <w:tcW w:w="664" w:type="dxa"/>
            <w:tcBorders>
              <w:bottom w:val="double" w:sz="8" w:space="0" w:color="000000"/>
            </w:tcBorders>
            <w:shd w:fill="FFFFFF" w:val="clear"/>
            <w:tcMar>
              <w:bottom w:w="28" w:type="dxa"/>
            </w:tcMar>
            <w:vAlign w:val="bottom"/>
          </w:tcPr>
          <w:p>
            <w:pPr>
              <w:pStyle w:val="TableContents"/>
              <w:spacing w:before="0" w:after="0"/>
              <w:jc w:val="right"/>
              <w:rPr/>
            </w:pPr>
            <w:r>
              <w:rPr/>
              <w:t>4.66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4" w:type="dxa"/>
            <w:tcBorders>
              <w:bottom w:val="double" w:sz="8" w:space="0" w:color="000000"/>
            </w:tcBorders>
            <w:shd w:fill="FFFFFF" w:val="clear"/>
            <w:tcMar>
              <w:bottom w:w="28" w:type="dxa"/>
            </w:tcMar>
            <w:vAlign w:val="bottom"/>
          </w:tcPr>
          <w:p>
            <w:pPr>
              <w:pStyle w:val="TableContents"/>
              <w:spacing w:before="0" w:after="283"/>
              <w:rPr/>
            </w:pPr>
            <w:r>
              <w:rPr/>
              <w:t> </w:t>
            </w:r>
          </w:p>
        </w:tc>
        <w:tc>
          <w:tcPr>
            <w:tcW w:w="1091" w:type="dxa"/>
            <w:tcBorders>
              <w:bottom w:val="double" w:sz="8" w:space="0" w:color="000000"/>
            </w:tcBorders>
            <w:shd w:fill="FFFFFF" w:val="clear"/>
            <w:tcMar>
              <w:bottom w:w="28" w:type="dxa"/>
            </w:tcMar>
            <w:vAlign w:val="bottom"/>
          </w:tcPr>
          <w:p>
            <w:pPr>
              <w:pStyle w:val="TableContents"/>
              <w:spacing w:before="0" w:after="0"/>
              <w:jc w:val="right"/>
              <w:rPr/>
            </w:pPr>
            <w:r>
              <w:rPr/>
              <w:t>3.5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74" w:type="dxa"/>
            <w:tcBorders>
              <w:bottom w:val="double" w:sz="8" w:space="0" w:color="000000"/>
            </w:tcBorders>
            <w:shd w:fill="FFFFFF" w:val="clear"/>
            <w:tcMar>
              <w:bottom w:w="28" w:type="dxa"/>
            </w:tcMar>
            <w:vAlign w:val="bottom"/>
          </w:tcPr>
          <w:p>
            <w:pPr>
              <w:pStyle w:val="TableContents"/>
              <w:spacing w:before="0" w:after="0"/>
              <w:rPr/>
            </w:pPr>
            <w:r>
              <w:rPr/>
              <w:t>$</w:t>
            </w:r>
          </w:p>
        </w:tc>
        <w:tc>
          <w:tcPr>
            <w:tcW w:w="1096" w:type="dxa"/>
            <w:tcBorders>
              <w:bottom w:val="double" w:sz="8" w:space="0" w:color="000000"/>
            </w:tcBorders>
            <w:shd w:fill="FFFFFF" w:val="clear"/>
            <w:tcMar>
              <w:bottom w:w="28" w:type="dxa"/>
            </w:tcMar>
            <w:vAlign w:val="bottom"/>
          </w:tcPr>
          <w:p>
            <w:pPr>
              <w:pStyle w:val="TableContents"/>
              <w:spacing w:before="0" w:after="0"/>
              <w:jc w:val="right"/>
              <w:rPr/>
            </w:pPr>
            <w:r>
              <w:rPr/>
              <w:t>2,442</w:t>
            </w:r>
          </w:p>
        </w:tc>
        <w:tc>
          <w:tcPr>
            <w:tcW w:w="60"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A summary of outstanding non-vested restricted stock and PSUs and related transactions follows:</w:t>
      </w:r>
    </w:p>
    <w:p>
      <w:pPr>
        <w:pStyle w:val="TextBody"/>
        <w:spacing w:before="0" w:after="0"/>
        <w:rPr/>
      </w:pPr>
      <w:r>
        <w:rPr/>
      </w:r>
    </w:p>
    <w:p>
      <w:pPr>
        <w:pStyle w:val="Normal"/>
        <w:spacing w:before="0" w:after="0"/>
        <w:rPr>
          <w:sz w:val="4"/>
          <w:szCs w:val="4"/>
        </w:rPr>
      </w:pPr>
      <w:r>
        <w:rPr>
          <w:sz w:val="4"/>
          <w:szCs w:val="4"/>
        </w:rPr>
      </w:r>
      <w:bookmarkStart w:id="410" w:name="z6505698f6064402ea75af7047ef9f533"/>
      <w:bookmarkStart w:id="411" w:name="z6505698f6064402ea75af7047ef9f533"/>
      <w:bookmarkEnd w:id="411"/>
    </w:p>
    <w:tbl>
      <w:tblPr>
        <w:tblW w:w="5255" w:type="dxa"/>
        <w:jc w:val="left"/>
        <w:tblInd w:w="0" w:type="dxa"/>
        <w:tblCellMar>
          <w:top w:w="0" w:type="dxa"/>
          <w:left w:w="0" w:type="dxa"/>
          <w:bottom w:w="0" w:type="dxa"/>
          <w:right w:w="0" w:type="dxa"/>
        </w:tblCellMar>
      </w:tblPr>
      <w:tblGrid>
        <w:gridCol w:w="2990"/>
        <w:gridCol w:w="60"/>
        <w:gridCol w:w="63"/>
        <w:gridCol w:w="842"/>
        <w:gridCol w:w="95"/>
        <w:gridCol w:w="60"/>
        <w:gridCol w:w="214"/>
        <w:gridCol w:w="856"/>
        <w:gridCol w:w="75"/>
      </w:tblGrid>
      <w:tr>
        <w:trPr/>
        <w:tc>
          <w:tcPr>
            <w:tcW w:w="29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jc w:val="center"/>
              <w:rPr/>
            </w:pPr>
            <w:r>
              <w:rPr/>
              <w:t>Number</w:t>
            </w:r>
          </w:p>
          <w:p>
            <w:pPr>
              <w:pStyle w:val="TableContents"/>
              <w:spacing w:before="0" w:after="0"/>
              <w:jc w:val="center"/>
              <w:rPr/>
            </w:pPr>
            <w:r>
              <w:rPr/>
              <w:t>of Shares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12" w:space="0" w:color="000000"/>
            </w:tcBorders>
            <w:shd w:fill="auto" w:val="clear"/>
            <w:tcMar>
              <w:bottom w:w="28" w:type="dxa"/>
            </w:tcMar>
            <w:vAlign w:val="bottom"/>
          </w:tcPr>
          <w:p>
            <w:pPr>
              <w:pStyle w:val="TableContents"/>
              <w:spacing w:before="0" w:after="0"/>
              <w:jc w:val="center"/>
              <w:rPr/>
            </w:pPr>
            <w:r>
              <w:rPr/>
              <w:t>Weighted-</w:t>
            </w:r>
          </w:p>
          <w:p>
            <w:pPr>
              <w:pStyle w:val="TableContents"/>
              <w:spacing w:before="0" w:after="0"/>
              <w:jc w:val="center"/>
              <w:rPr/>
            </w:pPr>
            <w:r>
              <w:rPr/>
              <w:t>Average</w:t>
            </w:r>
          </w:p>
          <w:p>
            <w:pPr>
              <w:pStyle w:val="TableContents"/>
              <w:spacing w:before="0" w:after="0"/>
              <w:jc w:val="center"/>
              <w:rPr/>
            </w:pPr>
            <w:r>
              <w:rPr/>
              <w:t>Grant Date</w:t>
            </w:r>
          </w:p>
          <w:p>
            <w:pPr>
              <w:pStyle w:val="TableContents"/>
              <w:spacing w:before="0" w:after="0"/>
              <w:jc w:val="center"/>
              <w:rPr/>
            </w:pPr>
            <w:r>
              <w:rPr/>
              <w:t>Fair Value</w:t>
            </w:r>
          </w:p>
        </w:tc>
        <w:tc>
          <w:tcPr>
            <w:tcW w:w="75" w:type="dxa"/>
            <w:tcBorders/>
            <w:shd w:fill="auto"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144" w:right="0" w:hanging="144"/>
              <w:rPr/>
            </w:pPr>
            <w:r>
              <w:rPr/>
              <w:t>Outstanding at January 1, 2019</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0"/>
              <w:jc w:val="right"/>
              <w:rPr/>
            </w:pPr>
            <w:r>
              <w:rPr/>
              <w:t>258,419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0"/>
              <w:rPr/>
            </w:pPr>
            <w:r>
              <w:rPr/>
              <w:t>$</w:t>
            </w:r>
          </w:p>
        </w:tc>
        <w:tc>
          <w:tcPr>
            <w:tcW w:w="856" w:type="dxa"/>
            <w:tcBorders/>
            <w:shd w:fill="CCEEFF" w:val="clear"/>
            <w:vAlign w:val="bottom"/>
          </w:tcPr>
          <w:p>
            <w:pPr>
              <w:pStyle w:val="TableContents"/>
              <w:spacing w:before="0" w:after="0"/>
              <w:jc w:val="right"/>
              <w:rPr/>
            </w:pPr>
            <w:r>
              <w:rPr/>
              <w:t>19.00</w:t>
            </w:r>
          </w:p>
        </w:tc>
        <w:tc>
          <w:tcPr>
            <w:tcW w:w="75" w:type="dxa"/>
            <w:tcBorders/>
            <w:shd w:fill="CCEEFF" w:val="clear"/>
            <w:vAlign w:val="bottom"/>
          </w:tcPr>
          <w:p>
            <w:pPr>
              <w:pStyle w:val="TableContents"/>
              <w:spacing w:before="0" w:after="283"/>
              <w:rPr/>
            </w:pPr>
            <w:r>
              <w:rPr/>
              <w:t> </w:t>
            </w:r>
          </w:p>
        </w:tc>
      </w:tr>
      <w:tr>
        <w:trPr/>
        <w:tc>
          <w:tcPr>
            <w:tcW w:w="2990" w:type="dxa"/>
            <w:tcBorders/>
            <w:shd w:fill="FFFFFF" w:val="clear"/>
            <w:vAlign w:val="bottom"/>
          </w:tcPr>
          <w:p>
            <w:pPr>
              <w:pStyle w:val="TableContents"/>
              <w:spacing w:before="0" w:after="0"/>
              <w:ind w:left="324" w:right="0" w:hanging="144"/>
              <w:rPr/>
            </w:pPr>
            <w:r>
              <w:rPr/>
              <w:t>Granted</w:t>
            </w:r>
          </w:p>
        </w:tc>
        <w:tc>
          <w:tcPr>
            <w:tcW w:w="60" w:type="dxa"/>
            <w:tcBorders/>
            <w:shd w:fill="FFFFFF" w:val="clear"/>
            <w:vAlign w:val="bottom"/>
          </w:tcPr>
          <w:p>
            <w:pPr>
              <w:pStyle w:val="TableContents"/>
              <w:spacing w:before="0" w:after="283"/>
              <w:rPr/>
            </w:pPr>
            <w:r>
              <w:rPr/>
              <w:t> </w:t>
            </w:r>
          </w:p>
        </w:tc>
        <w:tc>
          <w:tcPr>
            <w:tcW w:w="63"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0"/>
              <w:jc w:val="right"/>
              <w:rPr/>
            </w:pPr>
            <w:r>
              <w:rPr/>
              <w:t>78,283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22.98</w:t>
            </w:r>
          </w:p>
        </w:tc>
        <w:tc>
          <w:tcPr>
            <w:tcW w:w="75" w:type="dxa"/>
            <w:tcBorders/>
            <w:shd w:fill="FFFFFF"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324" w:right="0" w:hanging="144"/>
              <w:rPr/>
            </w:pPr>
            <w:r>
              <w:rPr/>
              <w:t>Vested</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0"/>
              <w:jc w:val="right"/>
              <w:rPr/>
            </w:pPr>
            <w:r>
              <w:rPr/>
              <w:t>(85,788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0"/>
              <w:jc w:val="right"/>
              <w:rPr/>
            </w:pPr>
            <w:r>
              <w:rPr/>
              <w:t>14.55</w:t>
            </w:r>
          </w:p>
        </w:tc>
        <w:tc>
          <w:tcPr>
            <w:tcW w:w="75" w:type="dxa"/>
            <w:tcBorders/>
            <w:shd w:fill="CCEEFF" w:val="clear"/>
            <w:vAlign w:val="bottom"/>
          </w:tcPr>
          <w:p>
            <w:pPr>
              <w:pStyle w:val="TableContents"/>
              <w:spacing w:before="0" w:after="283"/>
              <w:rPr/>
            </w:pPr>
            <w:r>
              <w:rPr/>
              <w:t> </w:t>
            </w:r>
          </w:p>
        </w:tc>
      </w:tr>
      <w:tr>
        <w:trPr/>
        <w:tc>
          <w:tcPr>
            <w:tcW w:w="2990" w:type="dxa"/>
            <w:tcBorders/>
            <w:shd w:fill="FFFFFF" w:val="clear"/>
            <w:vAlign w:val="bottom"/>
          </w:tcPr>
          <w:p>
            <w:pPr>
              <w:pStyle w:val="TableContents"/>
              <w:spacing w:before="0" w:after="0"/>
              <w:ind w:left="324" w:right="0" w:hanging="144"/>
              <w:rPr/>
            </w:pPr>
            <w:r>
              <w:rPr/>
              <w:t>Forfeited</w:t>
            </w:r>
          </w:p>
        </w:tc>
        <w:tc>
          <w:tcPr>
            <w:tcW w:w="60" w:type="dxa"/>
            <w:tcBorders/>
            <w:shd w:fill="FFFFFF" w:val="clear"/>
            <w:vAlign w:val="bottom"/>
          </w:tcPr>
          <w:p>
            <w:pPr>
              <w:pStyle w:val="TableContents"/>
              <w:spacing w:before="0" w:after="283"/>
              <w:rPr/>
            </w:pPr>
            <w:r>
              <w:rPr/>
              <w:t> </w:t>
            </w:r>
          </w:p>
        </w:tc>
        <w:tc>
          <w:tcPr>
            <w:tcW w:w="63"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42" w:type="dxa"/>
            <w:tcBorders>
              <w:bottom w:val="single" w:sz="12" w:space="0" w:color="000000"/>
            </w:tcBorders>
            <w:shd w:fill="FFFFFF" w:val="clear"/>
            <w:tcMar>
              <w:bottom w:w="28" w:type="dxa"/>
            </w:tcMar>
            <w:vAlign w:val="bottom"/>
          </w:tcPr>
          <w:p>
            <w:pPr>
              <w:pStyle w:val="TableContents"/>
              <w:spacing w:before="0" w:after="0"/>
              <w:jc w:val="right"/>
              <w:rPr/>
            </w:pPr>
            <w:r>
              <w:rPr/>
              <w:t>(11,475</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856" w:type="dxa"/>
            <w:tcBorders/>
            <w:shd w:fill="FFFFFF" w:val="clear"/>
            <w:vAlign w:val="bottom"/>
          </w:tcPr>
          <w:p>
            <w:pPr>
              <w:pStyle w:val="TableContents"/>
              <w:spacing w:before="0" w:after="0"/>
              <w:jc w:val="right"/>
              <w:rPr/>
            </w:pPr>
            <w:r>
              <w:rPr/>
              <w:t>22.91</w:t>
            </w:r>
          </w:p>
        </w:tc>
        <w:tc>
          <w:tcPr>
            <w:tcW w:w="75" w:type="dxa"/>
            <w:tcBorders/>
            <w:shd w:fill="FFFFFF" w:val="clear"/>
            <w:vAlign w:val="bottom"/>
          </w:tcPr>
          <w:p>
            <w:pPr>
              <w:pStyle w:val="TableContents"/>
              <w:spacing w:before="0" w:after="283"/>
              <w:rPr/>
            </w:pPr>
            <w:r>
              <w:rPr/>
              <w:t> </w:t>
            </w:r>
          </w:p>
        </w:tc>
      </w:tr>
      <w:tr>
        <w:trPr/>
        <w:tc>
          <w:tcPr>
            <w:tcW w:w="2990" w:type="dxa"/>
            <w:tcBorders/>
            <w:shd w:fill="CCEEFF" w:val="clear"/>
            <w:vAlign w:val="bottom"/>
          </w:tcPr>
          <w:p>
            <w:pPr>
              <w:pStyle w:val="TableContents"/>
              <w:spacing w:before="0" w:after="0"/>
              <w:ind w:left="144" w:right="0" w:hanging="144"/>
              <w:rPr/>
            </w:pPr>
            <w:r>
              <w:rPr/>
              <w:t>Outstanding at June 30, 2019</w:t>
            </w:r>
          </w:p>
        </w:tc>
        <w:tc>
          <w:tcPr>
            <w:tcW w:w="60" w:type="dxa"/>
            <w:tcBorders/>
            <w:shd w:fill="CCEEFF" w:val="clear"/>
            <w:vAlign w:val="bottom"/>
          </w:tcPr>
          <w:p>
            <w:pPr>
              <w:pStyle w:val="TableContents"/>
              <w:spacing w:before="0" w:after="283"/>
              <w:rPr/>
            </w:pPr>
            <w:r>
              <w:rPr/>
              <w:t> </w:t>
            </w:r>
          </w:p>
        </w:tc>
        <w:tc>
          <w:tcPr>
            <w:tcW w:w="63" w:type="dxa"/>
            <w:tcBorders>
              <w:bottom w:val="double" w:sz="8" w:space="0" w:color="000000"/>
            </w:tcBorders>
            <w:shd w:fill="CCEEFF" w:val="clear"/>
            <w:tcMar>
              <w:bottom w:w="28" w:type="dxa"/>
            </w:tcMar>
            <w:vAlign w:val="bottom"/>
          </w:tcPr>
          <w:p>
            <w:pPr>
              <w:pStyle w:val="TableContents"/>
              <w:spacing w:before="0" w:after="283"/>
              <w:rPr/>
            </w:pPr>
            <w:r>
              <w:rPr/>
              <w:t> </w:t>
            </w:r>
          </w:p>
        </w:tc>
        <w:tc>
          <w:tcPr>
            <w:tcW w:w="842" w:type="dxa"/>
            <w:tcBorders>
              <w:bottom w:val="double" w:sz="8" w:space="0" w:color="000000"/>
            </w:tcBorders>
            <w:shd w:fill="CCEEFF" w:val="clear"/>
            <w:tcMar>
              <w:bottom w:w="28" w:type="dxa"/>
            </w:tcMar>
            <w:vAlign w:val="bottom"/>
          </w:tcPr>
          <w:p>
            <w:pPr>
              <w:pStyle w:val="TableContents"/>
              <w:spacing w:before="0" w:after="0"/>
              <w:jc w:val="right"/>
              <w:rPr/>
            </w:pPr>
            <w:r>
              <w:rPr/>
              <w:t>239,439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4" w:type="dxa"/>
            <w:tcBorders>
              <w:bottom w:val="double" w:sz="8" w:space="0" w:color="000000"/>
            </w:tcBorders>
            <w:shd w:fill="CCEEFF" w:val="clear"/>
            <w:tcMar>
              <w:bottom w:w="28" w:type="dxa"/>
            </w:tcMar>
            <w:vAlign w:val="bottom"/>
          </w:tcPr>
          <w:p>
            <w:pPr>
              <w:pStyle w:val="TableContents"/>
              <w:spacing w:before="0" w:after="0"/>
              <w:rPr/>
            </w:pPr>
            <w:r>
              <w:rPr/>
              <w:t>$</w:t>
            </w:r>
          </w:p>
        </w:tc>
        <w:tc>
          <w:tcPr>
            <w:tcW w:w="856" w:type="dxa"/>
            <w:tcBorders>
              <w:bottom w:val="double" w:sz="8" w:space="0" w:color="000000"/>
            </w:tcBorders>
            <w:shd w:fill="CCEEFF" w:val="clear"/>
            <w:tcMar>
              <w:bottom w:w="28" w:type="dxa"/>
            </w:tcMar>
            <w:vAlign w:val="bottom"/>
          </w:tcPr>
          <w:p>
            <w:pPr>
              <w:pStyle w:val="TableContents"/>
              <w:spacing w:before="0" w:after="0"/>
              <w:jc w:val="right"/>
              <w:rPr/>
            </w:pPr>
            <w:r>
              <w:rPr/>
              <w:t>21.72</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12" w:name="DSPFPageBreakArea39"/>
      <w:bookmarkStart w:id="413" w:name="DSPFPageBreakArea39"/>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414" w:name="DSPFPageNumber39"/>
      <w:bookmarkStart w:id="415" w:name="DSPFPageNumberArea38"/>
      <w:bookmarkEnd w:id="414"/>
      <w:bookmarkEnd w:id="415"/>
      <w:r>
        <w:rPr>
          <w:b w:val="false"/>
          <w:i w:val="false"/>
          <w:caps w:val="false"/>
          <w:smallCaps w:val="false"/>
          <w:sz w:val="13"/>
        </w:rPr>
        <w:t>40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16" w:name="DSPFPageBreak39"/>
      <w:bookmarkStart w:id="417" w:name="DSPFPageBreak39"/>
      <w:bookmarkEnd w:id="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418" w:name="DSPFPageHeader38"/>
        <w:bookmarkEnd w:id="418"/>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Certain information regarding options exercised during the periods follows:</w:t>
      </w:r>
    </w:p>
    <w:p>
      <w:pPr>
        <w:pStyle w:val="TextBody"/>
        <w:spacing w:before="0" w:after="0"/>
        <w:rPr/>
      </w:pPr>
      <w:r>
        <w:rPr/>
      </w:r>
    </w:p>
    <w:p>
      <w:pPr>
        <w:pStyle w:val="Normal"/>
        <w:spacing w:before="0" w:after="0"/>
        <w:rPr>
          <w:sz w:val="4"/>
          <w:szCs w:val="4"/>
        </w:rPr>
      </w:pPr>
      <w:r>
        <w:rPr>
          <w:sz w:val="4"/>
          <w:szCs w:val="4"/>
        </w:rPr>
      </w:r>
      <w:bookmarkStart w:id="419" w:name="zd058411e3fef479782a6c1290ce86968"/>
      <w:bookmarkStart w:id="420" w:name="zd058411e3fef479782a6c1290ce86968"/>
      <w:bookmarkEnd w:id="420"/>
    </w:p>
    <w:tbl>
      <w:tblPr>
        <w:tblW w:w="6364" w:type="dxa"/>
        <w:jc w:val="left"/>
        <w:tblInd w:w="0" w:type="dxa"/>
        <w:tblCellMar>
          <w:top w:w="0" w:type="dxa"/>
          <w:left w:w="0" w:type="dxa"/>
          <w:bottom w:w="0" w:type="dxa"/>
          <w:right w:w="0" w:type="dxa"/>
        </w:tblCellMar>
      </w:tblPr>
      <w:tblGrid>
        <w:gridCol w:w="2255"/>
        <w:gridCol w:w="60"/>
        <w:gridCol w:w="298"/>
        <w:gridCol w:w="202"/>
        <w:gridCol w:w="115"/>
        <w:gridCol w:w="115"/>
        <w:gridCol w:w="269"/>
        <w:gridCol w:w="1080"/>
        <w:gridCol w:w="60"/>
        <w:gridCol w:w="60"/>
        <w:gridCol w:w="187"/>
        <w:gridCol w:w="507"/>
        <w:gridCol w:w="80"/>
        <w:gridCol w:w="80"/>
        <w:gridCol w:w="187"/>
        <w:gridCol w:w="749"/>
        <w:gridCol w:w="60"/>
      </w:tblGrid>
      <w:tr>
        <w:trPr/>
        <w:tc>
          <w:tcPr>
            <w:tcW w:w="2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79" w:type="dxa"/>
            <w:gridSpan w:val="6"/>
            <w:tcBorders>
              <w:bottom w:val="single" w:sz="12" w:space="0" w:color="000000"/>
            </w:tcBorders>
            <w:shd w:fill="auto" w:val="clear"/>
            <w:tcMar>
              <w:bottom w:w="28" w:type="dxa"/>
            </w:tcM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0" w:type="dxa"/>
            <w:gridSpan w:val="6"/>
            <w:tcBorders>
              <w:bottom w:val="single" w:sz="12" w:space="0" w:color="000000"/>
            </w:tcBorders>
            <w:shd w:fill="auto" w:val="clear"/>
            <w:tcMar>
              <w:bottom w:w="28" w:type="dxa"/>
            </w:tcM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60" w:type="dxa"/>
            <w:tcBorders/>
            <w:shd w:fill="auto" w:val="clear"/>
            <w:vAlign w:val="bottom"/>
          </w:tcPr>
          <w:p>
            <w:pPr>
              <w:pStyle w:val="TableContents"/>
              <w:spacing w:before="0" w:after="283"/>
              <w:rPr/>
            </w:pPr>
            <w:r>
              <w:rPr/>
              <w:t> </w:t>
            </w:r>
          </w:p>
        </w:tc>
      </w:tr>
      <w:tr>
        <w:trPr/>
        <w:tc>
          <w:tcPr>
            <w:tcW w:w="2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11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49"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4"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8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36"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60" w:type="dxa"/>
            <w:tcBorders/>
            <w:shd w:fill="auto" w:val="clear"/>
            <w:vAlign w:val="bottom"/>
          </w:tcPr>
          <w:p>
            <w:pPr>
              <w:pStyle w:val="TableContents"/>
              <w:spacing w:before="0" w:after="283"/>
              <w:rPr/>
            </w:pPr>
            <w:r>
              <w:rPr/>
              <w:t> </w:t>
            </w:r>
          </w:p>
        </w:tc>
      </w:tr>
      <w:tr>
        <w:trPr/>
        <w:tc>
          <w:tcPr>
            <w:tcW w:w="2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4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4"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255" w:type="dxa"/>
            <w:tcBorders/>
            <w:shd w:fill="CCEEFF" w:val="clear"/>
            <w:vAlign w:val="bottom"/>
          </w:tcPr>
          <w:p>
            <w:pPr>
              <w:pStyle w:val="TableContents"/>
              <w:spacing w:before="0" w:after="0"/>
              <w:ind w:left="144" w:right="0" w:hanging="144"/>
              <w:rPr/>
            </w:pPr>
            <w:r>
              <w:rPr/>
              <w:t>Intrinsic value</w:t>
            </w:r>
          </w:p>
        </w:tc>
        <w:tc>
          <w:tcPr>
            <w:tcW w:w="60" w:type="dxa"/>
            <w:tcBorders/>
            <w:shd w:fill="CCEEFF" w:val="clear"/>
            <w:vAlign w:val="bottom"/>
          </w:tcPr>
          <w:p>
            <w:pPr>
              <w:pStyle w:val="TableContents"/>
              <w:spacing w:before="0" w:after="283"/>
              <w:rPr/>
            </w:pPr>
            <w:r>
              <w:rPr/>
              <w:t> </w:t>
            </w:r>
          </w:p>
        </w:tc>
        <w:tc>
          <w:tcPr>
            <w:tcW w:w="298" w:type="dxa"/>
            <w:tcBorders>
              <w:bottom w:val="double" w:sz="8" w:space="0" w:color="000000"/>
            </w:tcBorders>
            <w:shd w:fill="CCEEFF" w:val="clear"/>
            <w:tcMar>
              <w:bottom w:w="28" w:type="dxa"/>
            </w:tcMar>
            <w:vAlign w:val="bottom"/>
          </w:tcPr>
          <w:p>
            <w:pPr>
              <w:pStyle w:val="TableContents"/>
              <w:spacing w:before="0" w:after="0"/>
              <w:rPr/>
            </w:pPr>
            <w:r>
              <w:rPr/>
              <w:t>$</w:t>
            </w:r>
          </w:p>
        </w:tc>
        <w:tc>
          <w:tcPr>
            <w:tcW w:w="202" w:type="dxa"/>
            <w:tcBorders>
              <w:bottom w:val="double" w:sz="8" w:space="0" w:color="000000"/>
            </w:tcBorders>
            <w:shd w:fill="CCEEFF" w:val="clear"/>
            <w:tcMar>
              <w:bottom w:w="28" w:type="dxa"/>
            </w:tcMar>
            <w:vAlign w:val="bottom"/>
          </w:tcPr>
          <w:p>
            <w:pPr>
              <w:pStyle w:val="TableContents"/>
              <w:spacing w:before="0" w:after="0"/>
              <w:jc w:val="right"/>
              <w:rPr/>
            </w:pPr>
            <w:r>
              <w:rPr/>
              <w:t>-</w:t>
            </w:r>
          </w:p>
        </w:tc>
        <w:tc>
          <w:tcPr>
            <w:tcW w:w="11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69" w:type="dxa"/>
            <w:tcBorders>
              <w:bottom w:val="double" w:sz="8" w:space="0" w:color="000000"/>
            </w:tcBorders>
            <w:shd w:fill="CCEEFF" w:val="clear"/>
            <w:tcMar>
              <w:bottom w:w="28" w:type="dxa"/>
            </w:tcMar>
            <w:vAlign w:val="bottom"/>
          </w:tcPr>
          <w:p>
            <w:pPr>
              <w:pStyle w:val="TableContents"/>
              <w:spacing w:before="0" w:after="0"/>
              <w:rPr/>
            </w:pPr>
            <w:r>
              <w:rPr/>
              <w:t>$</w:t>
            </w:r>
          </w:p>
        </w:tc>
        <w:tc>
          <w:tcPr>
            <w:tcW w:w="1080" w:type="dxa"/>
            <w:tcBorders>
              <w:bottom w:val="double" w:sz="8" w:space="0" w:color="000000"/>
            </w:tcBorders>
            <w:shd w:fill="CCEEFF" w:val="clear"/>
            <w:tcMar>
              <w:bottom w:w="28" w:type="dxa"/>
            </w:tcMar>
            <w:vAlign w:val="bottom"/>
          </w:tcPr>
          <w:p>
            <w:pPr>
              <w:pStyle w:val="TableContents"/>
              <w:spacing w:before="0" w:after="0"/>
              <w:jc w:val="right"/>
              <w:rPr/>
            </w:pPr>
            <w:r>
              <w:rPr/>
              <w:t>1,596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bottom w:val="double" w:sz="8" w:space="0" w:color="000000"/>
            </w:tcBorders>
            <w:shd w:fill="CCEEFF" w:val="clear"/>
            <w:tcMar>
              <w:bottom w:w="28" w:type="dxa"/>
            </w:tcMar>
            <w:vAlign w:val="bottom"/>
          </w:tcPr>
          <w:p>
            <w:pPr>
              <w:pStyle w:val="TableContents"/>
              <w:spacing w:before="0" w:after="0"/>
              <w:rPr/>
            </w:pPr>
            <w:r>
              <w:rPr/>
              <w:t>$</w:t>
            </w:r>
          </w:p>
        </w:tc>
        <w:tc>
          <w:tcPr>
            <w:tcW w:w="507" w:type="dxa"/>
            <w:tcBorders>
              <w:bottom w:val="double" w:sz="8" w:space="0" w:color="000000"/>
            </w:tcBorders>
            <w:shd w:fill="CCEEFF" w:val="clear"/>
            <w:tcMar>
              <w:bottom w:w="28" w:type="dxa"/>
            </w:tcMar>
            <w:vAlign w:val="bottom"/>
          </w:tcPr>
          <w:p>
            <w:pPr>
              <w:pStyle w:val="TableContents"/>
              <w:spacing w:before="0" w:after="0"/>
              <w:jc w:val="right"/>
              <w:rPr/>
            </w:pPr>
            <w:r>
              <w:rPr/>
              <w:t>836</w:t>
            </w:r>
          </w:p>
        </w:tc>
        <w:tc>
          <w:tcPr>
            <w:tcW w:w="8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87" w:type="dxa"/>
            <w:tcBorders>
              <w:bottom w:val="double" w:sz="8" w:space="0" w:color="000000"/>
            </w:tcBorders>
            <w:shd w:fill="CCEEFF" w:val="clear"/>
            <w:tcMar>
              <w:bottom w:w="28" w:type="dxa"/>
            </w:tcMar>
            <w:vAlign w:val="bottom"/>
          </w:tcPr>
          <w:p>
            <w:pPr>
              <w:pStyle w:val="TableContents"/>
              <w:spacing w:before="0" w:after="0"/>
              <w:rPr/>
            </w:pPr>
            <w:r>
              <w:rPr/>
              <w:t>$</w:t>
            </w:r>
          </w:p>
        </w:tc>
        <w:tc>
          <w:tcPr>
            <w:tcW w:w="749" w:type="dxa"/>
            <w:tcBorders>
              <w:bottom w:val="double" w:sz="8" w:space="0" w:color="000000"/>
            </w:tcBorders>
            <w:shd w:fill="CCEEFF" w:val="clear"/>
            <w:tcMar>
              <w:bottom w:w="28" w:type="dxa"/>
            </w:tcMar>
            <w:vAlign w:val="bottom"/>
          </w:tcPr>
          <w:p>
            <w:pPr>
              <w:pStyle w:val="TableContents"/>
              <w:spacing w:before="0" w:after="0"/>
              <w:jc w:val="right"/>
              <w:rPr/>
            </w:pPr>
            <w:r>
              <w:rPr/>
              <w:t>1,674</w:t>
            </w:r>
          </w:p>
        </w:tc>
        <w:tc>
          <w:tcPr>
            <w:tcW w:w="60" w:type="dxa"/>
            <w:tcBorders/>
            <w:shd w:fill="CCEEFF" w:val="clear"/>
            <w:vAlign w:val="bottom"/>
          </w:tcPr>
          <w:p>
            <w:pPr>
              <w:pStyle w:val="TableContents"/>
              <w:spacing w:before="0" w:after="283"/>
              <w:rPr/>
            </w:pPr>
            <w:r>
              <w:rPr/>
              <w:t> </w:t>
            </w:r>
          </w:p>
        </w:tc>
      </w:tr>
      <w:tr>
        <w:trPr/>
        <w:tc>
          <w:tcPr>
            <w:tcW w:w="2255" w:type="dxa"/>
            <w:tcBorders/>
            <w:shd w:fill="FFFFFF" w:val="clear"/>
            <w:vAlign w:val="bottom"/>
          </w:tcPr>
          <w:p>
            <w:pPr>
              <w:pStyle w:val="TableContents"/>
              <w:spacing w:before="0" w:after="0"/>
              <w:ind w:left="144" w:right="0" w:hanging="144"/>
              <w:rPr/>
            </w:pPr>
            <w:r>
              <w:rPr/>
              <w:t>Cash proceeds received</w:t>
            </w:r>
          </w:p>
        </w:tc>
        <w:tc>
          <w:tcPr>
            <w:tcW w:w="60" w:type="dxa"/>
            <w:tcBorders/>
            <w:shd w:fill="FFFFFF" w:val="clear"/>
            <w:vAlign w:val="bottom"/>
          </w:tcPr>
          <w:p>
            <w:pPr>
              <w:pStyle w:val="TableContents"/>
              <w:spacing w:before="0" w:after="283"/>
              <w:rPr/>
            </w:pPr>
            <w:r>
              <w:rPr/>
              <w:t> </w:t>
            </w:r>
          </w:p>
        </w:tc>
        <w:tc>
          <w:tcPr>
            <w:tcW w:w="298" w:type="dxa"/>
            <w:tcBorders>
              <w:bottom w:val="double" w:sz="8" w:space="0" w:color="000000"/>
            </w:tcBorders>
            <w:shd w:fill="FFFFFF" w:val="clear"/>
            <w:tcMar>
              <w:bottom w:w="28" w:type="dxa"/>
            </w:tcMar>
            <w:vAlign w:val="bottom"/>
          </w:tcPr>
          <w:p>
            <w:pPr>
              <w:pStyle w:val="TableContents"/>
              <w:spacing w:before="0" w:after="0"/>
              <w:rPr/>
            </w:pPr>
            <w:r>
              <w:rPr/>
              <w:t>$</w:t>
            </w:r>
          </w:p>
        </w:tc>
        <w:tc>
          <w:tcPr>
            <w:tcW w:w="202" w:type="dxa"/>
            <w:tcBorders>
              <w:bottom w:val="double" w:sz="8" w:space="0" w:color="000000"/>
            </w:tcBorders>
            <w:shd w:fill="FFFFFF" w:val="clear"/>
            <w:tcMar>
              <w:bottom w:w="28" w:type="dxa"/>
            </w:tcMar>
            <w:vAlign w:val="bottom"/>
          </w:tcPr>
          <w:p>
            <w:pPr>
              <w:pStyle w:val="TableContents"/>
              <w:spacing w:before="0" w:after="0"/>
              <w:jc w:val="right"/>
              <w:rPr/>
            </w:pPr>
            <w:r>
              <w:rPr/>
              <w:t>-</w:t>
            </w:r>
          </w:p>
        </w:tc>
        <w:tc>
          <w:tcPr>
            <w:tcW w:w="115" w:type="dxa"/>
            <w:tcBorders/>
            <w:shd w:fill="FFFFFF" w:val="clear"/>
            <w:vAlign w:val="bottom"/>
          </w:tcPr>
          <w:p>
            <w:pPr>
              <w:pStyle w:val="TableContents"/>
              <w:spacing w:before="0" w:after="283"/>
              <w:rPr/>
            </w:pPr>
            <w:r>
              <w:rPr/>
              <w:t> </w:t>
            </w:r>
          </w:p>
        </w:tc>
        <w:tc>
          <w:tcPr>
            <w:tcW w:w="115" w:type="dxa"/>
            <w:tcBorders/>
            <w:shd w:fill="FFFFFF" w:val="clear"/>
            <w:vAlign w:val="bottom"/>
          </w:tcPr>
          <w:p>
            <w:pPr>
              <w:pStyle w:val="TableContents"/>
              <w:spacing w:before="0" w:after="283"/>
              <w:rPr/>
            </w:pPr>
            <w:r>
              <w:rPr/>
              <w:t> </w:t>
            </w:r>
          </w:p>
        </w:tc>
        <w:tc>
          <w:tcPr>
            <w:tcW w:w="269" w:type="dxa"/>
            <w:tcBorders>
              <w:bottom w:val="double" w:sz="8" w:space="0" w:color="000000"/>
            </w:tcBorders>
            <w:shd w:fill="FFFFFF" w:val="clear"/>
            <w:tcMar>
              <w:bottom w:w="28" w:type="dxa"/>
            </w:tcMar>
            <w:vAlign w:val="bottom"/>
          </w:tcPr>
          <w:p>
            <w:pPr>
              <w:pStyle w:val="TableContents"/>
              <w:spacing w:before="0" w:after="0"/>
              <w:rPr/>
            </w:pPr>
            <w:r>
              <w:rPr/>
              <w:t>$</w:t>
            </w:r>
          </w:p>
        </w:tc>
        <w:tc>
          <w:tcPr>
            <w:tcW w:w="1080" w:type="dxa"/>
            <w:tcBorders>
              <w:bottom w:val="double" w:sz="8" w:space="0" w:color="000000"/>
            </w:tcBorders>
            <w:shd w:fill="FFFFFF" w:val="clear"/>
            <w:tcMar>
              <w:bottom w:w="28" w:type="dxa"/>
            </w:tcMar>
            <w:vAlign w:val="bottom"/>
          </w:tcPr>
          <w:p>
            <w:pPr>
              <w:pStyle w:val="TableContents"/>
              <w:spacing w:before="0" w:after="0"/>
              <w:jc w:val="right"/>
              <w:rPr/>
            </w:pPr>
            <w:r>
              <w:rPr/>
              <w:t>971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bottom w:val="double" w:sz="8" w:space="0" w:color="000000"/>
            </w:tcBorders>
            <w:shd w:fill="FFFFFF" w:val="clear"/>
            <w:tcMar>
              <w:bottom w:w="28" w:type="dxa"/>
            </w:tcMar>
            <w:vAlign w:val="bottom"/>
          </w:tcPr>
          <w:p>
            <w:pPr>
              <w:pStyle w:val="TableContents"/>
              <w:spacing w:before="0" w:after="0"/>
              <w:rPr/>
            </w:pPr>
            <w:r>
              <w:rPr/>
              <w:t>$</w:t>
            </w:r>
          </w:p>
        </w:tc>
        <w:tc>
          <w:tcPr>
            <w:tcW w:w="507" w:type="dxa"/>
            <w:tcBorders>
              <w:bottom w:val="double" w:sz="8" w:space="0" w:color="000000"/>
            </w:tcBorders>
            <w:shd w:fill="FFFFFF" w:val="clear"/>
            <w:tcMar>
              <w:bottom w:w="28" w:type="dxa"/>
            </w:tcMar>
            <w:vAlign w:val="bottom"/>
          </w:tcPr>
          <w:p>
            <w:pPr>
              <w:pStyle w:val="TableContents"/>
              <w:spacing w:before="0" w:after="0"/>
              <w:jc w:val="right"/>
              <w:rPr/>
            </w:pPr>
            <w:r>
              <w:rPr/>
              <w:t>695</w:t>
            </w:r>
          </w:p>
        </w:tc>
        <w:tc>
          <w:tcPr>
            <w:tcW w:w="80"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rPr/>
            </w:pPr>
            <w:r>
              <w:rPr/>
              <w:t> </w:t>
            </w:r>
          </w:p>
        </w:tc>
        <w:tc>
          <w:tcPr>
            <w:tcW w:w="187" w:type="dxa"/>
            <w:tcBorders>
              <w:bottom w:val="double" w:sz="8" w:space="0" w:color="000000"/>
            </w:tcBorders>
            <w:shd w:fill="FFFFFF" w:val="clear"/>
            <w:tcMar>
              <w:bottom w:w="28" w:type="dxa"/>
            </w:tcMar>
            <w:vAlign w:val="bottom"/>
          </w:tcPr>
          <w:p>
            <w:pPr>
              <w:pStyle w:val="TableContents"/>
              <w:spacing w:before="0" w:after="0"/>
              <w:rPr/>
            </w:pPr>
            <w:r>
              <w:rPr/>
              <w:t>$</w:t>
            </w:r>
          </w:p>
        </w:tc>
        <w:tc>
          <w:tcPr>
            <w:tcW w:w="749" w:type="dxa"/>
            <w:tcBorders>
              <w:bottom w:val="double" w:sz="8" w:space="0" w:color="000000"/>
            </w:tcBorders>
            <w:shd w:fill="FFFFFF" w:val="clear"/>
            <w:tcMar>
              <w:bottom w:w="28" w:type="dxa"/>
            </w:tcMar>
            <w:vAlign w:val="bottom"/>
          </w:tcPr>
          <w:p>
            <w:pPr>
              <w:pStyle w:val="TableContents"/>
              <w:spacing w:before="0" w:after="0"/>
              <w:jc w:val="right"/>
              <w:rPr/>
            </w:pPr>
            <w:r>
              <w:rPr/>
              <w:t>984</w:t>
            </w:r>
          </w:p>
        </w:tc>
        <w:tc>
          <w:tcPr>
            <w:tcW w:w="60" w:type="dxa"/>
            <w:tcBorders/>
            <w:shd w:fill="FFFFFF" w:val="clear"/>
            <w:vAlign w:val="bottom"/>
          </w:tcPr>
          <w:p>
            <w:pPr>
              <w:pStyle w:val="TableContents"/>
              <w:spacing w:before="0" w:after="283"/>
              <w:rPr/>
            </w:pPr>
            <w:r>
              <w:rPr/>
              <w:t> </w:t>
            </w:r>
          </w:p>
        </w:tc>
      </w:tr>
      <w:tr>
        <w:trPr/>
        <w:tc>
          <w:tcPr>
            <w:tcW w:w="2255" w:type="dxa"/>
            <w:tcBorders/>
            <w:shd w:fill="CCEEFF" w:val="clear"/>
            <w:vAlign w:val="bottom"/>
          </w:tcPr>
          <w:p>
            <w:pPr>
              <w:pStyle w:val="TableContents"/>
              <w:spacing w:before="0" w:after="0"/>
              <w:ind w:left="144" w:right="0" w:hanging="144"/>
              <w:rPr/>
            </w:pPr>
            <w:r>
              <w:rPr/>
              <w:t>Tax benefit realized</w:t>
            </w:r>
          </w:p>
        </w:tc>
        <w:tc>
          <w:tcPr>
            <w:tcW w:w="60" w:type="dxa"/>
            <w:tcBorders/>
            <w:shd w:fill="CCEEFF" w:val="clear"/>
            <w:vAlign w:val="bottom"/>
          </w:tcPr>
          <w:p>
            <w:pPr>
              <w:pStyle w:val="TableContents"/>
              <w:spacing w:before="0" w:after="283"/>
              <w:rPr/>
            </w:pPr>
            <w:r>
              <w:rPr/>
              <w:t> </w:t>
            </w:r>
          </w:p>
        </w:tc>
        <w:tc>
          <w:tcPr>
            <w:tcW w:w="298" w:type="dxa"/>
            <w:tcBorders>
              <w:bottom w:val="double" w:sz="8" w:space="0" w:color="000000"/>
            </w:tcBorders>
            <w:shd w:fill="CCEEFF" w:val="clear"/>
            <w:tcMar>
              <w:bottom w:w="28" w:type="dxa"/>
            </w:tcMar>
            <w:vAlign w:val="bottom"/>
          </w:tcPr>
          <w:p>
            <w:pPr>
              <w:pStyle w:val="TableContents"/>
              <w:spacing w:before="0" w:after="0"/>
              <w:rPr/>
            </w:pPr>
            <w:r>
              <w:rPr/>
              <w:t>$</w:t>
            </w:r>
          </w:p>
        </w:tc>
        <w:tc>
          <w:tcPr>
            <w:tcW w:w="202" w:type="dxa"/>
            <w:tcBorders>
              <w:bottom w:val="double" w:sz="8" w:space="0" w:color="000000"/>
            </w:tcBorders>
            <w:shd w:fill="CCEEFF" w:val="clear"/>
            <w:tcMar>
              <w:bottom w:w="28" w:type="dxa"/>
            </w:tcMar>
            <w:vAlign w:val="bottom"/>
          </w:tcPr>
          <w:p>
            <w:pPr>
              <w:pStyle w:val="TableContents"/>
              <w:spacing w:before="0" w:after="0"/>
              <w:jc w:val="right"/>
              <w:rPr/>
            </w:pPr>
            <w:r>
              <w:rPr/>
              <w:t>-</w:t>
            </w:r>
          </w:p>
        </w:tc>
        <w:tc>
          <w:tcPr>
            <w:tcW w:w="11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69" w:type="dxa"/>
            <w:tcBorders>
              <w:bottom w:val="double" w:sz="8" w:space="0" w:color="000000"/>
            </w:tcBorders>
            <w:shd w:fill="CCEEFF" w:val="clear"/>
            <w:tcMar>
              <w:bottom w:w="28" w:type="dxa"/>
            </w:tcMar>
            <w:vAlign w:val="bottom"/>
          </w:tcPr>
          <w:p>
            <w:pPr>
              <w:pStyle w:val="TableContents"/>
              <w:spacing w:before="0" w:after="0"/>
              <w:rPr/>
            </w:pPr>
            <w:r>
              <w:rPr/>
              <w:t>$</w:t>
            </w:r>
          </w:p>
        </w:tc>
        <w:tc>
          <w:tcPr>
            <w:tcW w:w="1080" w:type="dxa"/>
            <w:tcBorders>
              <w:bottom w:val="double" w:sz="8" w:space="0" w:color="000000"/>
            </w:tcBorders>
            <w:shd w:fill="CCEEFF" w:val="clear"/>
            <w:tcMar>
              <w:bottom w:w="28" w:type="dxa"/>
            </w:tcMar>
            <w:vAlign w:val="bottom"/>
          </w:tcPr>
          <w:p>
            <w:pPr>
              <w:pStyle w:val="TableContents"/>
              <w:spacing w:before="0" w:after="0"/>
              <w:jc w:val="right"/>
              <w:rPr/>
            </w:pPr>
            <w:r>
              <w:rPr/>
              <w:t>336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bottom w:val="double" w:sz="8" w:space="0" w:color="000000"/>
            </w:tcBorders>
            <w:shd w:fill="CCEEFF" w:val="clear"/>
            <w:tcMar>
              <w:bottom w:w="28" w:type="dxa"/>
            </w:tcMar>
            <w:vAlign w:val="bottom"/>
          </w:tcPr>
          <w:p>
            <w:pPr>
              <w:pStyle w:val="TableContents"/>
              <w:spacing w:before="0" w:after="0"/>
              <w:rPr/>
            </w:pPr>
            <w:r>
              <w:rPr/>
              <w:t>$</w:t>
            </w:r>
          </w:p>
        </w:tc>
        <w:tc>
          <w:tcPr>
            <w:tcW w:w="507" w:type="dxa"/>
            <w:tcBorders>
              <w:bottom w:val="double" w:sz="8" w:space="0" w:color="000000"/>
            </w:tcBorders>
            <w:shd w:fill="CCEEFF" w:val="clear"/>
            <w:tcMar>
              <w:bottom w:w="28" w:type="dxa"/>
            </w:tcMar>
            <w:vAlign w:val="bottom"/>
          </w:tcPr>
          <w:p>
            <w:pPr>
              <w:pStyle w:val="TableContents"/>
              <w:spacing w:before="0" w:after="0"/>
              <w:jc w:val="right"/>
              <w:rPr/>
            </w:pPr>
            <w:r>
              <w:rPr/>
              <w:t>176</w:t>
            </w:r>
          </w:p>
        </w:tc>
        <w:tc>
          <w:tcPr>
            <w:tcW w:w="8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87" w:type="dxa"/>
            <w:tcBorders>
              <w:bottom w:val="double" w:sz="8" w:space="0" w:color="000000"/>
            </w:tcBorders>
            <w:shd w:fill="CCEEFF" w:val="clear"/>
            <w:tcMar>
              <w:bottom w:w="28" w:type="dxa"/>
            </w:tcMar>
            <w:vAlign w:val="bottom"/>
          </w:tcPr>
          <w:p>
            <w:pPr>
              <w:pStyle w:val="TableContents"/>
              <w:spacing w:before="0" w:after="0"/>
              <w:rPr/>
            </w:pPr>
            <w:r>
              <w:rPr/>
              <w:t>$</w:t>
            </w:r>
          </w:p>
        </w:tc>
        <w:tc>
          <w:tcPr>
            <w:tcW w:w="749" w:type="dxa"/>
            <w:tcBorders>
              <w:bottom w:val="double" w:sz="8" w:space="0" w:color="000000"/>
            </w:tcBorders>
            <w:shd w:fill="CCEEFF" w:val="clear"/>
            <w:tcMar>
              <w:bottom w:w="28" w:type="dxa"/>
            </w:tcMar>
            <w:vAlign w:val="bottom"/>
          </w:tcPr>
          <w:p>
            <w:pPr>
              <w:pStyle w:val="TableContents"/>
              <w:spacing w:before="0" w:after="0"/>
              <w:jc w:val="right"/>
              <w:rPr/>
            </w:pPr>
            <w:r>
              <w:rPr/>
              <w:t>352</w:t>
            </w:r>
          </w:p>
        </w:tc>
        <w:tc>
          <w:tcPr>
            <w:tcW w:w="60" w:type="dxa"/>
            <w:tcBorders/>
            <w:shd w:fill="CCEE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 xml:space="preserve">9.    </w:t>
      </w:r>
      <w:r>
        <w:rPr>
          <w:u w:val="single"/>
        </w:rPr>
        <w:t>Income Tax</w:t>
      </w:r>
    </w:p>
    <w:p>
      <w:pPr>
        <w:pStyle w:val="TextBody"/>
        <w:spacing w:before="0" w:after="0"/>
        <w:rPr/>
      </w:pPr>
      <w:r>
        <w:rPr/>
      </w:r>
    </w:p>
    <w:p>
      <w:pPr>
        <w:pStyle w:val="TextBody"/>
        <w:spacing w:before="0" w:after="0"/>
        <w:jc w:val="both"/>
        <w:rPr/>
      </w:pPr>
      <w:r>
        <w:rPr/>
        <w:t>Income tax expense was $2.7 million and $2.1 million during the three month periods ended June 30, 2019 and 2018, respectively and $4.9 million and $4.1 million during the six months ended June 30, 2019 and 2018,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six month periods ending June 30, 2019 include reductions of zero and $0.2 million, respectively, of income tax expense related to the impact of the excess value of stock awards that vested and stock options that were exercised as compared to the initial fair values that were expensed.  These amounts during the same periods in 2018 were $0.1 million and $0.3 million, respectively.</w:t>
      </w:r>
    </w:p>
    <w:p>
      <w:pPr>
        <w:pStyle w:val="TextBody"/>
        <w:spacing w:before="0" w:after="0"/>
        <w:rPr/>
      </w:pPr>
      <w:r>
        <w:rPr/>
      </w:r>
    </w:p>
    <w:p>
      <w:pPr>
        <w:pStyle w:val="TextBody"/>
        <w:spacing w:before="0" w:after="0"/>
        <w:jc w:val="both"/>
        <w:rPr/>
      </w:pPr>
      <w:r>
        <w:rPr/>
        <w:t>We assess whether a valuation allowance should be established against our deferred tax assets based on the consideration of all available evidence using a “more likely than not” standard.</w:t>
      </w:r>
      <w:r>
        <w:rPr>
          <w:color w:val="000000"/>
        </w:rPr>
        <w:t xml:space="preserve">  The ultimate realization of this asset is primarily based on generating future income.  </w:t>
      </w:r>
      <w:r>
        <w:rPr/>
        <w:t xml:space="preserve">We concluded at June 30, 2019, June 30, 2018 and December 31, 2018 that the </w:t>
      </w:r>
      <w:r>
        <w:rPr>
          <w:color w:val="000000"/>
        </w:rPr>
        <w:t>realization of substantially all of our deferred tax assets continues to be more likely than not.</w:t>
      </w:r>
    </w:p>
    <w:p>
      <w:pPr>
        <w:pStyle w:val="TextBody"/>
        <w:spacing w:before="0" w:after="0"/>
        <w:rPr/>
      </w:pPr>
      <w:r>
        <w:rPr/>
      </w:r>
    </w:p>
    <w:p>
      <w:pPr>
        <w:pStyle w:val="TextBody"/>
        <w:spacing w:before="0" w:after="0"/>
        <w:jc w:val="both"/>
        <w:rPr/>
      </w:pPr>
      <w:r>
        <w:rPr/>
        <w:t>At both June 30, 2019 and December 31, 2018, we had approximately $0.6 million, of gross unrecognized tax benefits.  We do not expect the total amount of unrecognized tax benefits to significantly increase or decrease during the balance of 2019.</w:t>
      </w:r>
    </w:p>
    <w:p>
      <w:pPr>
        <w:pStyle w:val="TextBody"/>
        <w:spacing w:before="0" w:after="0"/>
        <w:rPr/>
      </w:pPr>
      <w:r>
        <w:rPr/>
      </w:r>
    </w:p>
    <w:p>
      <w:pPr>
        <w:pStyle w:val="TextBody"/>
        <w:spacing w:before="0" w:after="0"/>
        <w:jc w:val="both"/>
        <w:rPr/>
      </w:pPr>
      <w:r>
        <w:rPr/>
        <w:t xml:space="preserve">10.  </w:t>
      </w:r>
      <w:r>
        <w:rPr>
          <w:u w:val="single"/>
        </w:rPr>
        <w:t>Regulatory Matters</w:t>
      </w:r>
    </w:p>
    <w:p>
      <w:pPr>
        <w:pStyle w:val="TextBody"/>
        <w:spacing w:before="0" w:after="0"/>
        <w:rPr/>
      </w:pPr>
      <w:r>
        <w:rPr/>
      </w:r>
    </w:p>
    <w:p>
      <w:pPr>
        <w:pStyle w:val="TextBody"/>
        <w:jc w:val="both"/>
        <w:rPr/>
      </w:pPr>
      <w:r>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June 30, 2019, the Bank had positive undivided profits of $32.6 million.  It is not our intent to have dividends paid in amounts that would reduce the capital of our Bank to levels below those which we consider prudent and in accordance with guidelines of regulatory authorities.</w:t>
      </w:r>
    </w:p>
    <w:p>
      <w:pPr>
        <w:pStyle w:val="TextBody"/>
        <w:jc w:val="both"/>
        <w:rPr/>
      </w:pPr>
      <w:r>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Under capital adequacy guidelines, we must meet specific capital requirements that involve quantitative measures as well as qualitative judgments by the regulators. The most recent regulatory filings as of June 30, 2019 and December 31, 2018, categorized our Bank as well capitalized. Management is not aware of any conditions or events that would have changed the most recent Federal Deposit Insurance Corporation (“FDIC”) categorization.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21" w:name="DSPFPageBreakArea40"/>
      <w:bookmarkStart w:id="422" w:name="DSPFPageBreakArea40"/>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423" w:name="DSPFPageNumber40"/>
      <w:bookmarkStart w:id="424" w:name="DSPFPageNumberArea39"/>
      <w:bookmarkEnd w:id="423"/>
      <w:bookmarkEnd w:id="424"/>
      <w:r>
        <w:rPr>
          <w:b w:val="false"/>
          <w:i w:val="false"/>
          <w:caps w:val="false"/>
          <w:smallCaps w:val="false"/>
          <w:sz w:val="13"/>
        </w:rPr>
        <w:t>41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25" w:name="DSPFPageBreak40"/>
      <w:bookmarkStart w:id="426" w:name="DSPFPageBreak40"/>
      <w:bookmarkEnd w:id="4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427" w:name="DSPFPageHeader39"/>
        <w:bookmarkEnd w:id="427"/>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Our actual capital amounts and ratios follow (1):</w:t>
      </w:r>
    </w:p>
    <w:p>
      <w:pPr>
        <w:pStyle w:val="TextBody"/>
        <w:spacing w:before="0" w:after="0"/>
        <w:rPr/>
      </w:pPr>
      <w:r>
        <w:rPr/>
      </w:r>
    </w:p>
    <w:p>
      <w:pPr>
        <w:pStyle w:val="Normal"/>
        <w:spacing w:before="0" w:after="0"/>
        <w:rPr>
          <w:sz w:val="4"/>
          <w:szCs w:val="4"/>
        </w:rPr>
      </w:pPr>
      <w:r>
        <w:rPr>
          <w:sz w:val="4"/>
          <w:szCs w:val="4"/>
        </w:rPr>
      </w:r>
      <w:bookmarkStart w:id="428" w:name="z5a145f6b3e8b449bbf058a9661199ace"/>
      <w:bookmarkStart w:id="429" w:name="z5a145f6b3e8b449bbf058a9661199ace"/>
      <w:bookmarkEnd w:id="429"/>
    </w:p>
    <w:tbl>
      <w:tblPr>
        <w:tblW w:w="10205" w:type="dxa"/>
        <w:jc w:val="left"/>
        <w:tblInd w:w="0" w:type="dxa"/>
        <w:tblCellMar>
          <w:top w:w="0" w:type="dxa"/>
          <w:left w:w="0" w:type="dxa"/>
          <w:bottom w:w="0" w:type="dxa"/>
          <w:right w:w="0" w:type="dxa"/>
        </w:tblCellMar>
      </w:tblPr>
      <w:tblGrid>
        <w:gridCol w:w="3780"/>
        <w:gridCol w:w="60"/>
        <w:gridCol w:w="140"/>
        <w:gridCol w:w="800"/>
        <w:gridCol w:w="60"/>
        <w:gridCol w:w="60"/>
        <w:gridCol w:w="60"/>
        <w:gridCol w:w="560"/>
        <w:gridCol w:w="215"/>
        <w:gridCol w:w="60"/>
        <w:gridCol w:w="201"/>
        <w:gridCol w:w="1148"/>
        <w:gridCol w:w="86"/>
        <w:gridCol w:w="86"/>
        <w:gridCol w:w="86"/>
        <w:gridCol w:w="633"/>
        <w:gridCol w:w="215"/>
        <w:gridCol w:w="60"/>
        <w:gridCol w:w="140"/>
        <w:gridCol w:w="800"/>
        <w:gridCol w:w="60"/>
        <w:gridCol w:w="60"/>
        <w:gridCol w:w="60"/>
        <w:gridCol w:w="560"/>
        <w:gridCol w:w="215"/>
      </w:tblGrid>
      <w:tr>
        <w:trPr/>
        <w:tc>
          <w:tcPr>
            <w:tcW w:w="37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0" w:type="dxa"/>
            <w:gridSpan w:val="6"/>
            <w:tcBorders>
              <w:bottom w:val="single" w:sz="12" w:space="0" w:color="000000"/>
            </w:tcBorders>
            <w:shd w:fill="auto" w:val="clear"/>
            <w:tcMar>
              <w:bottom w:w="28" w:type="dxa"/>
            </w:tcMar>
            <w:vAlign w:val="bottom"/>
          </w:tcPr>
          <w:p>
            <w:pPr>
              <w:pStyle w:val="TableContents"/>
              <w:spacing w:before="0" w:after="0"/>
              <w:jc w:val="center"/>
              <w:rPr/>
            </w:pPr>
            <w:r>
              <w:rPr/>
              <w:t>Actual</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40" w:type="dxa"/>
            <w:gridSpan w:val="6"/>
            <w:tcBorders>
              <w:bottom w:val="single" w:sz="12" w:space="0" w:color="000000"/>
            </w:tcBorders>
            <w:shd w:fill="auto" w:val="clear"/>
            <w:tcMar>
              <w:bottom w:w="28" w:type="dxa"/>
            </w:tcMar>
            <w:vAlign w:val="bottom"/>
          </w:tcPr>
          <w:p>
            <w:pPr>
              <w:pStyle w:val="TableContents"/>
              <w:spacing w:before="0" w:after="0"/>
              <w:jc w:val="center"/>
              <w:rPr/>
            </w:pPr>
            <w:r>
              <w:rPr/>
              <w:t>Minimum for</w:t>
            </w:r>
          </w:p>
          <w:p>
            <w:pPr>
              <w:pStyle w:val="TableContents"/>
              <w:spacing w:before="0" w:after="0"/>
              <w:jc w:val="center"/>
              <w:rPr/>
            </w:pPr>
            <w:r>
              <w:rPr/>
              <w:t>Adequately Capitalized</w:t>
            </w:r>
          </w:p>
          <w:p>
            <w:pPr>
              <w:pStyle w:val="TableContents"/>
              <w:spacing w:before="0" w:after="0"/>
              <w:jc w:val="center"/>
              <w:rPr/>
            </w:pPr>
            <w:r>
              <w:rPr/>
              <w:t>Institutions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0" w:type="dxa"/>
            <w:gridSpan w:val="6"/>
            <w:tcBorders>
              <w:bottom w:val="single" w:sz="12" w:space="0" w:color="000000"/>
            </w:tcBorders>
            <w:shd w:fill="auto" w:val="clear"/>
            <w:tcMar>
              <w:bottom w:w="28" w:type="dxa"/>
            </w:tcMar>
            <w:vAlign w:val="bottom"/>
          </w:tcPr>
          <w:p>
            <w:pPr>
              <w:pStyle w:val="TableContents"/>
              <w:spacing w:before="0" w:after="0"/>
              <w:jc w:val="center"/>
              <w:rPr/>
            </w:pPr>
            <w:r>
              <w:rPr/>
              <w:t>Minimum for</w:t>
            </w:r>
          </w:p>
          <w:p>
            <w:pPr>
              <w:pStyle w:val="TableContents"/>
              <w:spacing w:before="0" w:after="0"/>
              <w:jc w:val="center"/>
              <w:rPr/>
            </w:pPr>
            <w:r>
              <w:rPr/>
              <w:t>Well-Capitalized</w:t>
            </w:r>
          </w:p>
          <w:p>
            <w:pPr>
              <w:pStyle w:val="TableContents"/>
              <w:spacing w:before="0" w:after="0"/>
              <w:jc w:val="center"/>
              <w:rPr/>
            </w:pPr>
            <w:r>
              <w:rPr/>
              <w:t>Institutions</w:t>
            </w:r>
          </w:p>
        </w:tc>
        <w:tc>
          <w:tcPr>
            <w:tcW w:w="215" w:type="dxa"/>
            <w:tcBorders/>
            <w:shd w:fill="auto" w:val="clear"/>
            <w:vAlign w:val="bottom"/>
          </w:tcPr>
          <w:p>
            <w:pPr>
              <w:pStyle w:val="TableContents"/>
              <w:spacing w:before="0" w:after="283"/>
              <w:rPr/>
            </w:pPr>
            <w:r>
              <w:rPr/>
              <w:t> </w:t>
            </w:r>
          </w:p>
        </w:tc>
      </w:tr>
      <w:tr>
        <w:trPr/>
        <w:tc>
          <w:tcPr>
            <w:tcW w:w="37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pPr>
            <w:r>
              <w:rPr/>
              <w:t>Ratio</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9" w:type="dxa"/>
            <w:gridSpan w:val="2"/>
            <w:tcBorders>
              <w:bottom w:val="single" w:sz="12" w:space="0" w:color="000000"/>
            </w:tcBorders>
            <w:shd w:fill="auto" w:val="clear"/>
            <w:tcMar>
              <w:bottom w:w="28" w:type="dxa"/>
            </w:tcMar>
            <w:vAlign w:val="bottom"/>
          </w:tcPr>
          <w:p>
            <w:pPr>
              <w:pStyle w:val="TableContents"/>
              <w:spacing w:before="0" w:after="0"/>
              <w:jc w:val="center"/>
              <w:rPr/>
            </w:pPr>
            <w:r>
              <w:rPr/>
              <w:t>Amount</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9" w:type="dxa"/>
            <w:gridSpan w:val="2"/>
            <w:tcBorders>
              <w:bottom w:val="single" w:sz="12" w:space="0" w:color="000000"/>
            </w:tcBorders>
            <w:shd w:fill="auto" w:val="clear"/>
            <w:tcMar>
              <w:bottom w:w="28" w:type="dxa"/>
            </w:tcMar>
            <w:vAlign w:val="bottom"/>
          </w:tcPr>
          <w:p>
            <w:pPr>
              <w:pStyle w:val="TableContents"/>
              <w:spacing w:before="0" w:after="0"/>
              <w:jc w:val="center"/>
              <w:rPr/>
            </w:pPr>
            <w:r>
              <w:rPr/>
              <w:t>Ratio</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pPr>
            <w:r>
              <w:rPr/>
              <w:t>Ratio</w:t>
            </w:r>
          </w:p>
        </w:tc>
        <w:tc>
          <w:tcPr>
            <w:tcW w:w="215" w:type="dxa"/>
            <w:tcBorders/>
            <w:shd w:fill="auto" w:val="clear"/>
            <w:vAlign w:val="bottom"/>
          </w:tcPr>
          <w:p>
            <w:pPr>
              <w:pStyle w:val="TableContents"/>
              <w:spacing w:before="0" w:after="283"/>
              <w:rPr/>
            </w:pPr>
            <w:r>
              <w:rPr/>
              <w:t> </w:t>
            </w:r>
          </w:p>
        </w:tc>
      </w:tr>
      <w:tr>
        <w:trPr/>
        <w:tc>
          <w:tcPr>
            <w:tcW w:w="37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50" w:type="dxa"/>
            <w:gridSpan w:val="22"/>
            <w:tcBorders/>
            <w:shd w:fill="auto" w:val="clear"/>
            <w:vAlign w:val="bottom"/>
          </w:tcPr>
          <w:p>
            <w:pPr>
              <w:pStyle w:val="TableContents"/>
              <w:spacing w:before="0" w:after="0"/>
              <w:jc w:val="center"/>
              <w:rPr/>
            </w:pPr>
            <w:r>
              <w:rPr/>
              <w:t>(Dollars in thousands)</w:t>
            </w:r>
          </w:p>
        </w:tc>
        <w:tc>
          <w:tcPr>
            <w:tcW w:w="215" w:type="dxa"/>
            <w:tcBorders/>
            <w:shd w:fill="auto" w:val="clear"/>
            <w:vAlign w:val="bottom"/>
          </w:tcPr>
          <w:p>
            <w:pPr>
              <w:pStyle w:val="TableContents"/>
              <w:spacing w:before="0" w:after="283"/>
              <w:rPr/>
            </w:pPr>
            <w:r>
              <w:rPr/>
              <w:t> </w:t>
            </w:r>
          </w:p>
        </w:tc>
      </w:tr>
      <w:tr>
        <w:trPr/>
        <w:tc>
          <w:tcPr>
            <w:tcW w:w="37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9" w:type="dxa"/>
            <w:gridSpan w:val="2"/>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9"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780" w:type="dxa"/>
            <w:tcBorders/>
            <w:shd w:fill="auto" w:val="clear"/>
            <w:vAlign w:val="bottom"/>
          </w:tcPr>
          <w:p>
            <w:pPr>
              <w:pStyle w:val="TableContents"/>
              <w:spacing w:before="0" w:after="0"/>
              <w:ind w:left="144" w:right="0" w:hanging="144"/>
              <w:rPr/>
            </w:pPr>
            <w:r>
              <w:rPr/>
              <w:t>June 30, 2019</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9" w:type="dxa"/>
            <w:gridSpan w:val="2"/>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9"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780" w:type="dxa"/>
            <w:tcBorders/>
            <w:shd w:fill="auto" w:val="clear"/>
            <w:vAlign w:val="bottom"/>
          </w:tcPr>
          <w:p>
            <w:pPr>
              <w:pStyle w:val="TableContents"/>
              <w:spacing w:before="0" w:after="0"/>
              <w:ind w:left="144" w:right="0" w:hanging="144"/>
              <w:rPr/>
            </w:pPr>
            <w:r>
              <w:rPr/>
              <w:t>Total capital to risk-weighted assets</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9" w:type="dxa"/>
            <w:gridSpan w:val="2"/>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19"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324" w:right="0" w:hanging="144"/>
              <w:rPr/>
            </w:pPr>
            <w:r>
              <w:rPr/>
              <w:t>Consolidated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360,894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13.36</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1148" w:type="dxa"/>
            <w:tcBorders/>
            <w:shd w:fill="CCEEFF" w:val="clear"/>
            <w:vAlign w:val="bottom"/>
          </w:tcPr>
          <w:p>
            <w:pPr>
              <w:pStyle w:val="TableContents"/>
              <w:spacing w:before="0" w:after="0"/>
              <w:jc w:val="right"/>
              <w:rPr/>
            </w:pPr>
            <w:r>
              <w:rPr/>
              <w:t>216,166</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0"/>
              <w:jc w:val="right"/>
              <w:rPr/>
            </w:pPr>
            <w:r>
              <w:rPr/>
              <w:t>8.00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940" w:type="dxa"/>
            <w:gridSpan w:val="2"/>
            <w:tcBorders/>
            <w:shd w:fill="CCEEFF" w:val="clear"/>
            <w:vAlign w:val="bottom"/>
          </w:tcPr>
          <w:p>
            <w:pPr>
              <w:pStyle w:val="TableContents"/>
              <w:spacing w:before="0" w:after="0"/>
              <w:jc w:val="center"/>
              <w:rPr/>
            </w:pPr>
            <w:r>
              <w:rPr/>
              <w:t>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0" w:type="dxa"/>
            <w:gridSpan w:val="2"/>
            <w:tcBorders/>
            <w:shd w:fill="CCEEFF" w:val="clear"/>
            <w:vAlign w:val="bottom"/>
          </w:tcPr>
          <w:p>
            <w:pPr>
              <w:pStyle w:val="TableContents"/>
              <w:spacing w:before="0" w:after="0"/>
              <w:jc w:val="center"/>
              <w:rPr/>
            </w:pPr>
            <w:r>
              <w:rPr/>
              <w:t>NA</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324" w:right="0" w:hanging="144"/>
              <w:rPr/>
            </w:pPr>
            <w:r>
              <w:rPr/>
              <w:t>Independent Bank</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346,015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12.81</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216,074</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0"/>
              <w:jc w:val="right"/>
              <w:rPr/>
            </w:pPr>
            <w:r>
              <w:rPr/>
              <w:t>8.00</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800" w:type="dxa"/>
            <w:tcBorders/>
            <w:shd w:fill="FFFFFF" w:val="clear"/>
            <w:vAlign w:val="bottom"/>
          </w:tcPr>
          <w:p>
            <w:pPr>
              <w:pStyle w:val="TableContents"/>
              <w:spacing w:before="0" w:after="0"/>
              <w:jc w:val="right"/>
              <w:rPr/>
            </w:pPr>
            <w:r>
              <w:rPr/>
              <w:t>270,093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10.00</w:t>
            </w:r>
          </w:p>
        </w:tc>
        <w:tc>
          <w:tcPr>
            <w:tcW w:w="215" w:type="dxa"/>
            <w:tcBorders/>
            <w:shd w:fill="FFFFFF" w:val="clear"/>
            <w:vAlign w:val="bottom"/>
          </w:tcPr>
          <w:p>
            <w:pPr>
              <w:pStyle w:val="TableContents"/>
              <w:spacing w:before="0" w:after="0"/>
              <w:rPr/>
            </w:pPr>
            <w:r>
              <w:rPr/>
              <w:t>%</w:t>
            </w:r>
          </w:p>
        </w:tc>
      </w:tr>
      <w:tr>
        <w:trPr/>
        <w:tc>
          <w:tcPr>
            <w:tcW w:w="3780" w:type="dxa"/>
            <w:tcBorders/>
            <w:shd w:fill="CCEEFF" w:val="clear"/>
            <w:vAlign w:val="bottom"/>
          </w:tcPr>
          <w:p>
            <w:pPr>
              <w:pStyle w:val="TableContents"/>
              <w:spacing w:before="0" w:after="0"/>
              <w:ind w:left="180" w:right="0" w:hanging="0"/>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144" w:right="0" w:hanging="144"/>
              <w:rPr/>
            </w:pPr>
            <w:r>
              <w:rPr/>
              <w:t>Tier 1 capital to risk-weighted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324" w:right="0" w:hanging="144"/>
              <w:rPr/>
            </w:pPr>
            <w:r>
              <w:rPr/>
              <w:t>Consolidated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333,508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12.34</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1148" w:type="dxa"/>
            <w:tcBorders/>
            <w:shd w:fill="CCEEFF" w:val="clear"/>
            <w:vAlign w:val="bottom"/>
          </w:tcPr>
          <w:p>
            <w:pPr>
              <w:pStyle w:val="TableContents"/>
              <w:spacing w:before="0" w:after="0"/>
              <w:jc w:val="right"/>
              <w:rPr/>
            </w:pPr>
            <w:r>
              <w:rPr/>
              <w:t>162,125</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0"/>
              <w:jc w:val="right"/>
              <w:rPr/>
            </w:pPr>
            <w:r>
              <w:rPr/>
              <w:t>6.00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940" w:type="dxa"/>
            <w:gridSpan w:val="2"/>
            <w:tcBorders/>
            <w:shd w:fill="CCEEFF" w:val="clear"/>
            <w:vAlign w:val="bottom"/>
          </w:tcPr>
          <w:p>
            <w:pPr>
              <w:pStyle w:val="TableContents"/>
              <w:spacing w:before="0" w:after="0"/>
              <w:jc w:val="center"/>
              <w:rPr/>
            </w:pPr>
            <w:r>
              <w:rPr/>
              <w:t>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0" w:type="dxa"/>
            <w:gridSpan w:val="2"/>
            <w:tcBorders/>
            <w:shd w:fill="CCEEFF" w:val="clear"/>
            <w:vAlign w:val="bottom"/>
          </w:tcPr>
          <w:p>
            <w:pPr>
              <w:pStyle w:val="TableContents"/>
              <w:spacing w:before="0" w:after="0"/>
              <w:jc w:val="center"/>
              <w:rPr/>
            </w:pPr>
            <w:r>
              <w:rPr/>
              <w:t>NA</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324" w:right="0" w:hanging="144"/>
              <w:rPr/>
            </w:pPr>
            <w:r>
              <w:rPr/>
              <w:t>Independent Bank</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318,629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11.80</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162,056</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0"/>
              <w:jc w:val="right"/>
              <w:rPr/>
            </w:pPr>
            <w:r>
              <w:rPr/>
              <w:t>6.00</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800" w:type="dxa"/>
            <w:tcBorders/>
            <w:shd w:fill="FFFFFF" w:val="clear"/>
            <w:vAlign w:val="bottom"/>
          </w:tcPr>
          <w:p>
            <w:pPr>
              <w:pStyle w:val="TableContents"/>
              <w:spacing w:before="0" w:after="0"/>
              <w:jc w:val="right"/>
              <w:rPr/>
            </w:pPr>
            <w:r>
              <w:rPr/>
              <w:t>216,074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8.00</w:t>
            </w:r>
          </w:p>
        </w:tc>
        <w:tc>
          <w:tcPr>
            <w:tcW w:w="215" w:type="dxa"/>
            <w:tcBorders/>
            <w:shd w:fill="FFFFFF" w:val="clear"/>
            <w:vAlign w:val="bottom"/>
          </w:tcPr>
          <w:p>
            <w:pPr>
              <w:pStyle w:val="TableContents"/>
              <w:spacing w:before="0" w:after="0"/>
              <w:rPr/>
            </w:pPr>
            <w:r>
              <w:rPr/>
              <w:t>%</w:t>
            </w:r>
          </w:p>
        </w:tc>
      </w:tr>
      <w:tr>
        <w:trPr/>
        <w:tc>
          <w:tcPr>
            <w:tcW w:w="37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180" w:right="0" w:hanging="180"/>
              <w:rPr/>
            </w:pPr>
            <w:r>
              <w:rPr/>
              <w:t>Common equity tier 1 capital to risk-weighted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324" w:right="0" w:hanging="144"/>
              <w:rPr/>
            </w:pPr>
            <w:r>
              <w:rPr/>
              <w:t>Consolidated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295,310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10.93</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1148" w:type="dxa"/>
            <w:tcBorders/>
            <w:shd w:fill="CCEEFF" w:val="clear"/>
            <w:vAlign w:val="bottom"/>
          </w:tcPr>
          <w:p>
            <w:pPr>
              <w:pStyle w:val="TableContents"/>
              <w:spacing w:before="0" w:after="0"/>
              <w:jc w:val="right"/>
              <w:rPr/>
            </w:pPr>
            <w:r>
              <w:rPr/>
              <w:t>121,594</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0"/>
              <w:jc w:val="right"/>
              <w:rPr/>
            </w:pPr>
            <w:r>
              <w:rPr/>
              <w:t>4.50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940" w:type="dxa"/>
            <w:gridSpan w:val="2"/>
            <w:tcBorders/>
            <w:shd w:fill="CCEEFF" w:val="clear"/>
            <w:vAlign w:val="bottom"/>
          </w:tcPr>
          <w:p>
            <w:pPr>
              <w:pStyle w:val="TableContents"/>
              <w:spacing w:before="0" w:after="0"/>
              <w:jc w:val="center"/>
              <w:rPr/>
            </w:pPr>
            <w:r>
              <w:rPr/>
              <w:t>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0" w:type="dxa"/>
            <w:gridSpan w:val="2"/>
            <w:tcBorders/>
            <w:shd w:fill="CCEEFF" w:val="clear"/>
            <w:vAlign w:val="bottom"/>
          </w:tcPr>
          <w:p>
            <w:pPr>
              <w:pStyle w:val="TableContents"/>
              <w:spacing w:before="0" w:after="0"/>
              <w:jc w:val="center"/>
              <w:rPr/>
            </w:pPr>
            <w:r>
              <w:rPr/>
              <w:t>NA</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324" w:right="0" w:hanging="144"/>
              <w:rPr/>
            </w:pPr>
            <w:r>
              <w:rPr/>
              <w:t>Independent Bank</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318,629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11.80</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121,542</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0"/>
              <w:jc w:val="right"/>
              <w:rPr/>
            </w:pPr>
            <w:r>
              <w:rPr/>
              <w:t>4.50</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800" w:type="dxa"/>
            <w:tcBorders/>
            <w:shd w:fill="FFFFFF" w:val="clear"/>
            <w:vAlign w:val="bottom"/>
          </w:tcPr>
          <w:p>
            <w:pPr>
              <w:pStyle w:val="TableContents"/>
              <w:spacing w:before="0" w:after="0"/>
              <w:jc w:val="right"/>
              <w:rPr/>
            </w:pPr>
            <w:r>
              <w:rPr/>
              <w:t>175,561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6.50</w:t>
            </w:r>
          </w:p>
        </w:tc>
        <w:tc>
          <w:tcPr>
            <w:tcW w:w="215" w:type="dxa"/>
            <w:tcBorders/>
            <w:shd w:fill="FFFFFF" w:val="clear"/>
            <w:vAlign w:val="bottom"/>
          </w:tcPr>
          <w:p>
            <w:pPr>
              <w:pStyle w:val="TableContents"/>
              <w:spacing w:before="0" w:after="0"/>
              <w:rPr/>
            </w:pPr>
            <w:r>
              <w:rPr/>
              <w:t>%</w:t>
            </w:r>
          </w:p>
        </w:tc>
      </w:tr>
      <w:tr>
        <w:trPr/>
        <w:tc>
          <w:tcPr>
            <w:tcW w:w="37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144" w:right="0" w:hanging="144"/>
              <w:rPr/>
            </w:pPr>
            <w:r>
              <w:rPr/>
              <w:t>Tier 1 capital to average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324" w:right="0" w:hanging="144"/>
              <w:rPr/>
            </w:pPr>
            <w:r>
              <w:rPr/>
              <w:t>Consolidated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333,508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9.95</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1148" w:type="dxa"/>
            <w:tcBorders/>
            <w:shd w:fill="CCEEFF" w:val="clear"/>
            <w:vAlign w:val="bottom"/>
          </w:tcPr>
          <w:p>
            <w:pPr>
              <w:pStyle w:val="TableContents"/>
              <w:spacing w:before="0" w:after="0"/>
              <w:jc w:val="right"/>
              <w:rPr/>
            </w:pPr>
            <w:r>
              <w:rPr/>
              <w:t>134,131</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0"/>
              <w:jc w:val="right"/>
              <w:rPr/>
            </w:pPr>
            <w:r>
              <w:rPr/>
              <w:t>4.00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940" w:type="dxa"/>
            <w:gridSpan w:val="2"/>
            <w:tcBorders/>
            <w:shd w:fill="CCEEFF" w:val="clear"/>
            <w:vAlign w:val="bottom"/>
          </w:tcPr>
          <w:p>
            <w:pPr>
              <w:pStyle w:val="TableContents"/>
              <w:spacing w:before="0" w:after="0"/>
              <w:jc w:val="center"/>
              <w:rPr/>
            </w:pPr>
            <w:r>
              <w:rPr/>
              <w:t>NA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0" w:type="dxa"/>
            <w:gridSpan w:val="2"/>
            <w:tcBorders/>
            <w:shd w:fill="CCEEFF" w:val="clear"/>
            <w:vAlign w:val="bottom"/>
          </w:tcPr>
          <w:p>
            <w:pPr>
              <w:pStyle w:val="TableContents"/>
              <w:spacing w:before="0" w:after="0"/>
              <w:jc w:val="center"/>
              <w:rPr/>
            </w:pPr>
            <w:r>
              <w:rPr/>
              <w:t>NA</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324" w:right="0" w:hanging="144"/>
              <w:rPr/>
            </w:pPr>
            <w:r>
              <w:rPr/>
              <w:t>Independent Bank</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318,629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9.50</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0"/>
              <w:jc w:val="right"/>
              <w:rPr/>
            </w:pPr>
            <w:r>
              <w:rPr/>
              <w:t>134,138</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0"/>
              <w:jc w:val="right"/>
              <w:rPr/>
            </w:pPr>
            <w:r>
              <w:rPr/>
              <w:t>4.00</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800" w:type="dxa"/>
            <w:tcBorders/>
            <w:shd w:fill="FFFFFF" w:val="clear"/>
            <w:vAlign w:val="bottom"/>
          </w:tcPr>
          <w:p>
            <w:pPr>
              <w:pStyle w:val="TableContents"/>
              <w:spacing w:before="0" w:after="0"/>
              <w:jc w:val="right"/>
              <w:rPr/>
            </w:pPr>
            <w:r>
              <w:rPr/>
              <w:t>167,673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5.00</w:t>
            </w:r>
          </w:p>
        </w:tc>
        <w:tc>
          <w:tcPr>
            <w:tcW w:w="215" w:type="dxa"/>
            <w:tcBorders/>
            <w:shd w:fill="FFFFFF" w:val="clear"/>
            <w:vAlign w:val="bottom"/>
          </w:tcPr>
          <w:p>
            <w:pPr>
              <w:pStyle w:val="TableContents"/>
              <w:spacing w:before="0" w:after="0"/>
              <w:rPr/>
            </w:pPr>
            <w:r>
              <w:rPr/>
              <w:t>%</w:t>
            </w:r>
          </w:p>
        </w:tc>
      </w:tr>
      <w:tr>
        <w:trPr/>
        <w:tc>
          <w:tcPr>
            <w:tcW w:w="37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144" w:right="0" w:hanging="144"/>
              <w:rPr/>
            </w:pPr>
            <w:r>
              <w:rPr/>
              <w:t>December 31, 2018</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144" w:right="0" w:hanging="144"/>
              <w:rPr/>
            </w:pPr>
            <w:r>
              <w:rPr/>
              <w:t>Total capital to risk-weighted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324" w:right="0" w:hanging="144"/>
              <w:rPr/>
            </w:pPr>
            <w:r>
              <w:rPr/>
              <w:t>Consolidated</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800" w:type="dxa"/>
            <w:tcBorders/>
            <w:shd w:fill="FFFFFF" w:val="clear"/>
            <w:vAlign w:val="bottom"/>
          </w:tcPr>
          <w:p>
            <w:pPr>
              <w:pStyle w:val="TableContents"/>
              <w:spacing w:before="0" w:after="0"/>
              <w:jc w:val="right"/>
              <w:rPr/>
            </w:pPr>
            <w:r>
              <w:rPr/>
              <w:t>371,603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14.25</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0"/>
              <w:rPr/>
            </w:pPr>
            <w:r>
              <w:rPr/>
              <w:t>$</w:t>
            </w:r>
          </w:p>
        </w:tc>
        <w:tc>
          <w:tcPr>
            <w:tcW w:w="1148" w:type="dxa"/>
            <w:tcBorders/>
            <w:shd w:fill="FFFFFF" w:val="clear"/>
            <w:vAlign w:val="bottom"/>
          </w:tcPr>
          <w:p>
            <w:pPr>
              <w:pStyle w:val="TableContents"/>
              <w:spacing w:before="0" w:after="0"/>
              <w:jc w:val="right"/>
              <w:rPr/>
            </w:pPr>
            <w:r>
              <w:rPr/>
              <w:t>208,572</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0"/>
              <w:jc w:val="right"/>
              <w:rPr/>
            </w:pPr>
            <w:r>
              <w:rPr/>
              <w:t>8.00</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940" w:type="dxa"/>
            <w:gridSpan w:val="2"/>
            <w:tcBorders/>
            <w:shd w:fill="FFFFFF" w:val="clear"/>
            <w:vAlign w:val="bottom"/>
          </w:tcPr>
          <w:p>
            <w:pPr>
              <w:pStyle w:val="TableContents"/>
              <w:spacing w:before="0" w:after="0"/>
              <w:jc w:val="center"/>
              <w:rPr/>
            </w:pPr>
            <w:r>
              <w:rPr/>
              <w:t>NA</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20" w:type="dxa"/>
            <w:gridSpan w:val="2"/>
            <w:tcBorders/>
            <w:shd w:fill="FFFFFF" w:val="clear"/>
            <w:vAlign w:val="bottom"/>
          </w:tcPr>
          <w:p>
            <w:pPr>
              <w:pStyle w:val="TableContents"/>
              <w:spacing w:before="0" w:after="0"/>
              <w:jc w:val="center"/>
              <w:rPr/>
            </w:pPr>
            <w:r>
              <w:rPr/>
              <w:t>NA</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324" w:right="0" w:hanging="144"/>
              <w:rPr/>
            </w:pPr>
            <w:r>
              <w:rPr/>
              <w:t>Independent Bank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337,227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12.94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208,456</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0"/>
              <w:jc w:val="right"/>
              <w:rPr/>
            </w:pPr>
            <w:r>
              <w:rPr/>
              <w:t>8.00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260,569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0"/>
              <w:rPr/>
            </w:pPr>
            <w:r>
              <w:rPr/>
              <w:t>%</w:t>
            </w:r>
          </w:p>
        </w:tc>
      </w:tr>
      <w:tr>
        <w:trPr/>
        <w:tc>
          <w:tcPr>
            <w:tcW w:w="37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144" w:right="0" w:hanging="144"/>
              <w:rPr/>
            </w:pPr>
            <w:r>
              <w:rPr/>
              <w:t>Tier 1 capital to risk-weighted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324" w:right="0" w:hanging="144"/>
              <w:rPr/>
            </w:pPr>
            <w:r>
              <w:rPr/>
              <w:t>Consolidated</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800" w:type="dxa"/>
            <w:tcBorders/>
            <w:shd w:fill="FFFFFF" w:val="clear"/>
            <w:vAlign w:val="bottom"/>
          </w:tcPr>
          <w:p>
            <w:pPr>
              <w:pStyle w:val="TableContents"/>
              <w:spacing w:before="0" w:after="0"/>
              <w:jc w:val="right"/>
              <w:rPr/>
            </w:pPr>
            <w:r>
              <w:rPr/>
              <w:t>345,419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13.25</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0"/>
              <w:rPr/>
            </w:pPr>
            <w:r>
              <w:rPr/>
              <w:t>$</w:t>
            </w:r>
          </w:p>
        </w:tc>
        <w:tc>
          <w:tcPr>
            <w:tcW w:w="1148" w:type="dxa"/>
            <w:tcBorders/>
            <w:shd w:fill="FFFFFF" w:val="clear"/>
            <w:vAlign w:val="bottom"/>
          </w:tcPr>
          <w:p>
            <w:pPr>
              <w:pStyle w:val="TableContents"/>
              <w:spacing w:before="0" w:after="0"/>
              <w:jc w:val="right"/>
              <w:rPr/>
            </w:pPr>
            <w:r>
              <w:rPr/>
              <w:t>156,429</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0"/>
              <w:jc w:val="right"/>
              <w:rPr/>
            </w:pPr>
            <w:r>
              <w:rPr/>
              <w:t>6.00</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940" w:type="dxa"/>
            <w:gridSpan w:val="2"/>
            <w:tcBorders/>
            <w:shd w:fill="FFFFFF" w:val="clear"/>
            <w:vAlign w:val="bottom"/>
          </w:tcPr>
          <w:p>
            <w:pPr>
              <w:pStyle w:val="TableContents"/>
              <w:spacing w:before="0" w:after="0"/>
              <w:jc w:val="center"/>
              <w:rPr/>
            </w:pPr>
            <w:r>
              <w:rPr/>
              <w:t>NA</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20" w:type="dxa"/>
            <w:gridSpan w:val="2"/>
            <w:tcBorders/>
            <w:shd w:fill="FFFFFF" w:val="clear"/>
            <w:vAlign w:val="bottom"/>
          </w:tcPr>
          <w:p>
            <w:pPr>
              <w:pStyle w:val="TableContents"/>
              <w:spacing w:before="0" w:after="0"/>
              <w:jc w:val="center"/>
              <w:rPr/>
            </w:pPr>
            <w:r>
              <w:rPr/>
              <w:t>NA</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324" w:right="0" w:hanging="144"/>
              <w:rPr/>
            </w:pPr>
            <w:r>
              <w:rPr/>
              <w:t>Independent Bank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311,043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11.94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156,342</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0"/>
              <w:jc w:val="right"/>
              <w:rPr/>
            </w:pPr>
            <w:r>
              <w:rPr/>
              <w:t>6.00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208,456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8.00</w:t>
            </w:r>
          </w:p>
        </w:tc>
        <w:tc>
          <w:tcPr>
            <w:tcW w:w="215" w:type="dxa"/>
            <w:tcBorders/>
            <w:shd w:fill="CCEEFF" w:val="clear"/>
            <w:vAlign w:val="bottom"/>
          </w:tcPr>
          <w:p>
            <w:pPr>
              <w:pStyle w:val="TableContents"/>
              <w:spacing w:before="0" w:after="0"/>
              <w:rPr/>
            </w:pPr>
            <w:r>
              <w:rPr/>
              <w:t>%</w:t>
            </w:r>
          </w:p>
        </w:tc>
      </w:tr>
      <w:tr>
        <w:trPr/>
        <w:tc>
          <w:tcPr>
            <w:tcW w:w="37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180" w:right="0" w:hanging="180"/>
              <w:rPr/>
            </w:pPr>
            <w:r>
              <w:rPr/>
              <w:t>Common equity tier 1 capital to risk-weighted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324" w:right="0" w:hanging="144"/>
              <w:rPr/>
            </w:pPr>
            <w:r>
              <w:rPr/>
              <w:t>Consolidated</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800" w:type="dxa"/>
            <w:tcBorders/>
            <w:shd w:fill="FFFFFF" w:val="clear"/>
            <w:vAlign w:val="bottom"/>
          </w:tcPr>
          <w:p>
            <w:pPr>
              <w:pStyle w:val="TableContents"/>
              <w:spacing w:before="0" w:after="0"/>
              <w:jc w:val="right"/>
              <w:rPr/>
            </w:pPr>
            <w:r>
              <w:rPr/>
              <w:t>307,255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11.79</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0"/>
              <w:rPr/>
            </w:pPr>
            <w:r>
              <w:rPr/>
              <w:t>$</w:t>
            </w:r>
          </w:p>
        </w:tc>
        <w:tc>
          <w:tcPr>
            <w:tcW w:w="1148" w:type="dxa"/>
            <w:tcBorders/>
            <w:shd w:fill="FFFFFF" w:val="clear"/>
            <w:vAlign w:val="bottom"/>
          </w:tcPr>
          <w:p>
            <w:pPr>
              <w:pStyle w:val="TableContents"/>
              <w:spacing w:before="0" w:after="0"/>
              <w:jc w:val="right"/>
              <w:rPr/>
            </w:pPr>
            <w:r>
              <w:rPr/>
              <w:t>117,322</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0"/>
              <w:jc w:val="right"/>
              <w:rPr/>
            </w:pPr>
            <w:r>
              <w:rPr/>
              <w:t>4.50</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940" w:type="dxa"/>
            <w:gridSpan w:val="2"/>
            <w:tcBorders/>
            <w:shd w:fill="FFFFFF" w:val="clear"/>
            <w:vAlign w:val="bottom"/>
          </w:tcPr>
          <w:p>
            <w:pPr>
              <w:pStyle w:val="TableContents"/>
              <w:spacing w:before="0" w:after="0"/>
              <w:jc w:val="center"/>
              <w:rPr/>
            </w:pPr>
            <w:r>
              <w:rPr/>
              <w:t>NA</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20" w:type="dxa"/>
            <w:gridSpan w:val="2"/>
            <w:tcBorders/>
            <w:shd w:fill="FFFFFF" w:val="clear"/>
            <w:vAlign w:val="bottom"/>
          </w:tcPr>
          <w:p>
            <w:pPr>
              <w:pStyle w:val="TableContents"/>
              <w:spacing w:before="0" w:after="0"/>
              <w:jc w:val="center"/>
              <w:rPr/>
            </w:pPr>
            <w:r>
              <w:rPr/>
              <w:t>NA</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324" w:right="0" w:hanging="144"/>
              <w:rPr/>
            </w:pPr>
            <w:r>
              <w:rPr/>
              <w:t>Independent Bank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311,043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11.94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117,256</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0"/>
              <w:jc w:val="right"/>
              <w:rPr/>
            </w:pPr>
            <w:r>
              <w:rPr/>
              <w:t>4.50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169,370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6.50</w:t>
            </w:r>
          </w:p>
        </w:tc>
        <w:tc>
          <w:tcPr>
            <w:tcW w:w="215" w:type="dxa"/>
            <w:tcBorders/>
            <w:shd w:fill="CCEEFF" w:val="clear"/>
            <w:vAlign w:val="bottom"/>
          </w:tcPr>
          <w:p>
            <w:pPr>
              <w:pStyle w:val="TableContents"/>
              <w:spacing w:before="0" w:after="0"/>
              <w:rPr/>
            </w:pPr>
            <w:r>
              <w:rPr/>
              <w:t>%</w:t>
            </w:r>
          </w:p>
        </w:tc>
      </w:tr>
      <w:tr>
        <w:trPr/>
        <w:tc>
          <w:tcPr>
            <w:tcW w:w="378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48" w:type="dxa"/>
            <w:tcBorders/>
            <w:shd w:fill="FFFFFF" w:val="clear"/>
            <w:vAlign w:val="bottom"/>
          </w:tcPr>
          <w:p>
            <w:pPr>
              <w:pStyle w:val="TableContents"/>
              <w:spacing w:before="0" w:after="283"/>
              <w:jc w:val="right"/>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144" w:right="0" w:hanging="144"/>
              <w:rPr/>
            </w:pPr>
            <w:r>
              <w:rPr/>
              <w:t>Tier 1 capital to average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r>
      <w:tr>
        <w:trPr/>
        <w:tc>
          <w:tcPr>
            <w:tcW w:w="3780" w:type="dxa"/>
            <w:tcBorders/>
            <w:shd w:fill="FFFFFF" w:val="clear"/>
            <w:vAlign w:val="bottom"/>
          </w:tcPr>
          <w:p>
            <w:pPr>
              <w:pStyle w:val="TableContents"/>
              <w:spacing w:before="0" w:after="0"/>
              <w:ind w:left="324" w:right="0" w:hanging="144"/>
              <w:rPr/>
            </w:pPr>
            <w:r>
              <w:rPr/>
              <w:t>Consolidated</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800" w:type="dxa"/>
            <w:tcBorders/>
            <w:shd w:fill="FFFFFF" w:val="clear"/>
            <w:vAlign w:val="bottom"/>
          </w:tcPr>
          <w:p>
            <w:pPr>
              <w:pStyle w:val="TableContents"/>
              <w:spacing w:before="0" w:after="0"/>
              <w:jc w:val="right"/>
              <w:rPr/>
            </w:pPr>
            <w:r>
              <w:rPr/>
              <w:t>345,419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10.47</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0"/>
              <w:rPr/>
            </w:pPr>
            <w:r>
              <w:rPr/>
              <w:t>$</w:t>
            </w:r>
          </w:p>
        </w:tc>
        <w:tc>
          <w:tcPr>
            <w:tcW w:w="1148" w:type="dxa"/>
            <w:tcBorders/>
            <w:shd w:fill="FFFFFF" w:val="clear"/>
            <w:vAlign w:val="bottom"/>
          </w:tcPr>
          <w:p>
            <w:pPr>
              <w:pStyle w:val="TableContents"/>
              <w:spacing w:before="0" w:after="0"/>
              <w:jc w:val="right"/>
              <w:rPr/>
            </w:pPr>
            <w:r>
              <w:rPr/>
              <w:t>131,930</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rPr/>
            </w:pPr>
            <w:r>
              <w:rPr/>
              <w:t> </w:t>
            </w:r>
          </w:p>
        </w:tc>
        <w:tc>
          <w:tcPr>
            <w:tcW w:w="633" w:type="dxa"/>
            <w:tcBorders/>
            <w:shd w:fill="FFFFFF" w:val="clear"/>
            <w:vAlign w:val="bottom"/>
          </w:tcPr>
          <w:p>
            <w:pPr>
              <w:pStyle w:val="TableContents"/>
              <w:spacing w:before="0" w:after="0"/>
              <w:jc w:val="right"/>
              <w:rPr/>
            </w:pPr>
            <w:r>
              <w:rPr/>
              <w:t>4.00</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940" w:type="dxa"/>
            <w:gridSpan w:val="2"/>
            <w:tcBorders/>
            <w:shd w:fill="FFFFFF" w:val="clear"/>
            <w:vAlign w:val="bottom"/>
          </w:tcPr>
          <w:p>
            <w:pPr>
              <w:pStyle w:val="TableContents"/>
              <w:spacing w:before="0" w:after="0"/>
              <w:jc w:val="center"/>
              <w:rPr/>
            </w:pPr>
            <w:r>
              <w:rPr/>
              <w:t>NA</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20" w:type="dxa"/>
            <w:gridSpan w:val="2"/>
            <w:tcBorders/>
            <w:shd w:fill="FFFFFF" w:val="clear"/>
            <w:vAlign w:val="bottom"/>
          </w:tcPr>
          <w:p>
            <w:pPr>
              <w:pStyle w:val="TableContents"/>
              <w:spacing w:before="0" w:after="0"/>
              <w:jc w:val="center"/>
              <w:rPr/>
            </w:pPr>
            <w:r>
              <w:rPr/>
              <w:t>NA</w:t>
            </w:r>
          </w:p>
        </w:tc>
        <w:tc>
          <w:tcPr>
            <w:tcW w:w="215" w:type="dxa"/>
            <w:tcBorders/>
            <w:shd w:fill="FFFFFF" w:val="clear"/>
            <w:vAlign w:val="bottom"/>
          </w:tcPr>
          <w:p>
            <w:pPr>
              <w:pStyle w:val="TableContents"/>
              <w:spacing w:before="0" w:after="283"/>
              <w:rPr/>
            </w:pPr>
            <w:r>
              <w:rPr/>
              <w:t> </w:t>
            </w:r>
          </w:p>
        </w:tc>
      </w:tr>
      <w:tr>
        <w:trPr/>
        <w:tc>
          <w:tcPr>
            <w:tcW w:w="3780" w:type="dxa"/>
            <w:tcBorders/>
            <w:shd w:fill="CCEEFF" w:val="clear"/>
            <w:vAlign w:val="bottom"/>
          </w:tcPr>
          <w:p>
            <w:pPr>
              <w:pStyle w:val="TableContents"/>
              <w:spacing w:before="0" w:after="0"/>
              <w:ind w:left="324" w:right="0" w:hanging="144"/>
              <w:rPr/>
            </w:pPr>
            <w:r>
              <w:rPr/>
              <w:t>Independent Bank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311,043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9.44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0"/>
              <w:jc w:val="right"/>
              <w:rPr/>
            </w:pPr>
            <w:r>
              <w:rPr/>
              <w:t>131,778</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633" w:type="dxa"/>
            <w:tcBorders/>
            <w:shd w:fill="CCEEFF" w:val="clear"/>
            <w:vAlign w:val="bottom"/>
          </w:tcPr>
          <w:p>
            <w:pPr>
              <w:pStyle w:val="TableContents"/>
              <w:spacing w:before="0" w:after="0"/>
              <w:jc w:val="right"/>
              <w:rPr/>
            </w:pPr>
            <w:r>
              <w:rPr/>
              <w:t>4.00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164,723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5.00</w:t>
            </w:r>
          </w:p>
        </w:tc>
        <w:tc>
          <w:tcPr>
            <w:tcW w:w="215" w:type="dxa"/>
            <w:tcBorders/>
            <w:shd w:fill="CCEEFF" w:val="clear"/>
            <w:vAlign w:val="bottom"/>
          </w:tcPr>
          <w:p>
            <w:pPr>
              <w:pStyle w:val="TableContents"/>
              <w:spacing w:before="0" w:after="0"/>
              <w:rPr/>
            </w:pPr>
            <w:r>
              <w:rPr/>
              <w:t>%</w:t>
            </w:r>
          </w:p>
        </w:tc>
      </w:tr>
    </w:tbl>
    <w:p>
      <w:pPr>
        <w:pStyle w:val="TextBody"/>
        <w:spacing w:before="0" w:after="0"/>
        <w:rPr/>
      </w:pPr>
      <w:r>
        <w:rPr/>
      </w:r>
    </w:p>
    <w:p>
      <w:pPr>
        <w:pStyle w:val="HorizontalLine"/>
        <w:pBdr>
          <w:bottom w:val="single" w:sz="20" w:space="0" w:color="808080"/>
        </w:pBdr>
        <w:rPr/>
      </w:pPr>
      <w:r>
        <w:rPr/>
      </w:r>
    </w:p>
    <w:p>
      <w:pPr>
        <w:pStyle w:val="TextBody"/>
        <w:spacing w:before="0" w:after="0"/>
        <w:rPr/>
      </w:pPr>
      <w:r>
        <w:rPr/>
        <w:t xml:space="preserve">(1) These ratios do not reflect a capital conservation buffer of 2.50% and 1.875% at June 30, 2019 and December 31, 2018, respectfully. </w:t>
      </w:r>
    </w:p>
    <w:p>
      <w:pPr>
        <w:pStyle w:val="TextBody"/>
        <w:spacing w:before="0" w:after="0"/>
        <w:rPr/>
      </w:pPr>
      <w:r>
        <w:rPr/>
        <w:t>NA - 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30" w:name="DSPFPageBreakArea41"/>
      <w:bookmarkStart w:id="431" w:name="DSPFPageBreakArea41"/>
      <w:bookmarkEnd w:id="4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432" w:name="DSPFPageNumber41"/>
      <w:bookmarkStart w:id="433" w:name="DSPFPageNumberArea40"/>
      <w:bookmarkEnd w:id="432"/>
      <w:bookmarkEnd w:id="433"/>
      <w:r>
        <w:rPr>
          <w:b w:val="false"/>
          <w:i w:val="false"/>
          <w:caps w:val="false"/>
          <w:smallCaps w:val="false"/>
          <w:sz w:val="13"/>
        </w:rPr>
        <w:t>42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34" w:name="DSPFPageBreak41"/>
      <w:bookmarkStart w:id="435" w:name="DSPFPageBreak41"/>
      <w:bookmarkEnd w:id="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436" w:name="DSPFPageHeader40"/>
        <w:bookmarkEnd w:id="436"/>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color w:val="000000"/>
        </w:rPr>
      </w:pPr>
      <w:r>
        <w:rPr>
          <w:color w:val="000000"/>
        </w:rPr>
        <w:t>The components of our regulatory capital are as follows:</w:t>
      </w:r>
    </w:p>
    <w:p>
      <w:pPr>
        <w:pStyle w:val="TextBody"/>
        <w:spacing w:before="0" w:after="0"/>
        <w:rPr/>
      </w:pPr>
      <w:r>
        <w:rPr/>
      </w:r>
    </w:p>
    <w:p>
      <w:pPr>
        <w:pStyle w:val="Normal"/>
        <w:spacing w:before="0" w:after="0"/>
        <w:rPr>
          <w:sz w:val="4"/>
          <w:szCs w:val="4"/>
        </w:rPr>
      </w:pPr>
      <w:r>
        <w:rPr>
          <w:sz w:val="4"/>
          <w:szCs w:val="4"/>
        </w:rPr>
      </w:r>
      <w:bookmarkStart w:id="437" w:name="zb75f749a7a844840b732fce87e172a9b"/>
      <w:bookmarkStart w:id="438" w:name="zb75f749a7a844840b732fce87e172a9b"/>
      <w:bookmarkEnd w:id="438"/>
    </w:p>
    <w:tbl>
      <w:tblPr>
        <w:tblW w:w="10205" w:type="dxa"/>
        <w:jc w:val="left"/>
        <w:tblInd w:w="0" w:type="dxa"/>
        <w:tblCellMar>
          <w:top w:w="0" w:type="dxa"/>
          <w:left w:w="0" w:type="dxa"/>
          <w:bottom w:w="0" w:type="dxa"/>
          <w:right w:w="0" w:type="dxa"/>
        </w:tblCellMar>
      </w:tblPr>
      <w:tblGrid>
        <w:gridCol w:w="4995"/>
        <w:gridCol w:w="60"/>
        <w:gridCol w:w="140"/>
        <w:gridCol w:w="800"/>
        <w:gridCol w:w="95"/>
        <w:gridCol w:w="60"/>
        <w:gridCol w:w="201"/>
        <w:gridCol w:w="1154"/>
        <w:gridCol w:w="95"/>
        <w:gridCol w:w="60"/>
        <w:gridCol w:w="140"/>
        <w:gridCol w:w="800"/>
        <w:gridCol w:w="95"/>
        <w:gridCol w:w="60"/>
        <w:gridCol w:w="201"/>
        <w:gridCol w:w="1154"/>
        <w:gridCol w:w="95"/>
      </w:tblGrid>
      <w:tr>
        <w:trPr/>
        <w:tc>
          <w:tcPr>
            <w:tcW w:w="4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50" w:type="dxa"/>
            <w:gridSpan w:val="6"/>
            <w:tcBorders>
              <w:bottom w:val="single" w:sz="12" w:space="0" w:color="000000"/>
            </w:tcBorders>
            <w:shd w:fill="auto" w:val="clear"/>
            <w:tcMar>
              <w:bottom w:w="28" w:type="dxa"/>
            </w:tcMar>
            <w:vAlign w:val="bottom"/>
          </w:tcPr>
          <w:p>
            <w:pPr>
              <w:pStyle w:val="TableContents"/>
              <w:spacing w:before="0" w:after="0"/>
              <w:jc w:val="center"/>
              <w:rPr/>
            </w:pPr>
            <w:r>
              <w:rPr/>
              <w:t>Consolidated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50" w:type="dxa"/>
            <w:gridSpan w:val="6"/>
            <w:tcBorders>
              <w:bottom w:val="single" w:sz="12" w:space="0" w:color="000000"/>
            </w:tcBorders>
            <w:shd w:fill="auto" w:val="clear"/>
            <w:tcMar>
              <w:bottom w:w="28" w:type="dxa"/>
            </w:tcMar>
            <w:vAlign w:val="bottom"/>
          </w:tcPr>
          <w:p>
            <w:pPr>
              <w:pStyle w:val="TableContents"/>
              <w:spacing w:before="0" w:after="0"/>
              <w:jc w:val="center"/>
              <w:rPr/>
            </w:pPr>
            <w:r>
              <w:rPr/>
              <w:t>Independent Bank</w:t>
            </w:r>
          </w:p>
        </w:tc>
        <w:tc>
          <w:tcPr>
            <w:tcW w:w="95" w:type="dxa"/>
            <w:tcBorders/>
            <w:shd w:fill="auto" w:val="clear"/>
            <w:vAlign w:val="bottom"/>
          </w:tcPr>
          <w:p>
            <w:pPr>
              <w:pStyle w:val="TableContents"/>
              <w:spacing w:before="0" w:after="283"/>
              <w:rPr/>
            </w:pPr>
            <w:r>
              <w:rPr/>
              <w:t> </w:t>
            </w:r>
          </w:p>
        </w:tc>
      </w:tr>
      <w:tr>
        <w:trPr/>
        <w:tc>
          <w:tcPr>
            <w:tcW w:w="4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June 30,</w:t>
            </w:r>
          </w:p>
          <w:p>
            <w:pPr>
              <w:pStyle w:val="TableContents"/>
              <w:spacing w:before="0" w:after="0"/>
              <w:jc w:val="center"/>
              <w:rPr/>
            </w:pPr>
            <w:r>
              <w:rPr/>
              <w:t>2019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bottom"/>
          </w:tcPr>
          <w:p>
            <w:pPr>
              <w:pStyle w:val="TableContents"/>
              <w:spacing w:before="0" w:after="0"/>
              <w:jc w:val="center"/>
              <w:rPr/>
            </w:pPr>
            <w:r>
              <w:rPr/>
              <w:t>December 31,</w:t>
            </w:r>
          </w:p>
          <w:p>
            <w:pPr>
              <w:pStyle w:val="TableContents"/>
              <w:spacing w:before="0" w:after="0"/>
              <w:jc w:val="center"/>
              <w:rPr/>
            </w:pPr>
            <w:r>
              <w:rPr/>
              <w:t>2018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June 30,</w:t>
            </w:r>
          </w:p>
          <w:p>
            <w:pPr>
              <w:pStyle w:val="TableContents"/>
              <w:spacing w:before="0" w:after="0"/>
              <w:jc w:val="center"/>
              <w:rPr/>
            </w:pPr>
            <w:r>
              <w:rPr/>
              <w:t>2019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bottom"/>
          </w:tcPr>
          <w:p>
            <w:pPr>
              <w:pStyle w:val="TableContents"/>
              <w:spacing w:before="0" w:after="0"/>
              <w:jc w:val="center"/>
              <w:rPr/>
            </w:pPr>
            <w:r>
              <w:rPr/>
              <w:t>December 31,</w:t>
            </w:r>
          </w:p>
          <w:p>
            <w:pPr>
              <w:pStyle w:val="TableContents"/>
              <w:spacing w:before="0" w:after="0"/>
              <w:jc w:val="center"/>
              <w:rPr/>
            </w:pPr>
            <w:r>
              <w:rPr/>
              <w:t>2018</w:t>
            </w:r>
          </w:p>
        </w:tc>
        <w:tc>
          <w:tcPr>
            <w:tcW w:w="95" w:type="dxa"/>
            <w:tcBorders/>
            <w:shd w:fill="auto" w:val="clear"/>
            <w:vAlign w:val="bottom"/>
          </w:tcPr>
          <w:p>
            <w:pPr>
              <w:pStyle w:val="TableContents"/>
              <w:spacing w:before="0" w:after="283"/>
              <w:ind w:left="180" w:right="0" w:hanging="180"/>
              <w:rPr/>
            </w:pPr>
            <w:r>
              <w:rPr/>
              <w:t> </w:t>
            </w:r>
          </w:p>
        </w:tc>
      </w:tr>
      <w:tr>
        <w:trPr/>
        <w:tc>
          <w:tcPr>
            <w:tcW w:w="4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55" w:type="dxa"/>
            <w:gridSpan w:val="14"/>
            <w:tcBorders/>
            <w:shd w:fill="auto" w:val="clear"/>
            <w:vAlign w:val="bottom"/>
          </w:tcPr>
          <w:p>
            <w:pPr>
              <w:pStyle w:val="TableContents"/>
              <w:spacing w:before="0" w:after="0"/>
              <w:jc w:val="center"/>
              <w:rPr/>
            </w:pPr>
            <w:r>
              <w:rPr/>
              <w:t>(In thousands)</w:t>
            </w:r>
          </w:p>
        </w:tc>
        <w:tc>
          <w:tcPr>
            <w:tcW w:w="95" w:type="dxa"/>
            <w:tcBorders/>
            <w:shd w:fill="auto" w:val="clear"/>
            <w:vAlign w:val="bottom"/>
          </w:tcPr>
          <w:p>
            <w:pPr>
              <w:pStyle w:val="TableContents"/>
              <w:spacing w:before="0" w:after="283"/>
              <w:rPr/>
            </w:pPr>
            <w:r>
              <w:rPr/>
              <w:t> </w:t>
            </w:r>
          </w:p>
        </w:tc>
      </w:tr>
      <w:tr>
        <w:trPr/>
        <w:tc>
          <w:tcPr>
            <w:tcW w:w="4995" w:type="dxa"/>
            <w:tcBorders/>
            <w:shd w:fill="CCEEFF" w:val="clear"/>
            <w:vAlign w:val="bottom"/>
          </w:tcPr>
          <w:p>
            <w:pPr>
              <w:pStyle w:val="TableContents"/>
              <w:spacing w:before="0" w:after="0"/>
              <w:ind w:left="180" w:right="0" w:hanging="180"/>
              <w:rPr/>
            </w:pPr>
            <w:r>
              <w:rPr/>
              <w:t>Total shareholders’ equity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330,846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1154" w:type="dxa"/>
            <w:tcBorders/>
            <w:shd w:fill="CCEEFF" w:val="clear"/>
            <w:vAlign w:val="bottom"/>
          </w:tcPr>
          <w:p>
            <w:pPr>
              <w:pStyle w:val="TableContents"/>
              <w:spacing w:before="0" w:after="0"/>
              <w:jc w:val="right"/>
              <w:rPr/>
            </w:pPr>
            <w:r>
              <w:rPr/>
              <w:t>338,994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354,165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1154" w:type="dxa"/>
            <w:tcBorders/>
            <w:shd w:fill="CCEEFF" w:val="clear"/>
            <w:vAlign w:val="bottom"/>
          </w:tcPr>
          <w:p>
            <w:pPr>
              <w:pStyle w:val="TableContents"/>
              <w:spacing w:before="0" w:after="0"/>
              <w:jc w:val="right"/>
              <w:rPr/>
            </w:pPr>
            <w:r>
              <w:rPr/>
              <w:t>341,496</w:t>
            </w:r>
          </w:p>
        </w:tc>
        <w:tc>
          <w:tcPr>
            <w:tcW w:w="95" w:type="dxa"/>
            <w:tcBorders/>
            <w:shd w:fill="CCEEFF" w:val="clear"/>
            <w:vAlign w:val="bottom"/>
          </w:tcPr>
          <w:p>
            <w:pPr>
              <w:pStyle w:val="TableContents"/>
              <w:spacing w:before="0" w:after="283"/>
              <w:rPr/>
            </w:pPr>
            <w:r>
              <w:rPr/>
              <w:t> </w:t>
            </w:r>
          </w:p>
        </w:tc>
      </w:tr>
      <w:tr>
        <w:trPr/>
        <w:tc>
          <w:tcPr>
            <w:tcW w:w="4995" w:type="dxa"/>
            <w:tcBorders/>
            <w:shd w:fill="FFFFFF" w:val="clear"/>
            <w:vAlign w:val="bottom"/>
          </w:tcPr>
          <w:p>
            <w:pPr>
              <w:pStyle w:val="TableContents"/>
              <w:spacing w:before="0" w:after="0"/>
              <w:ind w:left="360" w:right="0" w:hanging="180"/>
              <w:rPr/>
            </w:pPr>
            <w:r>
              <w:rPr/>
              <w:t>Add (deduct)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5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5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r>
      <w:tr>
        <w:trPr/>
        <w:tc>
          <w:tcPr>
            <w:tcW w:w="4995" w:type="dxa"/>
            <w:tcBorders/>
            <w:shd w:fill="CCEEFF" w:val="clear"/>
            <w:vAlign w:val="bottom"/>
          </w:tcPr>
          <w:p>
            <w:pPr>
              <w:pStyle w:val="TableContents"/>
              <w:spacing w:before="0" w:after="0"/>
              <w:ind w:left="540" w:right="0" w:hanging="180"/>
              <w:rPr/>
            </w:pPr>
            <w:r>
              <w:rPr/>
              <w:t>Accumulated other comprehensive (income) loss for regulatory purposes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(1,366</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0"/>
              <w:jc w:val="right"/>
              <w:rPr/>
            </w:pPr>
            <w:r>
              <w:rPr/>
              <w:t>4,311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(1,366</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0"/>
              <w:jc w:val="right"/>
              <w:rPr/>
            </w:pPr>
            <w:r>
              <w:rPr/>
              <w:t>4,311</w:t>
            </w:r>
          </w:p>
        </w:tc>
        <w:tc>
          <w:tcPr>
            <w:tcW w:w="95" w:type="dxa"/>
            <w:tcBorders/>
            <w:shd w:fill="CCEEFF" w:val="clear"/>
            <w:vAlign w:val="bottom"/>
          </w:tcPr>
          <w:p>
            <w:pPr>
              <w:pStyle w:val="TableContents"/>
              <w:spacing w:before="0" w:after="283"/>
              <w:rPr/>
            </w:pPr>
            <w:r>
              <w:rPr/>
              <w:t> </w:t>
            </w:r>
          </w:p>
        </w:tc>
      </w:tr>
      <w:tr>
        <w:trPr/>
        <w:tc>
          <w:tcPr>
            <w:tcW w:w="4995" w:type="dxa"/>
            <w:tcBorders/>
            <w:shd w:fill="FFFFFF" w:val="clear"/>
            <w:vAlign w:val="bottom"/>
          </w:tcPr>
          <w:p>
            <w:pPr>
              <w:pStyle w:val="TableContents"/>
              <w:spacing w:before="0" w:after="0"/>
              <w:ind w:left="540" w:right="0" w:hanging="180"/>
              <w:rPr/>
            </w:pPr>
            <w:r>
              <w:rPr/>
              <w:t>Goodwill and other intangibles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(34,170</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54" w:type="dxa"/>
            <w:tcBorders/>
            <w:shd w:fill="FFFFFF" w:val="clear"/>
            <w:vAlign w:val="bottom"/>
          </w:tcPr>
          <w:p>
            <w:pPr>
              <w:pStyle w:val="TableContents"/>
              <w:spacing w:before="0" w:after="0"/>
              <w:jc w:val="right"/>
              <w:rPr/>
            </w:pPr>
            <w:r>
              <w:rPr/>
              <w:t>(34,715</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(34,170</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54" w:type="dxa"/>
            <w:tcBorders/>
            <w:shd w:fill="FFFFFF" w:val="clear"/>
            <w:vAlign w:val="bottom"/>
          </w:tcPr>
          <w:p>
            <w:pPr>
              <w:pStyle w:val="TableContents"/>
              <w:spacing w:before="0" w:after="0"/>
              <w:jc w:val="right"/>
              <w:rPr/>
            </w:pPr>
            <w:r>
              <w:rPr/>
              <w:t>(34,715</w:t>
            </w:r>
          </w:p>
        </w:tc>
        <w:tc>
          <w:tcPr>
            <w:tcW w:w="95" w:type="dxa"/>
            <w:tcBorders/>
            <w:shd w:fill="FFFFFF" w:val="clear"/>
            <w:vAlign w:val="bottom"/>
          </w:tcPr>
          <w:p>
            <w:pPr>
              <w:pStyle w:val="TableContents"/>
              <w:spacing w:before="0" w:after="0"/>
              <w:rPr/>
            </w:pPr>
            <w:r>
              <w:rPr/>
              <w:t>)</w:t>
            </w:r>
          </w:p>
        </w:tc>
      </w:tr>
      <w:tr>
        <w:trPr/>
        <w:tc>
          <w:tcPr>
            <w:tcW w:w="4995" w:type="dxa"/>
            <w:tcBorders/>
            <w:shd w:fill="CCEEFF" w:val="clear"/>
            <w:vAlign w:val="bottom"/>
          </w:tcPr>
          <w:p>
            <w:pPr>
              <w:pStyle w:val="TableContents"/>
              <w:spacing w:before="0" w:after="0"/>
              <w:ind w:left="540" w:right="0" w:hanging="180"/>
              <w:rPr/>
            </w:pPr>
            <w:r>
              <w:rPr/>
              <w:t>Disallowed deferred tax assets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54" w:type="dxa"/>
            <w:tcBorders>
              <w:bottom w:val="single" w:sz="12" w:space="0" w:color="000000"/>
            </w:tcBorders>
            <w:shd w:fill="CCEEFF" w:val="clear"/>
            <w:tcMar>
              <w:bottom w:w="28" w:type="dxa"/>
            </w:tcMar>
            <w:vAlign w:val="bottom"/>
          </w:tcPr>
          <w:p>
            <w:pPr>
              <w:pStyle w:val="TableContents"/>
              <w:spacing w:before="0" w:after="0"/>
              <w:jc w:val="right"/>
              <w:rPr/>
            </w:pPr>
            <w:r>
              <w:rPr/>
              <w:t>(1,335</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54" w:type="dxa"/>
            <w:tcBorders>
              <w:bottom w:val="single" w:sz="12" w:space="0" w:color="000000"/>
            </w:tcBorders>
            <w:shd w:fill="CCEEFF" w:val="clear"/>
            <w:tcMar>
              <w:bottom w:w="28" w:type="dxa"/>
            </w:tcMar>
            <w:vAlign w:val="bottom"/>
          </w:tcPr>
          <w:p>
            <w:pPr>
              <w:pStyle w:val="TableContents"/>
              <w:spacing w:before="0" w:after="0"/>
              <w:jc w:val="right"/>
              <w:rPr/>
            </w:pPr>
            <w:r>
              <w:rPr/>
              <w:t>(49</w:t>
            </w:r>
          </w:p>
        </w:tc>
        <w:tc>
          <w:tcPr>
            <w:tcW w:w="95" w:type="dxa"/>
            <w:tcBorders/>
            <w:shd w:fill="CCEEFF" w:val="clear"/>
            <w:vAlign w:val="bottom"/>
          </w:tcPr>
          <w:p>
            <w:pPr>
              <w:pStyle w:val="TableContents"/>
              <w:spacing w:before="0" w:after="0"/>
              <w:rPr/>
            </w:pPr>
            <w:r>
              <w:rPr/>
              <w:t>)</w:t>
            </w:r>
          </w:p>
        </w:tc>
      </w:tr>
      <w:tr>
        <w:trPr/>
        <w:tc>
          <w:tcPr>
            <w:tcW w:w="4995" w:type="dxa"/>
            <w:tcBorders/>
            <w:shd w:fill="FFFFFF" w:val="clear"/>
            <w:vAlign w:val="bottom"/>
          </w:tcPr>
          <w:p>
            <w:pPr>
              <w:pStyle w:val="TableContents"/>
              <w:spacing w:before="0" w:after="0"/>
              <w:ind w:left="720" w:right="0" w:hanging="180"/>
              <w:rPr/>
            </w:pPr>
            <w:r>
              <w:rPr/>
              <w:t>Common equity tier 1 capital</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295,310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54" w:type="dxa"/>
            <w:tcBorders/>
            <w:shd w:fill="FFFFFF" w:val="clear"/>
            <w:vAlign w:val="bottom"/>
          </w:tcPr>
          <w:p>
            <w:pPr>
              <w:pStyle w:val="TableContents"/>
              <w:spacing w:before="0" w:after="0"/>
              <w:jc w:val="right"/>
              <w:rPr/>
            </w:pPr>
            <w:r>
              <w:rPr/>
              <w:t>307,255</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318,629</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54" w:type="dxa"/>
            <w:tcBorders/>
            <w:shd w:fill="FFFFFF" w:val="clear"/>
            <w:vAlign w:val="bottom"/>
          </w:tcPr>
          <w:p>
            <w:pPr>
              <w:pStyle w:val="TableContents"/>
              <w:spacing w:before="0" w:after="0"/>
              <w:jc w:val="right"/>
              <w:rPr/>
            </w:pPr>
            <w:r>
              <w:rPr/>
              <w:t>311,043</w:t>
            </w:r>
          </w:p>
        </w:tc>
        <w:tc>
          <w:tcPr>
            <w:tcW w:w="95" w:type="dxa"/>
            <w:tcBorders/>
            <w:shd w:fill="FFFFFF" w:val="clear"/>
            <w:vAlign w:val="bottom"/>
          </w:tcPr>
          <w:p>
            <w:pPr>
              <w:pStyle w:val="TableContents"/>
              <w:spacing w:before="0" w:after="283"/>
              <w:rPr/>
            </w:pPr>
            <w:r>
              <w:rPr/>
              <w:t> </w:t>
            </w:r>
          </w:p>
        </w:tc>
      </w:tr>
      <w:tr>
        <w:trPr/>
        <w:tc>
          <w:tcPr>
            <w:tcW w:w="4995" w:type="dxa"/>
            <w:tcBorders/>
            <w:shd w:fill="CCEEFF" w:val="clear"/>
            <w:vAlign w:val="bottom"/>
          </w:tcPr>
          <w:p>
            <w:pPr>
              <w:pStyle w:val="TableContents"/>
              <w:spacing w:before="0" w:after="0"/>
              <w:ind w:left="540" w:right="0" w:hanging="180"/>
              <w:rPr/>
            </w:pPr>
            <w:r>
              <w:rPr/>
              <w:t>Qualifying trust preferred securities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38,198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54" w:type="dxa"/>
            <w:tcBorders>
              <w:bottom w:val="single" w:sz="12" w:space="0" w:color="000000"/>
            </w:tcBorders>
            <w:shd w:fill="CCEEFF" w:val="clear"/>
            <w:tcMar>
              <w:bottom w:w="28" w:type="dxa"/>
            </w:tcMar>
            <w:vAlign w:val="bottom"/>
          </w:tcPr>
          <w:p>
            <w:pPr>
              <w:pStyle w:val="TableContents"/>
              <w:spacing w:before="0" w:after="0"/>
              <w:jc w:val="right"/>
              <w:rPr/>
            </w:pPr>
            <w:r>
              <w:rPr/>
              <w:t>38,164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54"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r>
      <w:tr>
        <w:trPr/>
        <w:tc>
          <w:tcPr>
            <w:tcW w:w="4995" w:type="dxa"/>
            <w:tcBorders/>
            <w:shd w:fill="FFFFFF" w:val="clear"/>
            <w:vAlign w:val="bottom"/>
          </w:tcPr>
          <w:p>
            <w:pPr>
              <w:pStyle w:val="TableContents"/>
              <w:spacing w:before="0" w:after="0"/>
              <w:ind w:left="720" w:right="0" w:hanging="180"/>
              <w:rPr/>
            </w:pPr>
            <w:r>
              <w:rPr/>
              <w:t>Tier 1 capital</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333,508</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54" w:type="dxa"/>
            <w:tcBorders/>
            <w:shd w:fill="FFFFFF" w:val="clear"/>
            <w:vAlign w:val="bottom"/>
          </w:tcPr>
          <w:p>
            <w:pPr>
              <w:pStyle w:val="TableContents"/>
              <w:spacing w:before="0" w:after="0"/>
              <w:jc w:val="right"/>
              <w:rPr/>
            </w:pPr>
            <w:r>
              <w:rPr/>
              <w:t>345,419</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318,629</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54" w:type="dxa"/>
            <w:tcBorders/>
            <w:shd w:fill="FFFFFF" w:val="clear"/>
            <w:vAlign w:val="bottom"/>
          </w:tcPr>
          <w:p>
            <w:pPr>
              <w:pStyle w:val="TableContents"/>
              <w:spacing w:before="0" w:after="0"/>
              <w:jc w:val="right"/>
              <w:rPr/>
            </w:pPr>
            <w:r>
              <w:rPr/>
              <w:t>311,043</w:t>
            </w:r>
          </w:p>
        </w:tc>
        <w:tc>
          <w:tcPr>
            <w:tcW w:w="95" w:type="dxa"/>
            <w:tcBorders/>
            <w:shd w:fill="FFFFFF" w:val="clear"/>
            <w:vAlign w:val="bottom"/>
          </w:tcPr>
          <w:p>
            <w:pPr>
              <w:pStyle w:val="TableContents"/>
              <w:spacing w:before="0" w:after="283"/>
              <w:rPr/>
            </w:pPr>
            <w:r>
              <w:rPr/>
              <w:t> </w:t>
            </w:r>
          </w:p>
        </w:tc>
      </w:tr>
      <w:tr>
        <w:trPr/>
        <w:tc>
          <w:tcPr>
            <w:tcW w:w="4995" w:type="dxa"/>
            <w:tcBorders/>
            <w:shd w:fill="CCEEFF" w:val="clear"/>
            <w:vAlign w:val="bottom"/>
          </w:tcPr>
          <w:p>
            <w:pPr>
              <w:pStyle w:val="TableContents"/>
              <w:spacing w:before="0" w:after="0"/>
              <w:ind w:left="540" w:right="0" w:hanging="180"/>
              <w:rPr/>
            </w:pPr>
            <w:r>
              <w:rPr/>
              <w:t>Allowance for loan losses and allowance for unfunded lending commitments limited to 1.25% of total risk-weighted assets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27,386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54" w:type="dxa"/>
            <w:tcBorders>
              <w:bottom w:val="single" w:sz="12" w:space="0" w:color="000000"/>
            </w:tcBorders>
            <w:shd w:fill="CCEEFF" w:val="clear"/>
            <w:tcMar>
              <w:bottom w:w="28" w:type="dxa"/>
            </w:tcMar>
            <w:vAlign w:val="bottom"/>
          </w:tcPr>
          <w:p>
            <w:pPr>
              <w:pStyle w:val="TableContents"/>
              <w:spacing w:before="0" w:after="0"/>
              <w:jc w:val="right"/>
              <w:rPr/>
            </w:pPr>
            <w:r>
              <w:rPr/>
              <w:t>26,184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27,386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54" w:type="dxa"/>
            <w:tcBorders>
              <w:bottom w:val="single" w:sz="12" w:space="0" w:color="000000"/>
            </w:tcBorders>
            <w:shd w:fill="CCEEFF" w:val="clear"/>
            <w:tcMar>
              <w:bottom w:w="28" w:type="dxa"/>
            </w:tcMar>
            <w:vAlign w:val="bottom"/>
          </w:tcPr>
          <w:p>
            <w:pPr>
              <w:pStyle w:val="TableContents"/>
              <w:spacing w:before="0" w:after="0"/>
              <w:jc w:val="right"/>
              <w:rPr/>
            </w:pPr>
            <w:r>
              <w:rPr/>
              <w:t>26,184</w:t>
            </w:r>
          </w:p>
        </w:tc>
        <w:tc>
          <w:tcPr>
            <w:tcW w:w="95" w:type="dxa"/>
            <w:tcBorders/>
            <w:shd w:fill="CCEEFF" w:val="clear"/>
            <w:vAlign w:val="bottom"/>
          </w:tcPr>
          <w:p>
            <w:pPr>
              <w:pStyle w:val="TableContents"/>
              <w:spacing w:before="0" w:after="283"/>
              <w:rPr/>
            </w:pPr>
            <w:r>
              <w:rPr/>
              <w:t> </w:t>
            </w:r>
          </w:p>
        </w:tc>
      </w:tr>
      <w:tr>
        <w:trPr/>
        <w:tc>
          <w:tcPr>
            <w:tcW w:w="4995" w:type="dxa"/>
            <w:tcBorders/>
            <w:shd w:fill="FFFFFF" w:val="clear"/>
            <w:vAlign w:val="bottom"/>
          </w:tcPr>
          <w:p>
            <w:pPr>
              <w:pStyle w:val="TableContents"/>
              <w:spacing w:before="0" w:after="0"/>
              <w:ind w:left="720" w:right="0" w:hanging="180"/>
              <w:rPr/>
            </w:pPr>
            <w:r>
              <w:rPr/>
              <w:t>Total risk-based capital</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800" w:type="dxa"/>
            <w:tcBorders>
              <w:bottom w:val="double" w:sz="8" w:space="0" w:color="000000"/>
            </w:tcBorders>
            <w:shd w:fill="FFFFFF" w:val="clear"/>
            <w:tcMar>
              <w:bottom w:w="28" w:type="dxa"/>
            </w:tcMar>
            <w:vAlign w:val="bottom"/>
          </w:tcPr>
          <w:p>
            <w:pPr>
              <w:pStyle w:val="TableContents"/>
              <w:spacing w:before="0" w:after="0"/>
              <w:jc w:val="right"/>
              <w:rPr/>
            </w:pPr>
            <w:r>
              <w:rPr/>
              <w:t>360,894</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bottom w:val="double" w:sz="8" w:space="0" w:color="000000"/>
            </w:tcBorders>
            <w:shd w:fill="FFFFFF" w:val="clear"/>
            <w:tcMar>
              <w:bottom w:w="28" w:type="dxa"/>
            </w:tcMar>
            <w:vAlign w:val="bottom"/>
          </w:tcPr>
          <w:p>
            <w:pPr>
              <w:pStyle w:val="TableContents"/>
              <w:spacing w:before="0" w:after="0"/>
              <w:rPr/>
            </w:pPr>
            <w:r>
              <w:rPr/>
              <w:t>$</w:t>
            </w:r>
          </w:p>
        </w:tc>
        <w:tc>
          <w:tcPr>
            <w:tcW w:w="1154" w:type="dxa"/>
            <w:tcBorders>
              <w:bottom w:val="double" w:sz="8" w:space="0" w:color="000000"/>
            </w:tcBorders>
            <w:shd w:fill="FFFFFF" w:val="clear"/>
            <w:tcMar>
              <w:bottom w:w="28" w:type="dxa"/>
            </w:tcMar>
            <w:vAlign w:val="bottom"/>
          </w:tcPr>
          <w:p>
            <w:pPr>
              <w:pStyle w:val="TableContents"/>
              <w:spacing w:before="0" w:after="0"/>
              <w:jc w:val="right"/>
              <w:rPr/>
            </w:pPr>
            <w:r>
              <w:rPr/>
              <w:t>371,603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800" w:type="dxa"/>
            <w:tcBorders>
              <w:bottom w:val="double" w:sz="8" w:space="0" w:color="000000"/>
            </w:tcBorders>
            <w:shd w:fill="FFFFFF" w:val="clear"/>
            <w:tcMar>
              <w:bottom w:w="28" w:type="dxa"/>
            </w:tcMar>
            <w:vAlign w:val="bottom"/>
          </w:tcPr>
          <w:p>
            <w:pPr>
              <w:pStyle w:val="TableContents"/>
              <w:spacing w:before="0" w:after="0"/>
              <w:jc w:val="right"/>
              <w:rPr/>
            </w:pPr>
            <w:r>
              <w:rPr/>
              <w:t>346,015</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bottom w:val="double" w:sz="8" w:space="0" w:color="000000"/>
            </w:tcBorders>
            <w:shd w:fill="FFFFFF" w:val="clear"/>
            <w:tcMar>
              <w:bottom w:w="28" w:type="dxa"/>
            </w:tcMar>
            <w:vAlign w:val="bottom"/>
          </w:tcPr>
          <w:p>
            <w:pPr>
              <w:pStyle w:val="TableContents"/>
              <w:spacing w:before="0" w:after="0"/>
              <w:rPr/>
            </w:pPr>
            <w:r>
              <w:rPr/>
              <w:t>$</w:t>
            </w:r>
          </w:p>
        </w:tc>
        <w:tc>
          <w:tcPr>
            <w:tcW w:w="1154" w:type="dxa"/>
            <w:tcBorders>
              <w:bottom w:val="double" w:sz="8" w:space="0" w:color="000000"/>
            </w:tcBorders>
            <w:shd w:fill="FFFFFF" w:val="clear"/>
            <w:tcMar>
              <w:bottom w:w="28" w:type="dxa"/>
            </w:tcMar>
            <w:vAlign w:val="bottom"/>
          </w:tcPr>
          <w:p>
            <w:pPr>
              <w:pStyle w:val="TableContents"/>
              <w:spacing w:before="0" w:after="0"/>
              <w:jc w:val="right"/>
              <w:rPr/>
            </w:pPr>
            <w:r>
              <w:rPr/>
              <w:t>337,227</w:t>
            </w:r>
          </w:p>
        </w:tc>
        <w:tc>
          <w:tcPr>
            <w:tcW w:w="9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 xml:space="preserve">11.  </w:t>
      </w:r>
      <w:r>
        <w:rPr>
          <w:u w:val="single"/>
        </w:rPr>
        <w:t>Fair Value Disclosures</w:t>
      </w:r>
    </w:p>
    <w:p>
      <w:pPr>
        <w:pStyle w:val="TextBody"/>
        <w:spacing w:before="0" w:after="0"/>
        <w:rPr/>
      </w:pPr>
      <w:r>
        <w:rPr/>
      </w:r>
    </w:p>
    <w:p>
      <w:pPr>
        <w:pStyle w:val="TextBody"/>
        <w:spacing w:before="0" w:after="0"/>
        <w:jc w:val="both"/>
        <w:rPr/>
      </w:pPr>
      <w:r>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pStyle w:val="TextBody"/>
        <w:spacing w:before="0" w:after="0"/>
        <w:rPr/>
      </w:pPr>
      <w:r>
        <w:rPr/>
      </w:r>
    </w:p>
    <w:p>
      <w:pPr>
        <w:pStyle w:val="TextBody"/>
        <w:spacing w:before="0" w:after="0"/>
        <w:jc w:val="both"/>
        <w:rPr/>
      </w:pPr>
      <w:r>
        <w:rPr/>
        <w:t>The standard describes three levels of inputs that may be used to measure fair value:</w:t>
      </w:r>
    </w:p>
    <w:p>
      <w:pPr>
        <w:pStyle w:val="TextBody"/>
        <w:spacing w:before="0" w:after="0"/>
        <w:rPr/>
      </w:pPr>
      <w:r>
        <w:rPr/>
      </w:r>
    </w:p>
    <w:p>
      <w:pPr>
        <w:pStyle w:val="TextBody"/>
        <w:spacing w:before="0" w:after="0"/>
        <w:ind w:left="720" w:right="0" w:hanging="0"/>
        <w:jc w:val="both"/>
        <w:rPr/>
      </w:pPr>
      <w:r>
        <w:rPr/>
        <w:t xml:space="preserve">Level 1: </w:t>
      </w:r>
      <w:r>
        <w:rPr>
          <w:color w:val="000000"/>
        </w:rPr>
        <w:t>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pStyle w:val="TextBody"/>
        <w:spacing w:before="0" w:after="0"/>
        <w:rPr/>
      </w:pPr>
      <w:r>
        <w:rPr/>
      </w:r>
    </w:p>
    <w:p>
      <w:pPr>
        <w:pStyle w:val="TextBody"/>
        <w:spacing w:before="0" w:after="0"/>
        <w:ind w:left="720" w:right="0" w:hanging="0"/>
        <w:jc w:val="both"/>
        <w:rPr/>
      </w:pPr>
      <w:r>
        <w:rPr/>
        <w:t xml:space="preserve">Level 2:  </w:t>
      </w:r>
      <w:r>
        <w:rPr>
          <w:color w:val="000000"/>
        </w:rPr>
        <w:t>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pStyle w:val="TextBody"/>
        <w:spacing w:before="0" w:after="0"/>
        <w:rPr/>
      </w:pPr>
      <w:r>
        <w:rPr/>
      </w:r>
    </w:p>
    <w:p>
      <w:pPr>
        <w:pStyle w:val="TextBody"/>
        <w:spacing w:before="0" w:after="0"/>
        <w:ind w:left="720" w:right="0" w:hanging="0"/>
        <w:jc w:val="both"/>
        <w:rPr/>
      </w:pPr>
      <w:r>
        <w:rPr/>
        <w:t xml:space="preserve">Level 3:  </w:t>
      </w:r>
      <w:r>
        <w:rPr>
          <w:color w:val="000000"/>
        </w:rPr>
        <w:t>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pStyle w:val="TextBody"/>
        <w:spacing w:before="0" w:after="0"/>
        <w:ind w:left="720" w:right="0" w:hanging="0"/>
        <w:jc w:val="both"/>
        <w:rPr>
          <w:color w:val="000000"/>
        </w:rPr>
      </w:pPr>
      <w:r>
        <w:rPr>
          <w:color w:val="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39" w:name="DSPFPageBreakArea42"/>
      <w:bookmarkStart w:id="440" w:name="DSPFPageBreakArea42"/>
      <w:bookmarkEnd w:id="4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441" w:name="DSPFPageNumber42"/>
      <w:bookmarkStart w:id="442" w:name="DSPFPageNumberArea41"/>
      <w:bookmarkEnd w:id="441"/>
      <w:bookmarkEnd w:id="442"/>
      <w:r>
        <w:rPr>
          <w:b w:val="false"/>
          <w:i w:val="false"/>
          <w:caps w:val="false"/>
          <w:smallCaps w:val="false"/>
          <w:sz w:val="13"/>
        </w:rPr>
        <w:t>43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3" w:name="DSPFPageBreak42"/>
      <w:bookmarkStart w:id="444" w:name="DSPFPageBreak42"/>
      <w:bookmarkEnd w:id="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445" w:name="DSPFPageHeader41"/>
        <w:bookmarkEnd w:id="44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We used the following methods and significant assumptions to estimate fair value:</w:t>
      </w:r>
    </w:p>
    <w:p>
      <w:pPr>
        <w:pStyle w:val="TextBody"/>
        <w:spacing w:before="0" w:after="0"/>
        <w:rPr/>
      </w:pPr>
      <w:r>
        <w:rPr/>
      </w:r>
    </w:p>
    <w:p>
      <w:pPr>
        <w:pStyle w:val="TextBody"/>
        <w:spacing w:before="0" w:after="0"/>
        <w:jc w:val="both"/>
        <w:rPr/>
      </w:pPr>
      <w:r>
        <w:rPr>
          <w:u w:val="single"/>
        </w:rPr>
        <w:t>Securities</w:t>
      </w:r>
      <w:r>
        <w:rPr/>
        <w:t xml:space="preserve">:  Where quoted market prices are available in an active market, securities (equity securities at fair value or available for sale) are classified as Level 1 of the valuation hierarchy.  Level 1 securities include certain preferred stocks included in our equity securities at fair value for which there are quoted prices in active markets (at December 31, 2018).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w:t>
      </w:r>
      <w:r>
        <w:rPr>
          <w:color w:val="231F20"/>
        </w:rPr>
        <w:t>obligations of states and political subdivisions</w:t>
      </w:r>
      <w:r>
        <w:rPr/>
        <w:t>, trust preferred securities, corporate securities and foreign government securities.</w:t>
      </w:r>
    </w:p>
    <w:p>
      <w:pPr>
        <w:pStyle w:val="TextBody"/>
        <w:spacing w:before="0" w:after="0"/>
        <w:rPr/>
      </w:pPr>
      <w:r>
        <w:rPr/>
      </w:r>
    </w:p>
    <w:p>
      <w:pPr>
        <w:pStyle w:val="TextBody"/>
        <w:spacing w:before="0" w:after="0"/>
        <w:jc w:val="both"/>
        <w:rPr/>
      </w:pPr>
      <w:r>
        <w:rPr>
          <w:u w:val="single"/>
        </w:rPr>
        <w:t>Loans held for sale</w:t>
      </w:r>
      <w:r>
        <w:rPr/>
        <w:t xml:space="preserve">:  </w:t>
      </w:r>
      <w:r>
        <w:rPr>
          <w:color w:val="231F20"/>
        </w:rPr>
        <w:t>The fair value of mortgage loans held for sale, carried at fair value is based on agency cash window loan pricing for comparable assets (recurring Level 2)</w:t>
      </w:r>
      <w:r>
        <w:rPr/>
        <w:t xml:space="preserve"> and the fair value of mortgage loans held for sale, carried at the lower of cost or fair value (at December 31, 2018) is based on a quoted sales price (non-recurring Level 1).</w:t>
      </w:r>
    </w:p>
    <w:p>
      <w:pPr>
        <w:pStyle w:val="TextBody"/>
        <w:spacing w:before="0" w:after="0"/>
        <w:rPr/>
      </w:pPr>
      <w:r>
        <w:rPr/>
      </w:r>
    </w:p>
    <w:p>
      <w:pPr>
        <w:pStyle w:val="TextBody"/>
        <w:spacing w:before="0" w:after="0"/>
        <w:jc w:val="both"/>
        <w:rPr/>
      </w:pPr>
      <w:r>
        <w:rPr>
          <w:u w:val="single"/>
        </w:rPr>
        <w:t>Impaired loans with specific loss allocations based on collateral value</w:t>
      </w:r>
      <w:r>
        <w:rPr/>
        <w:t xml:space="preserve">:  </w:t>
      </w:r>
      <w:r>
        <w:rPr>
          <w:color w:val="000000"/>
        </w:rPr>
        <w:t>From time to time, certain loans are considered impaired and an allowance for loan losses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for loan losses represent loans for which the fair value of the expected repayments or collateral exceed the recorded investments in such loans. At June 30, 2019 and December 31, 2018, all of our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w:t>
      </w:r>
      <w:r>
        <w:rPr/>
        <w:t>.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46" w:name="DSPFPageBreakArea43"/>
      <w:bookmarkStart w:id="447" w:name="DSPFPageBreakArea43"/>
      <w:bookmarkEnd w:id="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448" w:name="DSPFPageNumber43"/>
      <w:bookmarkStart w:id="449" w:name="DSPFPageNumberArea42"/>
      <w:bookmarkEnd w:id="448"/>
      <w:bookmarkEnd w:id="449"/>
      <w:r>
        <w:rPr>
          <w:b w:val="false"/>
          <w:i w:val="false"/>
          <w:caps w:val="false"/>
          <w:smallCaps w:val="false"/>
          <w:sz w:val="13"/>
        </w:rPr>
        <w:t>44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0" w:name="DSPFPageBreak43"/>
      <w:bookmarkStart w:id="451" w:name="DSPFPageBreak43"/>
      <w:bookmarkEnd w:id="4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452" w:name="DSPFPageHeader42"/>
        <w:bookmarkEnd w:id="452"/>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u w:val="single"/>
        </w:rPr>
        <w:t>Other real estate</w:t>
      </w:r>
      <w:r>
        <w:rPr/>
        <w:t xml:space="preserve">:  </w:t>
      </w:r>
      <w:r>
        <w:rPr>
          <w:color w:val="231F20"/>
        </w:rPr>
        <w:t>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pStyle w:val="TextBody"/>
        <w:spacing w:before="0" w:after="0"/>
        <w:rPr/>
      </w:pPr>
      <w:r>
        <w:rPr/>
      </w:r>
    </w:p>
    <w:p>
      <w:pPr>
        <w:pStyle w:val="TextBody"/>
        <w:spacing w:before="0" w:after="0"/>
        <w:jc w:val="both"/>
        <w:rPr/>
      </w:pPr>
      <w:r>
        <w:rPr>
          <w:color w:val="231F20"/>
        </w:rPr>
        <w:t xml:space="preserve">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w:t>
      </w:r>
      <w:r>
        <w:rPr/>
        <w:t xml:space="preserve">Assets Group </w:t>
      </w:r>
      <w:r>
        <w:rPr>
          <w:color w:val="231F20"/>
        </w:rPr>
        <w:t>(for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pStyle w:val="TextBody"/>
        <w:spacing w:before="0" w:after="0"/>
        <w:jc w:val="both"/>
        <w:rPr/>
      </w:pPr>
      <w:r>
        <w:rPr/>
      </w:r>
    </w:p>
    <w:p>
      <w:pPr>
        <w:pStyle w:val="TextBody"/>
        <w:spacing w:before="0" w:after="0"/>
        <w:jc w:val="both"/>
        <w:rPr>
          <w:color w:val="000000"/>
        </w:rPr>
      </w:pPr>
      <w:r>
        <w:rPr>
          <w:color w:val="000000"/>
          <w:u w:val="single"/>
        </w:rPr>
        <w:t>Capitalized mortgage loan servicing rights</w:t>
      </w:r>
      <w:r>
        <w:rPr>
          <w:color w:val="000000"/>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pStyle w:val="TextBody"/>
        <w:spacing w:before="0" w:after="0"/>
        <w:rPr/>
      </w:pPr>
      <w:r>
        <w:rPr/>
      </w:r>
    </w:p>
    <w:p>
      <w:pPr>
        <w:pStyle w:val="TextBody"/>
        <w:spacing w:before="0" w:after="0"/>
        <w:jc w:val="both"/>
        <w:rPr/>
      </w:pPr>
      <w:r>
        <w:rPr>
          <w:u w:val="single"/>
        </w:rPr>
        <w:t>Derivatives</w:t>
      </w:r>
      <w:r>
        <w:rPr/>
        <w:t xml:space="preserve">:  </w:t>
      </w:r>
      <w:r>
        <w:rPr>
          <w:color w:val="231F20"/>
        </w:rPr>
        <w:t>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pStyle w:val="TextBody"/>
        <w:spacing w:before="0" w:after="0"/>
        <w:jc w:val="both"/>
        <w:rPr>
          <w:color w:val="231F20"/>
        </w:rPr>
      </w:pPr>
      <w:r>
        <w:rPr>
          <w:color w:val="231F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53" w:name="DSPFPageBreakArea44"/>
      <w:bookmarkStart w:id="454" w:name="DSPFPageBreakArea44"/>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455" w:name="DSPFPageNumber44"/>
      <w:bookmarkStart w:id="456" w:name="DSPFPageNumberArea43"/>
      <w:bookmarkEnd w:id="455"/>
      <w:bookmarkEnd w:id="456"/>
      <w:r>
        <w:rPr>
          <w:b w:val="false"/>
          <w:i w:val="false"/>
          <w:caps w:val="false"/>
          <w:smallCaps w:val="false"/>
          <w:sz w:val="13"/>
        </w:rPr>
        <w:t>45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7" w:name="DSPFPageBreak44"/>
      <w:bookmarkStart w:id="458" w:name="DSPFPageBreak44"/>
      <w:bookmarkEnd w:id="4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459" w:name="DSPFPageHeader43"/>
        <w:bookmarkEnd w:id="459"/>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Assets and liabilities measured at fair value, including financial assets for which we have elected the fair value option, were as follows:</w:t>
      </w:r>
    </w:p>
    <w:p>
      <w:pPr>
        <w:pStyle w:val="TextBody"/>
        <w:spacing w:before="0" w:after="0"/>
        <w:jc w:val="both"/>
        <w:rPr/>
      </w:pPr>
      <w:r>
        <w:rPr/>
      </w:r>
    </w:p>
    <w:p>
      <w:pPr>
        <w:pStyle w:val="Normal"/>
        <w:spacing w:before="0" w:after="0"/>
        <w:rPr>
          <w:sz w:val="4"/>
          <w:szCs w:val="4"/>
        </w:rPr>
      </w:pPr>
      <w:r>
        <w:rPr>
          <w:sz w:val="4"/>
          <w:szCs w:val="4"/>
        </w:rPr>
      </w:r>
      <w:bookmarkStart w:id="460" w:name="ze82ae60bb136450fb8f9238319b772ca"/>
      <w:bookmarkStart w:id="461" w:name="ze82ae60bb136450fb8f9238319b772ca"/>
      <w:bookmarkEnd w:id="461"/>
    </w:p>
    <w:tbl>
      <w:tblPr>
        <w:tblW w:w="9718" w:type="dxa"/>
        <w:jc w:val="left"/>
        <w:tblInd w:w="0" w:type="dxa"/>
        <w:tblCellMar>
          <w:top w:w="0" w:type="dxa"/>
          <w:left w:w="0" w:type="dxa"/>
          <w:bottom w:w="0" w:type="dxa"/>
          <w:right w:w="0" w:type="dxa"/>
        </w:tblCellMar>
      </w:tblPr>
      <w:tblGrid>
        <w:gridCol w:w="4790"/>
        <w:gridCol w:w="60"/>
        <w:gridCol w:w="152"/>
        <w:gridCol w:w="873"/>
        <w:gridCol w:w="60"/>
        <w:gridCol w:w="60"/>
        <w:gridCol w:w="530"/>
        <w:gridCol w:w="360"/>
        <w:gridCol w:w="82"/>
        <w:gridCol w:w="82"/>
        <w:gridCol w:w="192"/>
        <w:gridCol w:w="1102"/>
        <w:gridCol w:w="82"/>
        <w:gridCol w:w="82"/>
        <w:gridCol w:w="192"/>
        <w:gridCol w:w="944"/>
        <w:gridCol w:w="75"/>
      </w:tblGrid>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48" w:type="dxa"/>
            <w:gridSpan w:val="10"/>
            <w:tcBorders>
              <w:bottom w:val="single" w:sz="12" w:space="0" w:color="000000"/>
            </w:tcBorders>
            <w:shd w:fill="auto" w:val="clear"/>
            <w:tcMar>
              <w:bottom w:w="28" w:type="dxa"/>
            </w:tcMar>
            <w:vAlign w:val="bottom"/>
          </w:tcPr>
          <w:p>
            <w:pPr>
              <w:pStyle w:val="TableContents"/>
              <w:spacing w:before="0" w:after="0"/>
              <w:jc w:val="center"/>
              <w:rPr/>
            </w:pPr>
            <w:r>
              <w:rPr/>
              <w:t>Fair Value Measurements Using</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bottom"/>
          </w:tcPr>
          <w:p>
            <w:pPr>
              <w:pStyle w:val="TableContents"/>
              <w:spacing w:before="0" w:after="0"/>
              <w:jc w:val="center"/>
              <w:rPr/>
            </w:pPr>
            <w:r>
              <w:rPr/>
              <w:t>Fair Value</w:t>
            </w:r>
          </w:p>
          <w:p>
            <w:pPr>
              <w:pStyle w:val="TableContents"/>
              <w:spacing w:before="0" w:after="0"/>
              <w:jc w:val="center"/>
              <w:rPr/>
            </w:pPr>
            <w:r>
              <w:rPr/>
              <w:t>Measure-</w:t>
            </w:r>
          </w:p>
          <w:p>
            <w:pPr>
              <w:pStyle w:val="TableContents"/>
              <w:spacing w:before="0" w:after="0"/>
              <w:jc w:val="center"/>
              <w:rPr/>
            </w:pPr>
            <w:r>
              <w:rPr/>
              <w: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bottom"/>
          </w:tcPr>
          <w:p>
            <w:pPr>
              <w:pStyle w:val="TableContents"/>
              <w:spacing w:before="0" w:after="0"/>
              <w:jc w:val="center"/>
              <w:rPr/>
            </w:pPr>
            <w:r>
              <w:rPr/>
              <w:t>Quoted</w:t>
            </w:r>
          </w:p>
          <w:p>
            <w:pPr>
              <w:pStyle w:val="TableContents"/>
              <w:spacing w:before="0" w:after="0"/>
              <w:jc w:val="center"/>
              <w:rPr/>
            </w:pPr>
            <w:r>
              <w:rPr/>
              <w:t>Prices</w:t>
            </w:r>
          </w:p>
          <w:p>
            <w:pPr>
              <w:pStyle w:val="TableContents"/>
              <w:spacing w:before="0" w:after="0"/>
              <w:jc w:val="center"/>
              <w:rPr/>
            </w:pPr>
            <w:r>
              <w:rPr/>
              <w:t>in Active</w:t>
            </w:r>
          </w:p>
          <w:p>
            <w:pPr>
              <w:pStyle w:val="TableContents"/>
              <w:spacing w:before="0" w:after="0"/>
              <w:jc w:val="center"/>
              <w:rPr/>
            </w:pPr>
            <w:r>
              <w:rPr/>
              <w:t>Markets</w:t>
            </w:r>
          </w:p>
          <w:p>
            <w:pPr>
              <w:pStyle w:val="TableContents"/>
              <w:spacing w:before="0" w:after="0"/>
              <w:jc w:val="center"/>
              <w:rPr/>
            </w:pPr>
            <w:r>
              <w:rPr/>
              <w:t>for</w:t>
            </w:r>
          </w:p>
          <w:p>
            <w:pPr>
              <w:pStyle w:val="TableContents"/>
              <w:spacing w:before="0" w:after="0"/>
              <w:jc w:val="center"/>
              <w:rPr/>
            </w:pPr>
            <w:r>
              <w:rPr/>
              <w:t>Identical</w:t>
            </w:r>
          </w:p>
          <w:p>
            <w:pPr>
              <w:pStyle w:val="TableContents"/>
              <w:spacing w:before="0" w:after="0"/>
              <w:jc w:val="center"/>
              <w:rPr/>
            </w:pPr>
            <w:r>
              <w:rPr/>
              <w:t>Assets</w:t>
            </w:r>
          </w:p>
          <w:p>
            <w:pPr>
              <w:pStyle w:val="TableContents"/>
              <w:spacing w:before="0" w:after="0"/>
              <w:jc w:val="center"/>
              <w:rPr/>
            </w:pPr>
            <w:r>
              <w:rPr/>
              <w:t>(Level 1)</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294" w:type="dxa"/>
            <w:gridSpan w:val="2"/>
            <w:tcBorders>
              <w:bottom w:val="single" w:sz="12" w:space="0" w:color="000000"/>
            </w:tcBorders>
            <w:shd w:fill="auto" w:val="clear"/>
            <w:tcMar>
              <w:bottom w:w="28" w:type="dxa"/>
            </w:tcMar>
            <w:vAlign w:val="bottom"/>
          </w:tcPr>
          <w:p>
            <w:pPr>
              <w:pStyle w:val="TableContents"/>
              <w:spacing w:before="0" w:after="0"/>
              <w:jc w:val="center"/>
              <w:rPr/>
            </w:pPr>
            <w:r>
              <w:rPr/>
              <w:t>Significant</w:t>
            </w:r>
          </w:p>
          <w:p>
            <w:pPr>
              <w:pStyle w:val="TableContents"/>
              <w:spacing w:before="0" w:after="0"/>
              <w:jc w:val="center"/>
              <w:rPr/>
            </w:pPr>
            <w:r>
              <w:rPr/>
              <w:t>Other</w:t>
            </w:r>
          </w:p>
          <w:p>
            <w:pPr>
              <w:pStyle w:val="TableContents"/>
              <w:spacing w:before="0" w:after="0"/>
              <w:jc w:val="center"/>
              <w:rPr/>
            </w:pPr>
            <w:r>
              <w:rPr/>
              <w:t>Observable</w:t>
            </w:r>
          </w:p>
          <w:p>
            <w:pPr>
              <w:pStyle w:val="TableContents"/>
              <w:spacing w:before="0" w:after="0"/>
              <w:jc w:val="center"/>
              <w:rPr/>
            </w:pPr>
            <w:r>
              <w:rPr/>
              <w:t>Inputs</w:t>
            </w:r>
          </w:p>
          <w:p>
            <w:pPr>
              <w:pStyle w:val="TableContents"/>
              <w:spacing w:before="0" w:after="0"/>
              <w:jc w:val="center"/>
              <w:rPr/>
            </w:pPr>
            <w:r>
              <w:rPr/>
              <w:t>(Level 2)</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jc w:val="center"/>
              <w:rPr/>
            </w:pPr>
            <w:r>
              <w:rPr/>
              <w:t>Significant</w:t>
            </w:r>
          </w:p>
          <w:p>
            <w:pPr>
              <w:pStyle w:val="TableContents"/>
              <w:spacing w:before="0" w:after="0"/>
              <w:jc w:val="center"/>
              <w:rPr/>
            </w:pPr>
            <w:r>
              <w:rPr/>
              <w:t>Un-</w:t>
            </w:r>
          </w:p>
          <w:p>
            <w:pPr>
              <w:pStyle w:val="TableContents"/>
              <w:spacing w:before="0" w:after="0"/>
              <w:jc w:val="center"/>
              <w:rPr/>
            </w:pPr>
            <w:r>
              <w:rPr/>
              <w:t>observable</w:t>
            </w:r>
          </w:p>
          <w:p>
            <w:pPr>
              <w:pStyle w:val="TableContents"/>
              <w:spacing w:before="0" w:after="0"/>
              <w:jc w:val="center"/>
              <w:rPr/>
            </w:pPr>
            <w:r>
              <w:rPr/>
              <w:t>Inputs</w:t>
            </w:r>
          </w:p>
          <w:p>
            <w:pPr>
              <w:pStyle w:val="TableContents"/>
              <w:spacing w:before="0" w:after="0"/>
              <w:jc w:val="center"/>
              <w:rPr/>
            </w:pPr>
            <w:r>
              <w:rPr/>
              <w:t>(Level 3)</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93" w:type="dxa"/>
            <w:gridSpan w:val="14"/>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4790" w:type="dxa"/>
            <w:tcBorders>
              <w:bottom w:val="single" w:sz="12" w:space="0" w:color="000000"/>
            </w:tcBorders>
            <w:shd w:fill="auto" w:val="clear"/>
            <w:tcMar>
              <w:bottom w:w="28" w:type="dxa"/>
            </w:tcMar>
            <w:vAlign w:val="bottom"/>
          </w:tcPr>
          <w:p>
            <w:pPr>
              <w:pStyle w:val="TableContents"/>
              <w:spacing w:before="0" w:after="0"/>
              <w:ind w:left="144" w:right="0" w:hanging="144"/>
              <w:rPr/>
            </w:pPr>
            <w:r>
              <w:rPr/>
              <w:t>June 30, 2019:</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82" w:type="dxa"/>
            <w:tcBorders>
              <w:bottom w:val="single" w:sz="12" w:space="0" w:color="000000"/>
            </w:tcBorders>
            <w:shd w:fill="auto" w:val="clear"/>
            <w:tcMar>
              <w:bottom w:w="28" w:type="dxa"/>
            </w:tcMar>
            <w:vAlign w:val="bottom"/>
          </w:tcPr>
          <w:p>
            <w:pPr>
              <w:pStyle w:val="TableContents"/>
              <w:spacing w:before="0" w:after="283"/>
              <w:rPr/>
            </w:pPr>
            <w:r>
              <w:rPr/>
              <w:t> </w:t>
            </w:r>
          </w:p>
        </w:tc>
        <w:tc>
          <w:tcPr>
            <w:tcW w:w="82" w:type="dxa"/>
            <w:tcBorders>
              <w:bottom w:val="single" w:sz="12" w:space="0" w:color="000000"/>
            </w:tcBorders>
            <w:shd w:fill="auto" w:val="clear"/>
            <w:tcMar>
              <w:bottom w:w="28" w:type="dxa"/>
            </w:tcMar>
            <w:vAlign w:val="bottom"/>
          </w:tcPr>
          <w:p>
            <w:pPr>
              <w:pStyle w:val="TableContents"/>
              <w:spacing w:before="0" w:after="283"/>
              <w:rPr/>
            </w:pPr>
            <w:r>
              <w:rPr/>
              <w:t> </w:t>
            </w:r>
          </w:p>
        </w:tc>
        <w:tc>
          <w:tcPr>
            <w:tcW w:w="1294"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82" w:type="dxa"/>
            <w:tcBorders>
              <w:bottom w:val="single" w:sz="12" w:space="0" w:color="000000"/>
            </w:tcBorders>
            <w:shd w:fill="auto" w:val="clear"/>
            <w:tcMar>
              <w:bottom w:w="28" w:type="dxa"/>
            </w:tcMar>
            <w:vAlign w:val="bottom"/>
          </w:tcPr>
          <w:p>
            <w:pPr>
              <w:pStyle w:val="TableContents"/>
              <w:spacing w:before="0" w:after="283"/>
              <w:rPr/>
            </w:pPr>
            <w:r>
              <w:rPr/>
              <w:t> </w:t>
            </w:r>
          </w:p>
        </w:tc>
        <w:tc>
          <w:tcPr>
            <w:tcW w:w="82" w:type="dxa"/>
            <w:tcBorders>
              <w:bottom w:val="single" w:sz="12" w:space="0" w:color="000000"/>
            </w:tcBorders>
            <w:shd w:fill="auto" w:val="clear"/>
            <w:tcMar>
              <w:bottom w:w="28" w:type="dxa"/>
            </w:tcM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0"/>
              <w:ind w:left="144" w:right="0" w:hanging="144"/>
              <w:rPr/>
            </w:pPr>
            <w:r>
              <w:rPr/>
              <w:t>Measured at Fair Value on a Recurring Basis</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0"/>
              <w:ind w:left="324" w:right="0" w:hanging="144"/>
              <w:rPr/>
            </w:pPr>
            <w:r>
              <w:rPr/>
              <w:t>Assets</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790" w:type="dxa"/>
            <w:tcBorders/>
            <w:shd w:fill="auto" w:val="clear"/>
            <w:vAlign w:val="bottom"/>
          </w:tcPr>
          <w:p>
            <w:pPr>
              <w:pStyle w:val="TableContents"/>
              <w:spacing w:before="0" w:after="0"/>
              <w:ind w:left="504" w:right="0" w:hanging="144"/>
              <w:rPr/>
            </w:pPr>
            <w:r>
              <w:rPr/>
              <w:t>Securities available for sale</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294"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pPr>
            <w:r>
              <w:rPr/>
              <w:t>U.S. agency</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73" w:type="dxa"/>
            <w:tcBorders/>
            <w:shd w:fill="CCEEFF" w:val="clear"/>
            <w:vAlign w:val="bottom"/>
          </w:tcPr>
          <w:p>
            <w:pPr>
              <w:pStyle w:val="TableContents"/>
              <w:spacing w:before="0" w:after="0"/>
              <w:jc w:val="right"/>
              <w:rPr/>
            </w:pPr>
            <w:r>
              <w:rPr/>
              <w:t>17,183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0"/>
              <w:rPr/>
            </w:pPr>
            <w:r>
              <w:rPr/>
              <w:t>$</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0"/>
              <w:rPr/>
            </w:pPr>
            <w:r>
              <w:rPr/>
              <w:t>$</w:t>
            </w:r>
          </w:p>
        </w:tc>
        <w:tc>
          <w:tcPr>
            <w:tcW w:w="1102" w:type="dxa"/>
            <w:tcBorders/>
            <w:shd w:fill="CCEEFF" w:val="clear"/>
            <w:vAlign w:val="bottom"/>
          </w:tcPr>
          <w:p>
            <w:pPr>
              <w:pStyle w:val="TableContents"/>
              <w:spacing w:before="0" w:after="0"/>
              <w:jc w:val="right"/>
              <w:rPr/>
            </w:pPr>
            <w:r>
              <w:rPr/>
              <w:t>17,183</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0"/>
              <w:rPr/>
            </w:pPr>
            <w:r>
              <w:rPr/>
              <w:t>$</w:t>
            </w:r>
          </w:p>
        </w:tc>
        <w:tc>
          <w:tcPr>
            <w:tcW w:w="9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684" w:right="0" w:hanging="144"/>
              <w:rPr/>
            </w:pPr>
            <w:r>
              <w:rPr/>
              <w:t>U.S. agency residential mortgage-backed</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137,017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137,017</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color w:val="000000"/>
              </w:rPr>
            </w:pPr>
            <w:r>
              <w:rPr>
                <w:color w:val="000000"/>
              </w:rPr>
              <w:t>U.S. agency commercial mortgage-backed</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12,238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12,238</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684" w:right="0" w:hanging="144"/>
              <w:rPr/>
            </w:pPr>
            <w:r>
              <w:rPr/>
              <w:t>Private label mortgage-backed</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30,129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30,129</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color w:val="000000"/>
              </w:rPr>
            </w:pPr>
            <w:r>
              <w:rPr>
                <w:color w:val="000000"/>
              </w:rPr>
              <w:t>Other asset backed</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91,151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91,151</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684" w:right="0" w:hanging="144"/>
              <w:rPr/>
            </w:pPr>
            <w:r>
              <w:rPr/>
              <w:t>Obligations of states and political subdivisions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104,827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104,827</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pPr>
            <w:r>
              <w:rPr/>
              <w:t>Corporate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33,882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33,882</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684" w:right="0" w:hanging="144"/>
              <w:rPr>
                <w:color w:val="000000"/>
              </w:rPr>
            </w:pPr>
            <w:r>
              <w:rPr>
                <w:color w:val="000000"/>
              </w:rPr>
              <w:t>Trust preferred</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1,851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1,851</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color w:val="000000"/>
              </w:rPr>
            </w:pPr>
            <w:r>
              <w:rPr>
                <w:color w:val="000000"/>
              </w:rPr>
              <w:t>Foreign government</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2,027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2,027</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Loans held for sale, carried at fair value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62,883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62,883</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04" w:right="0" w:hanging="144"/>
              <w:rPr/>
            </w:pPr>
            <w:r>
              <w:rPr/>
              <w:t>Capitalized mortgage loan servicing rights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17,894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17,894</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Derivatives (1)</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6,233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6,233</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180" w:right="0" w:hanging="0"/>
              <w:rPr/>
            </w:pPr>
            <w:r>
              <w:rPr/>
              <w:t>Liabilities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Derivatives (2)</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4,217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4,217</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144" w:right="0" w:hanging="144"/>
              <w:rPr/>
            </w:pPr>
            <w:r>
              <w:rPr/>
              <w:t>Measured at Fair Value on a Non-recurring Basis: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324" w:right="0" w:hanging="144"/>
              <w:rPr/>
            </w:pPr>
            <w:r>
              <w:rPr/>
              <w:t>Assets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04" w:right="0" w:hanging="144"/>
              <w:rPr/>
            </w:pPr>
            <w:r>
              <w:rPr/>
              <w:t>Impaired loans (3)</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pPr>
            <w:r>
              <w:rPr/>
              <w:t>Commercial</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864" w:right="0" w:hanging="144"/>
              <w:rPr/>
            </w:pPr>
            <w:r>
              <w:rPr/>
              <w:t>Income producing - real estate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116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116</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720" w:right="0" w:hanging="0"/>
              <w:rPr/>
            </w:pPr>
            <w:r>
              <w:rPr/>
              <w:t>Land, land development &amp; construction-real estate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1,198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1,198</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864" w:right="0" w:hanging="144"/>
              <w:rPr/>
            </w:pPr>
            <w:r>
              <w:rPr/>
              <w:t>Commercial and industrial</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106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106</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684" w:right="0" w:hanging="144"/>
              <w:rPr/>
            </w:pPr>
            <w:r>
              <w:rPr/>
              <w:t>Mortgage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864" w:right="0" w:hanging="144"/>
              <w:rPr/>
            </w:pPr>
            <w:r>
              <w:rPr/>
              <w:t>1-4 family</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839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839</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864" w:right="0" w:hanging="144"/>
              <w:rPr/>
            </w:pPr>
            <w:r>
              <w:rPr/>
              <w:t>Resort lending</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360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360</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864" w:right="0" w:hanging="144"/>
              <w:rPr/>
            </w:pPr>
            <w:r>
              <w:rPr/>
              <w:t>Home equity - 1st lien</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41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41</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86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182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182</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540" w:right="0" w:hanging="0"/>
              <w:rPr/>
            </w:pPr>
            <w:r>
              <w:rPr/>
              <w:t>Installment</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864" w:right="0" w:hanging="144"/>
              <w:rPr/>
            </w:pPr>
            <w:r>
              <w:rPr/>
              <w:t>Home equity - 1st lien</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2</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86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31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31</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864" w:right="0" w:hanging="144"/>
              <w:rPr/>
            </w:pPr>
            <w:r>
              <w:rPr/>
              <w:t>Boat lending</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21</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864" w:right="0" w:hanging="144"/>
              <w:rPr/>
            </w:pPr>
            <w:r>
              <w:rPr/>
              <w:t>Recreational vehicle lending</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1</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864" w:right="0" w:hanging="144"/>
              <w:rPr/>
            </w:pPr>
            <w:r>
              <w:rPr/>
              <w:t>Other</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97</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360" w:right="0" w:hanging="0"/>
              <w:rPr/>
            </w:pPr>
            <w:r>
              <w:rPr/>
              <w:t>Other real estate (4)</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540" w:right="0" w:hanging="0"/>
              <w:rPr/>
            </w:pPr>
            <w:r>
              <w:rPr/>
              <w:t>Mortgage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790" w:type="dxa"/>
            <w:tcBorders/>
            <w:shd w:fill="FFFFFF" w:val="clear"/>
            <w:vAlign w:val="bottom"/>
          </w:tcPr>
          <w:p>
            <w:pPr>
              <w:pStyle w:val="TableContents"/>
              <w:spacing w:before="0" w:after="0"/>
              <w:ind w:left="864" w:right="0" w:hanging="144"/>
              <w:rPr/>
            </w:pPr>
            <w:r>
              <w:rPr/>
              <w:t>1-4 family</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530"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1102" w:type="dxa"/>
            <w:tcBorders/>
            <w:shd w:fill="FFFFFF" w:val="clear"/>
            <w:vAlign w:val="bottom"/>
          </w:tcPr>
          <w:p>
            <w:pPr>
              <w:pStyle w:val="TableContents"/>
              <w:spacing w:before="0" w:after="0"/>
              <w:jc w:val="right"/>
              <w:rPr/>
            </w:pPr>
            <w:r>
              <w:rPr/>
              <w:t>-</w:t>
            </w:r>
          </w:p>
        </w:tc>
        <w:tc>
          <w:tcPr>
            <w:tcW w:w="82"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rPr/>
            </w:pPr>
            <w:r>
              <w:rPr/>
              <w:t> </w:t>
            </w:r>
          </w:p>
        </w:tc>
        <w:tc>
          <w:tcPr>
            <w:tcW w:w="944" w:type="dxa"/>
            <w:tcBorders/>
            <w:shd w:fill="FFFFFF" w:val="clear"/>
            <w:vAlign w:val="bottom"/>
          </w:tcPr>
          <w:p>
            <w:pPr>
              <w:pStyle w:val="TableContents"/>
              <w:spacing w:before="0" w:after="0"/>
              <w:jc w:val="right"/>
              <w:rPr/>
            </w:pPr>
            <w:r>
              <w:rPr/>
              <w:t>8</w:t>
            </w:r>
          </w:p>
        </w:tc>
        <w:tc>
          <w:tcPr>
            <w:tcW w:w="75" w:type="dxa"/>
            <w:tcBorders/>
            <w:shd w:fill="FFFFFF" w:val="clear"/>
            <w:vAlign w:val="bottom"/>
          </w:tcPr>
          <w:p>
            <w:pPr>
              <w:pStyle w:val="TableContents"/>
              <w:spacing w:before="0" w:after="283"/>
              <w:rPr/>
            </w:pPr>
            <w:r>
              <w:rPr/>
              <w:t> </w:t>
            </w:r>
          </w:p>
        </w:tc>
      </w:tr>
      <w:tr>
        <w:trPr/>
        <w:tc>
          <w:tcPr>
            <w:tcW w:w="4790" w:type="dxa"/>
            <w:tcBorders/>
            <w:shd w:fill="CCEEFF" w:val="clear"/>
            <w:vAlign w:val="bottom"/>
          </w:tcPr>
          <w:p>
            <w:pPr>
              <w:pStyle w:val="TableContents"/>
              <w:spacing w:before="0" w:after="0"/>
              <w:ind w:left="864" w:right="0" w:hanging="144"/>
              <w:rPr/>
            </w:pPr>
            <w:r>
              <w:rPr/>
              <w:t>Home equity - 2nd lien</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0"/>
              <w:jc w:val="right"/>
              <w:rPr/>
            </w:pPr>
            <w:r>
              <w:rPr/>
              <w:t>-</w:t>
            </w:r>
          </w:p>
        </w:tc>
        <w:tc>
          <w:tcPr>
            <w:tcW w:w="82"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944" w:type="dxa"/>
            <w:tcBorders/>
            <w:shd w:fill="CCEEFF" w:val="clear"/>
            <w:vAlign w:val="bottom"/>
          </w:tcPr>
          <w:p>
            <w:pPr>
              <w:pStyle w:val="TableContents"/>
              <w:spacing w:before="0" w:after="0"/>
              <w:jc w:val="right"/>
              <w:rPr/>
            </w:pPr>
            <w:r>
              <w:rPr/>
              <w:t>59</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462" w:name="z1ad26f5d7fb646d891220f69e4552f80"/>
      <w:bookmarkStart w:id="463" w:name="z1ad26f5d7fb646d891220f69e4552f80"/>
      <w:bookmarkEnd w:id="463"/>
    </w:p>
    <w:tbl>
      <w:tblPr>
        <w:tblW w:w="4555" w:type="dxa"/>
        <w:jc w:val="left"/>
        <w:tblInd w:w="0" w:type="dxa"/>
        <w:tblCellMar>
          <w:top w:w="0" w:type="dxa"/>
          <w:left w:w="0" w:type="dxa"/>
          <w:bottom w:w="0" w:type="dxa"/>
          <w:right w:w="0" w:type="dxa"/>
        </w:tblCellMar>
      </w:tblPr>
      <w:tblGrid>
        <w:gridCol w:w="305"/>
        <w:gridCol w:w="4250"/>
      </w:tblGrid>
      <w:tr>
        <w:trPr/>
        <w:tc>
          <w:tcPr>
            <w:tcW w:w="305" w:type="dxa"/>
            <w:tcBorders/>
            <w:shd w:fill="auto" w:val="clear"/>
            <w:vAlign w:val="center"/>
          </w:tcPr>
          <w:p>
            <w:pPr>
              <w:pStyle w:val="TableContents"/>
              <w:spacing w:before="0" w:after="0"/>
              <w:rPr/>
            </w:pPr>
            <w:r>
              <w:rPr/>
              <w:t>(1)</w:t>
            </w:r>
          </w:p>
        </w:tc>
        <w:tc>
          <w:tcPr>
            <w:tcW w:w="4250" w:type="dxa"/>
            <w:tcBorders/>
            <w:shd w:fill="auto" w:val="clear"/>
            <w:vAlign w:val="center"/>
          </w:tcPr>
          <w:p>
            <w:pPr>
              <w:pStyle w:val="TableContents"/>
              <w:spacing w:before="0" w:after="0"/>
              <w:rPr/>
            </w:pPr>
            <w:r>
              <w:rPr/>
              <w:t> </w:t>
            </w:r>
            <w:r>
              <w:rPr/>
              <w:t>Included in accrued income and other assets</w:t>
            </w:r>
          </w:p>
        </w:tc>
      </w:tr>
    </w:tbl>
    <w:p>
      <w:pPr>
        <w:pStyle w:val="Normal"/>
        <w:spacing w:before="0" w:after="0"/>
        <w:rPr>
          <w:sz w:val="4"/>
          <w:szCs w:val="4"/>
        </w:rPr>
      </w:pPr>
      <w:r>
        <w:rPr>
          <w:sz w:val="4"/>
          <w:szCs w:val="4"/>
        </w:rPr>
      </w:r>
      <w:bookmarkStart w:id="464" w:name="z4c1d232b1ad8450381d3a1ca3c30ead0"/>
      <w:bookmarkStart w:id="465" w:name="z4c1d232b1ad8450381d3a1ca3c30ead0"/>
      <w:bookmarkEnd w:id="465"/>
    </w:p>
    <w:tbl>
      <w:tblPr>
        <w:tblW w:w="5020" w:type="dxa"/>
        <w:jc w:val="left"/>
        <w:tblInd w:w="0" w:type="dxa"/>
        <w:tblCellMar>
          <w:top w:w="0" w:type="dxa"/>
          <w:left w:w="0" w:type="dxa"/>
          <w:bottom w:w="0" w:type="dxa"/>
          <w:right w:w="0" w:type="dxa"/>
        </w:tblCellMar>
      </w:tblPr>
      <w:tblGrid>
        <w:gridCol w:w="305"/>
        <w:gridCol w:w="4715"/>
      </w:tblGrid>
      <w:tr>
        <w:trPr/>
        <w:tc>
          <w:tcPr>
            <w:tcW w:w="305" w:type="dxa"/>
            <w:tcBorders/>
            <w:shd w:fill="auto" w:val="clear"/>
            <w:vAlign w:val="center"/>
          </w:tcPr>
          <w:p>
            <w:pPr>
              <w:pStyle w:val="TableContents"/>
              <w:spacing w:before="0" w:after="0"/>
              <w:rPr/>
            </w:pPr>
            <w:r>
              <w:rPr/>
              <w:t>(2)</w:t>
            </w:r>
          </w:p>
        </w:tc>
        <w:tc>
          <w:tcPr>
            <w:tcW w:w="4715" w:type="dxa"/>
            <w:tcBorders/>
            <w:shd w:fill="auto" w:val="clear"/>
            <w:vAlign w:val="center"/>
          </w:tcPr>
          <w:p>
            <w:pPr>
              <w:pStyle w:val="TableContents"/>
              <w:spacing w:before="0" w:after="0"/>
              <w:rPr/>
            </w:pPr>
            <w:r>
              <w:rPr/>
              <w:t> </w:t>
            </w:r>
            <w:r>
              <w:rPr/>
              <w:t>Included in accrued expenses and other liabilities</w:t>
            </w:r>
          </w:p>
        </w:tc>
      </w:tr>
    </w:tbl>
    <w:p>
      <w:pPr>
        <w:pStyle w:val="Normal"/>
        <w:spacing w:before="0" w:after="0"/>
        <w:rPr>
          <w:sz w:val="4"/>
          <w:szCs w:val="4"/>
        </w:rPr>
      </w:pPr>
      <w:r>
        <w:rPr>
          <w:sz w:val="4"/>
          <w:szCs w:val="4"/>
        </w:rPr>
      </w:r>
      <w:bookmarkStart w:id="466" w:name="z3f77eb674d0e45ec907d2d99fc669d91"/>
      <w:bookmarkStart w:id="467" w:name="z3f77eb674d0e45ec907d2d99fc669d91"/>
      <w:bookmarkEnd w:id="467"/>
    </w:p>
    <w:tbl>
      <w:tblPr>
        <w:tblW w:w="8350" w:type="dxa"/>
        <w:jc w:val="left"/>
        <w:tblInd w:w="0" w:type="dxa"/>
        <w:tblCellMar>
          <w:top w:w="0" w:type="dxa"/>
          <w:left w:w="0" w:type="dxa"/>
          <w:bottom w:w="0" w:type="dxa"/>
          <w:right w:w="0" w:type="dxa"/>
        </w:tblCellMar>
      </w:tblPr>
      <w:tblGrid>
        <w:gridCol w:w="305"/>
        <w:gridCol w:w="8045"/>
      </w:tblGrid>
      <w:tr>
        <w:trPr/>
        <w:tc>
          <w:tcPr>
            <w:tcW w:w="305" w:type="dxa"/>
            <w:tcBorders/>
            <w:shd w:fill="auto" w:val="clear"/>
            <w:vAlign w:val="center"/>
          </w:tcPr>
          <w:p>
            <w:pPr>
              <w:pStyle w:val="TableContents"/>
              <w:spacing w:before="0" w:after="0"/>
              <w:rPr/>
            </w:pPr>
            <w:r>
              <w:rPr/>
              <w:t>(3)</w:t>
            </w:r>
          </w:p>
        </w:tc>
        <w:tc>
          <w:tcPr>
            <w:tcW w:w="8045" w:type="dxa"/>
            <w:tcBorders/>
            <w:shd w:fill="auto" w:val="clear"/>
            <w:vAlign w:val="center"/>
          </w:tcPr>
          <w:p>
            <w:pPr>
              <w:pStyle w:val="TableContents"/>
              <w:spacing w:before="0" w:after="0"/>
              <w:rPr/>
            </w:pPr>
            <w:r>
              <w:rPr/>
              <w:t> </w:t>
            </w:r>
            <w:r>
              <w:rPr/>
              <w:t>Only includes impaired loans with specific loss allocations based on collateral value.</w:t>
            </w:r>
          </w:p>
        </w:tc>
      </w:tr>
    </w:tbl>
    <w:p>
      <w:pPr>
        <w:pStyle w:val="Normal"/>
        <w:spacing w:before="0" w:after="0"/>
        <w:rPr>
          <w:sz w:val="4"/>
          <w:szCs w:val="4"/>
        </w:rPr>
      </w:pPr>
      <w:r>
        <w:rPr>
          <w:sz w:val="4"/>
          <w:szCs w:val="4"/>
        </w:rPr>
      </w:r>
      <w:bookmarkStart w:id="468" w:name="z7117fd96b3e7400e91438640e1a390b4"/>
      <w:bookmarkStart w:id="469" w:name="z7117fd96b3e7400e91438640e1a390b4"/>
      <w:bookmarkEnd w:id="469"/>
    </w:p>
    <w:tbl>
      <w:tblPr>
        <w:tblW w:w="7315" w:type="dxa"/>
        <w:jc w:val="left"/>
        <w:tblInd w:w="0" w:type="dxa"/>
        <w:tblCellMar>
          <w:top w:w="0" w:type="dxa"/>
          <w:left w:w="0" w:type="dxa"/>
          <w:bottom w:w="0" w:type="dxa"/>
          <w:right w:w="0" w:type="dxa"/>
        </w:tblCellMar>
      </w:tblPr>
      <w:tblGrid>
        <w:gridCol w:w="305"/>
        <w:gridCol w:w="7010"/>
      </w:tblGrid>
      <w:tr>
        <w:trPr/>
        <w:tc>
          <w:tcPr>
            <w:tcW w:w="305" w:type="dxa"/>
            <w:tcBorders/>
            <w:shd w:fill="auto" w:val="clear"/>
            <w:vAlign w:val="center"/>
          </w:tcPr>
          <w:p>
            <w:pPr>
              <w:pStyle w:val="TableContents"/>
              <w:spacing w:before="0" w:after="0"/>
              <w:rPr/>
            </w:pPr>
            <w:r>
              <w:rPr/>
              <w:t>(4)</w:t>
            </w:r>
          </w:p>
        </w:tc>
        <w:tc>
          <w:tcPr>
            <w:tcW w:w="7010" w:type="dxa"/>
            <w:tcBorders/>
            <w:shd w:fill="auto" w:val="clear"/>
            <w:vAlign w:val="center"/>
          </w:tcPr>
          <w:p>
            <w:pPr>
              <w:pStyle w:val="TableContents"/>
              <w:spacing w:before="0" w:after="0"/>
              <w:rPr/>
            </w:pPr>
            <w:r>
              <w:rPr/>
              <w:t> </w:t>
            </w:r>
            <w:r>
              <w:rPr/>
              <w:t>Only includes other real estate with subsequent write downs to fair value.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70" w:name="DSPFPageBreakArea45"/>
      <w:bookmarkStart w:id="471" w:name="DSPFPageBreakArea45"/>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472" w:name="DSPFPageNumber45"/>
      <w:bookmarkStart w:id="473" w:name="DSPFPageNumberArea44"/>
      <w:bookmarkEnd w:id="472"/>
      <w:bookmarkEnd w:id="473"/>
      <w:r>
        <w:rPr>
          <w:b w:val="false"/>
          <w:i w:val="false"/>
          <w:caps w:val="false"/>
          <w:smallCaps w:val="false"/>
          <w:sz w:val="13"/>
        </w:rPr>
        <w:t>46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74" w:name="DSPFPageBreak45"/>
      <w:bookmarkStart w:id="475" w:name="DSPFPageBreak45"/>
      <w:bookmarkEnd w:id="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476" w:name="DSPFPageHeader44"/>
        <w:bookmarkEnd w:id="476"/>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Normal"/>
        <w:spacing w:before="0" w:after="0"/>
        <w:rPr>
          <w:sz w:val="4"/>
          <w:szCs w:val="4"/>
        </w:rPr>
      </w:pPr>
      <w:r>
        <w:rPr>
          <w:sz w:val="4"/>
          <w:szCs w:val="4"/>
        </w:rPr>
      </w:r>
      <w:bookmarkStart w:id="477" w:name="zfb28015f2f6b4e8cb6be049e06839565"/>
      <w:bookmarkStart w:id="478" w:name="zfb28015f2f6b4e8cb6be049e06839565"/>
      <w:bookmarkEnd w:id="478"/>
    </w:p>
    <w:tbl>
      <w:tblPr>
        <w:tblW w:w="10205" w:type="dxa"/>
        <w:jc w:val="left"/>
        <w:tblInd w:w="0" w:type="dxa"/>
        <w:tblCellMar>
          <w:top w:w="0" w:type="dxa"/>
          <w:left w:w="0" w:type="dxa"/>
          <w:bottom w:w="0" w:type="dxa"/>
          <w:right w:w="0" w:type="dxa"/>
        </w:tblCellMar>
      </w:tblPr>
      <w:tblGrid>
        <w:gridCol w:w="5631"/>
        <w:gridCol w:w="60"/>
        <w:gridCol w:w="152"/>
        <w:gridCol w:w="873"/>
        <w:gridCol w:w="60"/>
        <w:gridCol w:w="60"/>
        <w:gridCol w:w="152"/>
        <w:gridCol w:w="742"/>
        <w:gridCol w:w="65"/>
        <w:gridCol w:w="65"/>
        <w:gridCol w:w="163"/>
        <w:gridCol w:w="937"/>
        <w:gridCol w:w="65"/>
        <w:gridCol w:w="65"/>
        <w:gridCol w:w="175"/>
        <w:gridCol w:w="865"/>
        <w:gridCol w:w="75"/>
      </w:tblGrid>
      <w:tr>
        <w:trPr/>
        <w:tc>
          <w:tcPr>
            <w:tcW w:w="56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94" w:type="dxa"/>
            <w:gridSpan w:val="10"/>
            <w:tcBorders>
              <w:bottom w:val="single" w:sz="12" w:space="0" w:color="000000"/>
            </w:tcBorders>
            <w:shd w:fill="auto" w:val="clear"/>
            <w:tcMar>
              <w:bottom w:w="28" w:type="dxa"/>
            </w:tcMar>
            <w:vAlign w:val="bottom"/>
          </w:tcPr>
          <w:p>
            <w:pPr>
              <w:pStyle w:val="TableContents"/>
              <w:spacing w:before="0" w:after="0"/>
              <w:jc w:val="center"/>
              <w:rPr/>
            </w:pPr>
            <w:r>
              <w:rPr/>
              <w:t>Fair Value Measurements Using</w:t>
            </w:r>
          </w:p>
        </w:tc>
        <w:tc>
          <w:tcPr>
            <w:tcW w:w="75" w:type="dxa"/>
            <w:tcBorders/>
            <w:shd w:fill="auto" w:val="clear"/>
            <w:vAlign w:val="bottom"/>
          </w:tcPr>
          <w:p>
            <w:pPr>
              <w:pStyle w:val="TableContents"/>
              <w:spacing w:before="0" w:after="283"/>
              <w:rPr/>
            </w:pPr>
            <w:r>
              <w:rPr/>
              <w:t> </w:t>
            </w:r>
          </w:p>
        </w:tc>
      </w:tr>
      <w:tr>
        <w:trPr/>
        <w:tc>
          <w:tcPr>
            <w:tcW w:w="56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bottom"/>
          </w:tcPr>
          <w:p>
            <w:pPr>
              <w:pStyle w:val="TableContents"/>
              <w:spacing w:before="0" w:after="0"/>
              <w:jc w:val="center"/>
              <w:rPr/>
            </w:pPr>
            <w:r>
              <w:rPr/>
              <w:t>Fair Value</w:t>
            </w:r>
          </w:p>
          <w:p>
            <w:pPr>
              <w:pStyle w:val="TableContents"/>
              <w:spacing w:before="0" w:after="0"/>
              <w:jc w:val="center"/>
              <w:rPr/>
            </w:pPr>
            <w:r>
              <w:rPr/>
              <w:t>Measure-</w:t>
            </w:r>
          </w:p>
          <w:p>
            <w:pPr>
              <w:pStyle w:val="TableContents"/>
              <w:spacing w:before="0" w:after="0"/>
              <w:jc w:val="center"/>
              <w:rPr/>
            </w:pPr>
            <w:r>
              <w:rPr/>
              <w: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4" w:type="dxa"/>
            <w:gridSpan w:val="2"/>
            <w:tcBorders>
              <w:bottom w:val="single" w:sz="12" w:space="0" w:color="000000"/>
            </w:tcBorders>
            <w:shd w:fill="auto" w:val="clear"/>
            <w:tcMar>
              <w:bottom w:w="28" w:type="dxa"/>
            </w:tcMar>
            <w:vAlign w:val="bottom"/>
          </w:tcPr>
          <w:p>
            <w:pPr>
              <w:pStyle w:val="TableContents"/>
              <w:spacing w:before="0" w:after="0"/>
              <w:jc w:val="center"/>
              <w:rPr/>
            </w:pPr>
            <w:r>
              <w:rPr/>
              <w:t>Quoted</w:t>
            </w:r>
          </w:p>
          <w:p>
            <w:pPr>
              <w:pStyle w:val="TableContents"/>
              <w:spacing w:before="0" w:after="0"/>
              <w:jc w:val="center"/>
              <w:rPr/>
            </w:pPr>
            <w:r>
              <w:rPr/>
              <w:t>Prices</w:t>
            </w:r>
          </w:p>
          <w:p>
            <w:pPr>
              <w:pStyle w:val="TableContents"/>
              <w:spacing w:before="0" w:after="0"/>
              <w:jc w:val="center"/>
              <w:rPr/>
            </w:pPr>
            <w:r>
              <w:rPr/>
              <w:t>in Active</w:t>
            </w:r>
          </w:p>
          <w:p>
            <w:pPr>
              <w:pStyle w:val="TableContents"/>
              <w:spacing w:before="0" w:after="0"/>
              <w:jc w:val="center"/>
              <w:rPr/>
            </w:pPr>
            <w:r>
              <w:rPr/>
              <w:t>Markets</w:t>
            </w:r>
          </w:p>
          <w:p>
            <w:pPr>
              <w:pStyle w:val="TableContents"/>
              <w:spacing w:before="0" w:after="0"/>
              <w:jc w:val="center"/>
              <w:rPr/>
            </w:pPr>
            <w:r>
              <w:rPr/>
              <w:t>for</w:t>
            </w:r>
          </w:p>
          <w:p>
            <w:pPr>
              <w:pStyle w:val="TableContents"/>
              <w:spacing w:before="0" w:after="0"/>
              <w:jc w:val="center"/>
              <w:rPr/>
            </w:pPr>
            <w:r>
              <w:rPr/>
              <w:t>Identical</w:t>
            </w:r>
          </w:p>
          <w:p>
            <w:pPr>
              <w:pStyle w:val="TableContents"/>
              <w:spacing w:before="0" w:after="0"/>
              <w:jc w:val="center"/>
              <w:rPr/>
            </w:pPr>
            <w:r>
              <w:rPr/>
              <w:t>Assets</w:t>
            </w:r>
          </w:p>
          <w:p>
            <w:pPr>
              <w:pStyle w:val="TableContents"/>
              <w:spacing w:before="0" w:after="0"/>
              <w:jc w:val="center"/>
              <w:rPr/>
            </w:pPr>
            <w:r>
              <w:rPr/>
              <w:t>(Level 1)</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pPr>
            <w:r>
              <w:rPr/>
              <w:t>Significant</w:t>
            </w:r>
          </w:p>
          <w:p>
            <w:pPr>
              <w:pStyle w:val="TableContents"/>
              <w:spacing w:before="0" w:after="0"/>
              <w:jc w:val="center"/>
              <w:rPr/>
            </w:pPr>
            <w:r>
              <w:rPr/>
              <w:t>Other</w:t>
            </w:r>
          </w:p>
          <w:p>
            <w:pPr>
              <w:pStyle w:val="TableContents"/>
              <w:spacing w:before="0" w:after="0"/>
              <w:jc w:val="center"/>
              <w:rPr/>
            </w:pPr>
            <w:r>
              <w:rPr/>
              <w:t>Observable</w:t>
            </w:r>
          </w:p>
          <w:p>
            <w:pPr>
              <w:pStyle w:val="TableContents"/>
              <w:spacing w:before="0" w:after="0"/>
              <w:jc w:val="center"/>
              <w:rPr/>
            </w:pPr>
            <w:r>
              <w:rPr/>
              <w:t>Inputs</w:t>
            </w:r>
          </w:p>
          <w:p>
            <w:pPr>
              <w:pStyle w:val="TableContents"/>
              <w:spacing w:before="0" w:after="0"/>
              <w:jc w:val="center"/>
              <w:rPr/>
            </w:pPr>
            <w:r>
              <w:rPr/>
              <w:t>(Level 2)</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pPr>
            <w:r>
              <w:rPr/>
              <w:t>Significant</w:t>
            </w:r>
          </w:p>
          <w:p>
            <w:pPr>
              <w:pStyle w:val="TableContents"/>
              <w:spacing w:before="0" w:after="0"/>
              <w:jc w:val="center"/>
              <w:rPr/>
            </w:pPr>
            <w:r>
              <w:rPr/>
              <w:t>Un-</w:t>
            </w:r>
          </w:p>
          <w:p>
            <w:pPr>
              <w:pStyle w:val="TableContents"/>
              <w:spacing w:before="0" w:after="0"/>
              <w:jc w:val="center"/>
              <w:rPr/>
            </w:pPr>
            <w:r>
              <w:rPr/>
              <w:t>observable</w:t>
            </w:r>
          </w:p>
          <w:p>
            <w:pPr>
              <w:pStyle w:val="TableContents"/>
              <w:spacing w:before="0" w:after="0"/>
              <w:jc w:val="center"/>
              <w:rPr/>
            </w:pPr>
            <w:r>
              <w:rPr/>
              <w:t>Inputs</w:t>
            </w:r>
          </w:p>
          <w:p>
            <w:pPr>
              <w:pStyle w:val="TableContents"/>
              <w:spacing w:before="0" w:after="0"/>
              <w:jc w:val="center"/>
              <w:rPr/>
            </w:pPr>
            <w:r>
              <w:rPr/>
              <w:t>(Level 3)</w:t>
            </w:r>
          </w:p>
        </w:tc>
        <w:tc>
          <w:tcPr>
            <w:tcW w:w="75" w:type="dxa"/>
            <w:tcBorders/>
            <w:shd w:fill="auto" w:val="clear"/>
            <w:vAlign w:val="bottom"/>
          </w:tcPr>
          <w:p>
            <w:pPr>
              <w:pStyle w:val="TableContents"/>
              <w:spacing w:before="0" w:after="283"/>
              <w:rPr/>
            </w:pPr>
            <w:r>
              <w:rPr/>
              <w:t> </w:t>
            </w:r>
          </w:p>
        </w:tc>
      </w:tr>
      <w:tr>
        <w:trPr/>
        <w:tc>
          <w:tcPr>
            <w:tcW w:w="563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39" w:type="dxa"/>
            <w:gridSpan w:val="14"/>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5631" w:type="dxa"/>
            <w:tcBorders>
              <w:bottom w:val="single" w:sz="12" w:space="0" w:color="000000"/>
            </w:tcBorders>
            <w:shd w:fill="auto" w:val="clear"/>
            <w:tcMar>
              <w:bottom w:w="28" w:type="dxa"/>
            </w:tcMar>
            <w:vAlign w:val="bottom"/>
          </w:tcPr>
          <w:p>
            <w:pPr>
              <w:pStyle w:val="TableContents"/>
              <w:spacing w:before="0" w:after="0"/>
              <w:ind w:left="144" w:right="0" w:hanging="144"/>
              <w:rPr/>
            </w:pPr>
            <w:r>
              <w:rPr/>
              <w:t>December 31, 2018:</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94"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5" w:type="dxa"/>
            <w:tcBorders>
              <w:bottom w:val="single" w:sz="12" w:space="0" w:color="000000"/>
            </w:tcBorders>
            <w:shd w:fill="auto" w:val="clear"/>
            <w:tcMar>
              <w:bottom w:w="28" w:type="dxa"/>
            </w:tcMar>
            <w:vAlign w:val="bottom"/>
          </w:tcPr>
          <w:p>
            <w:pPr>
              <w:pStyle w:val="TableContents"/>
              <w:spacing w:before="0" w:after="283"/>
              <w:rPr/>
            </w:pPr>
            <w:r>
              <w:rPr/>
              <w:t> </w:t>
            </w:r>
          </w:p>
        </w:tc>
        <w:tc>
          <w:tcPr>
            <w:tcW w:w="65" w:type="dxa"/>
            <w:tcBorders>
              <w:bottom w:val="single" w:sz="12" w:space="0" w:color="000000"/>
            </w:tcBorders>
            <w:shd w:fill="auto" w:val="clear"/>
            <w:tcMar>
              <w:bottom w:w="28" w:type="dxa"/>
            </w:tcM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5" w:type="dxa"/>
            <w:tcBorders>
              <w:bottom w:val="single" w:sz="12" w:space="0" w:color="000000"/>
            </w:tcBorders>
            <w:shd w:fill="auto" w:val="clear"/>
            <w:tcMar>
              <w:bottom w:w="28" w:type="dxa"/>
            </w:tcMar>
            <w:vAlign w:val="bottom"/>
          </w:tcPr>
          <w:p>
            <w:pPr>
              <w:pStyle w:val="TableContents"/>
              <w:spacing w:before="0" w:after="283"/>
              <w:rPr/>
            </w:pPr>
            <w:r>
              <w:rPr/>
              <w:t> </w:t>
            </w:r>
          </w:p>
        </w:tc>
        <w:tc>
          <w:tcPr>
            <w:tcW w:w="65" w:type="dxa"/>
            <w:tcBorders>
              <w:bottom w:val="single" w:sz="12" w:space="0" w:color="000000"/>
            </w:tcBorders>
            <w:shd w:fill="auto" w:val="clear"/>
            <w:tcMar>
              <w:bottom w:w="28" w:type="dxa"/>
            </w:tcM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5631" w:type="dxa"/>
            <w:tcBorders/>
            <w:shd w:fill="auto" w:val="clear"/>
            <w:vAlign w:val="bottom"/>
          </w:tcPr>
          <w:p>
            <w:pPr>
              <w:pStyle w:val="TableContents"/>
              <w:spacing w:before="0" w:after="0"/>
              <w:ind w:left="144" w:right="0" w:hanging="144"/>
              <w:rPr/>
            </w:pPr>
            <w:r>
              <w:rPr/>
              <w:t>Measured at Fair Value on a Recurring Basis</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4"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5631" w:type="dxa"/>
            <w:tcBorders/>
            <w:shd w:fill="auto" w:val="clear"/>
            <w:vAlign w:val="bottom"/>
          </w:tcPr>
          <w:p>
            <w:pPr>
              <w:pStyle w:val="TableContents"/>
              <w:spacing w:before="0" w:after="0"/>
              <w:ind w:left="324" w:right="0" w:hanging="144"/>
              <w:rPr/>
            </w:pPr>
            <w:r>
              <w:rPr/>
              <w:t>Assets</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4"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360" w:right="0" w:hanging="0"/>
              <w:rPr/>
            </w:pPr>
            <w:r>
              <w:rPr/>
              <w:t>Equity securities at fair value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873" w:type="dxa"/>
            <w:tcBorders/>
            <w:shd w:fill="CCEEFF" w:val="clear"/>
            <w:vAlign w:val="bottom"/>
          </w:tcPr>
          <w:p>
            <w:pPr>
              <w:pStyle w:val="TableContents"/>
              <w:spacing w:before="0" w:after="0"/>
              <w:jc w:val="right"/>
              <w:rPr/>
            </w:pPr>
            <w:r>
              <w:rPr/>
              <w:t>393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742" w:type="dxa"/>
            <w:tcBorders/>
            <w:shd w:fill="CCEEFF" w:val="clear"/>
            <w:vAlign w:val="bottom"/>
          </w:tcPr>
          <w:p>
            <w:pPr>
              <w:pStyle w:val="TableContents"/>
              <w:spacing w:before="0" w:after="0"/>
              <w:jc w:val="right"/>
              <w:rPr/>
            </w:pPr>
            <w:r>
              <w:rPr/>
              <w:t>393</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pPr>
            <w:r>
              <w:rPr/>
              <w:t>$</w:t>
            </w:r>
          </w:p>
        </w:tc>
        <w:tc>
          <w:tcPr>
            <w:tcW w:w="937"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pPr>
            <w:r>
              <w:rPr/>
              <w:t>$</w:t>
            </w:r>
          </w:p>
        </w:tc>
        <w:tc>
          <w:tcPr>
            <w:tcW w:w="865"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360" w:right="0" w:hanging="0"/>
              <w:rPr/>
            </w:pPr>
            <w:r>
              <w:rPr/>
              <w:t>Securities available for sale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540" w:right="0" w:hanging="0"/>
              <w:rPr/>
            </w:pPr>
            <w:r>
              <w:rPr/>
              <w:t>U.S. agency</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20,014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20,014</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684" w:right="0" w:hanging="144"/>
              <w:rPr/>
            </w:pPr>
            <w:r>
              <w:rPr/>
              <w:t>U.S. agency residential mortgage-backed</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123,751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123,751</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684" w:right="0" w:hanging="144"/>
              <w:rPr>
                <w:color w:val="000000"/>
              </w:rPr>
            </w:pPr>
            <w:r>
              <w:rPr>
                <w:color w:val="000000"/>
              </w:rPr>
              <w:t>U.S. agency commercial mortgage-backed</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5,726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5,726</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684" w:right="0" w:hanging="144"/>
              <w:rPr/>
            </w:pPr>
            <w:r>
              <w:rPr/>
              <w:t>Private label mortgage-backed</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29,419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29,419</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684" w:right="0" w:hanging="144"/>
              <w:rPr>
                <w:color w:val="000000"/>
              </w:rPr>
            </w:pPr>
            <w:r>
              <w:rPr>
                <w:color w:val="000000"/>
              </w:rPr>
              <w:t>Other asset backed</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83,319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83,319</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684" w:right="0" w:hanging="144"/>
              <w:rPr/>
            </w:pPr>
            <w:r>
              <w:rPr/>
              <w:t>Obligations of states and political subdivisions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127,555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127,555</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684" w:right="0" w:hanging="144"/>
              <w:rPr/>
            </w:pPr>
            <w:r>
              <w:rPr/>
              <w:t>Corporate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34,309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34,309</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684" w:right="0" w:hanging="144"/>
              <w:rPr>
                <w:color w:val="000000"/>
              </w:rPr>
            </w:pPr>
            <w:r>
              <w:rPr>
                <w:color w:val="000000"/>
              </w:rPr>
              <w:t>Trust preferred</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1,819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1,819</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684" w:right="0" w:hanging="144"/>
              <w:rPr>
                <w:color w:val="000000"/>
              </w:rPr>
            </w:pPr>
            <w:r>
              <w:rPr>
                <w:color w:val="000000"/>
              </w:rPr>
              <w:t>Foreign government</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2,014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2,014</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504" w:right="0" w:hanging="144"/>
              <w:rPr/>
            </w:pPr>
            <w:r>
              <w:rPr/>
              <w:t>Loans held for sale, carried at fair value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44,753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44,753</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504" w:right="0" w:hanging="144"/>
              <w:rPr/>
            </w:pPr>
            <w:r>
              <w:rPr/>
              <w:t>Capitalized mortgage loan servicing rights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21,400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0"/>
              <w:jc w:val="right"/>
              <w:rPr/>
            </w:pPr>
            <w:r>
              <w:rPr/>
              <w:t>21,400</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504" w:right="0" w:hanging="144"/>
              <w:rPr/>
            </w:pPr>
            <w:r>
              <w:rPr/>
              <w:t>Derivatives (1)</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5,155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5,155</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324" w:right="0" w:hanging="144"/>
              <w:rPr/>
            </w:pPr>
            <w:r>
              <w:rPr/>
              <w:t>Liabilities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504" w:right="0" w:hanging="144"/>
              <w:rPr/>
            </w:pPr>
            <w:r>
              <w:rPr/>
              <w:t>Derivatives (2)</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2,326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2,326</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144" w:right="0" w:hanging="144"/>
              <w:rPr/>
            </w:pPr>
            <w:r>
              <w:rPr/>
              <w:t>Measured at Fair Value on a Non-recurring Basis:</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324" w:right="0" w:hanging="144"/>
              <w:rPr/>
            </w:pPr>
            <w:r>
              <w:rPr/>
              <w:t>Assets</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540" w:right="0" w:hanging="180"/>
              <w:rPr/>
            </w:pPr>
            <w:r>
              <w:rPr/>
              <w:t>Loans held for sale, carried at the lower of cost or fair value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41,471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41,471</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504" w:right="0" w:hanging="144"/>
              <w:rPr/>
            </w:pPr>
            <w:r>
              <w:rPr/>
              <w:t>Impaired loans (3)</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684" w:right="0" w:hanging="144"/>
              <w:rPr/>
            </w:pPr>
            <w:r>
              <w:rPr/>
              <w:t>Commercial</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864" w:right="0" w:hanging="144"/>
              <w:rPr/>
            </w:pPr>
            <w:r>
              <w:rPr/>
              <w:t>Income producing - real estate</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217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0"/>
              <w:jc w:val="right"/>
              <w:rPr/>
            </w:pPr>
            <w:r>
              <w:rPr/>
              <w:t>217</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900" w:right="0" w:hanging="180"/>
              <w:rPr/>
            </w:pPr>
            <w:r>
              <w:rPr/>
              <w:t>Land, land development &amp; construction-real estate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106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106</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864" w:right="0" w:hanging="144"/>
              <w:rPr/>
            </w:pPr>
            <w:r>
              <w:rPr/>
              <w:t>Commercial and industrial</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2,243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0"/>
              <w:jc w:val="right"/>
              <w:rPr/>
            </w:pPr>
            <w:r>
              <w:rPr/>
              <w:t>2,243</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684" w:right="0" w:hanging="144"/>
              <w:rPr/>
            </w:pPr>
            <w:r>
              <w:rPr/>
              <w:t>Mortgage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864" w:right="0" w:hanging="144"/>
              <w:rPr/>
            </w:pPr>
            <w:r>
              <w:rPr/>
              <w:t>1-4 family</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333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0"/>
              <w:jc w:val="right"/>
              <w:rPr/>
            </w:pPr>
            <w:r>
              <w:rPr/>
              <w:t>333</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864" w:right="0" w:hanging="144"/>
              <w:rPr/>
            </w:pPr>
            <w:r>
              <w:rPr/>
              <w:t>Resort lending</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572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572</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504" w:right="0" w:hanging="144"/>
              <w:rPr/>
            </w:pPr>
            <w:r>
              <w:rPr/>
              <w:t>Other real estate (4)</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684" w:right="0" w:hanging="144"/>
              <w:rPr/>
            </w:pPr>
            <w:r>
              <w:rPr/>
              <w:t>Mortgage</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pPr>
            <w:r>
              <w:rPr/>
              <w:t> </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5631" w:type="dxa"/>
            <w:tcBorders/>
            <w:shd w:fill="CCEEFF" w:val="clear"/>
            <w:vAlign w:val="bottom"/>
          </w:tcPr>
          <w:p>
            <w:pPr>
              <w:pStyle w:val="TableContents"/>
              <w:spacing w:before="0" w:after="0"/>
              <w:ind w:left="864" w:right="0" w:hanging="144"/>
              <w:rPr/>
            </w:pPr>
            <w:r>
              <w:rPr/>
              <w:t>1-4 family</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0"/>
              <w:jc w:val="right"/>
              <w:rPr/>
            </w:pPr>
            <w:r>
              <w:rPr/>
              <w:t>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2"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w:t>
            </w:r>
          </w:p>
        </w:tc>
        <w:tc>
          <w:tcPr>
            <w:tcW w:w="65"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65" w:type="dxa"/>
            <w:tcBorders/>
            <w:shd w:fill="CCEEFF" w:val="clear"/>
            <w:vAlign w:val="bottom"/>
          </w:tcPr>
          <w:p>
            <w:pPr>
              <w:pStyle w:val="TableContents"/>
              <w:spacing w:before="0" w:after="0"/>
              <w:jc w:val="right"/>
              <w:rPr/>
            </w:pPr>
            <w:r>
              <w:rPr/>
              <w:t>95</w:t>
            </w:r>
          </w:p>
        </w:tc>
        <w:tc>
          <w:tcPr>
            <w:tcW w:w="75" w:type="dxa"/>
            <w:tcBorders/>
            <w:shd w:fill="CCEEFF" w:val="clear"/>
            <w:vAlign w:val="bottom"/>
          </w:tcPr>
          <w:p>
            <w:pPr>
              <w:pStyle w:val="TableContents"/>
              <w:spacing w:before="0" w:after="283"/>
              <w:rPr/>
            </w:pPr>
            <w:r>
              <w:rPr/>
              <w:t> </w:t>
            </w:r>
          </w:p>
        </w:tc>
      </w:tr>
      <w:tr>
        <w:trPr/>
        <w:tc>
          <w:tcPr>
            <w:tcW w:w="5631" w:type="dxa"/>
            <w:tcBorders/>
            <w:shd w:fill="FFFFFF" w:val="clear"/>
            <w:vAlign w:val="bottom"/>
          </w:tcPr>
          <w:p>
            <w:pPr>
              <w:pStyle w:val="TableContents"/>
              <w:spacing w:before="0" w:after="0"/>
              <w:ind w:left="864" w:right="0" w:hanging="144"/>
              <w:rPr/>
            </w:pPr>
            <w:r>
              <w:rPr/>
              <w:t>Home equity - 2nd lien</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pPr>
            <w:r>
              <w:rPr/>
              <w:t>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2"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pPr>
            <w:r>
              <w:rPr/>
              <w:t>-</w:t>
            </w:r>
          </w:p>
        </w:tc>
        <w:tc>
          <w:tcPr>
            <w:tcW w:w="65"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65" w:type="dxa"/>
            <w:tcBorders/>
            <w:shd w:fill="FFFFFF" w:val="clear"/>
            <w:vAlign w:val="bottom"/>
          </w:tcPr>
          <w:p>
            <w:pPr>
              <w:pStyle w:val="TableContents"/>
              <w:spacing w:before="0" w:after="0"/>
              <w:jc w:val="right"/>
              <w:rPr/>
            </w:pPr>
            <w:r>
              <w:rPr/>
              <w:t>59</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479" w:name="z69804c43526f4c55b2b3587aa1e2bfab"/>
      <w:bookmarkStart w:id="480" w:name="z69804c43526f4c55b2b3587aa1e2bfab"/>
      <w:bookmarkEnd w:id="480"/>
    </w:p>
    <w:tbl>
      <w:tblPr>
        <w:tblW w:w="4555" w:type="dxa"/>
        <w:jc w:val="left"/>
        <w:tblInd w:w="0" w:type="dxa"/>
        <w:tblCellMar>
          <w:top w:w="0" w:type="dxa"/>
          <w:left w:w="0" w:type="dxa"/>
          <w:bottom w:w="0" w:type="dxa"/>
          <w:right w:w="0" w:type="dxa"/>
        </w:tblCellMar>
      </w:tblPr>
      <w:tblGrid>
        <w:gridCol w:w="305"/>
        <w:gridCol w:w="4250"/>
      </w:tblGrid>
      <w:tr>
        <w:trPr/>
        <w:tc>
          <w:tcPr>
            <w:tcW w:w="305" w:type="dxa"/>
            <w:tcBorders/>
            <w:shd w:fill="auto" w:val="clear"/>
            <w:vAlign w:val="center"/>
          </w:tcPr>
          <w:p>
            <w:pPr>
              <w:pStyle w:val="TableContents"/>
              <w:spacing w:before="0" w:after="0"/>
              <w:rPr/>
            </w:pPr>
            <w:r>
              <w:rPr/>
              <w:t>(1)</w:t>
            </w:r>
          </w:p>
        </w:tc>
        <w:tc>
          <w:tcPr>
            <w:tcW w:w="4250" w:type="dxa"/>
            <w:tcBorders/>
            <w:shd w:fill="auto" w:val="clear"/>
            <w:vAlign w:val="center"/>
          </w:tcPr>
          <w:p>
            <w:pPr>
              <w:pStyle w:val="TableContents"/>
              <w:spacing w:before="0" w:after="0"/>
              <w:rPr/>
            </w:pPr>
            <w:r>
              <w:rPr/>
              <w:t> </w:t>
            </w:r>
            <w:r>
              <w:rPr/>
              <w:t>Included in accrued income and other assets</w:t>
            </w:r>
          </w:p>
        </w:tc>
      </w:tr>
    </w:tbl>
    <w:p>
      <w:pPr>
        <w:pStyle w:val="Normal"/>
        <w:spacing w:before="0" w:after="0"/>
        <w:rPr>
          <w:sz w:val="4"/>
          <w:szCs w:val="4"/>
        </w:rPr>
      </w:pPr>
      <w:r>
        <w:rPr>
          <w:sz w:val="4"/>
          <w:szCs w:val="4"/>
        </w:rPr>
      </w:r>
      <w:bookmarkStart w:id="481" w:name="ze99a5b8a60654ed6b3a27fd420a308f2"/>
      <w:bookmarkStart w:id="482" w:name="ze99a5b8a60654ed6b3a27fd420a308f2"/>
      <w:bookmarkEnd w:id="482"/>
    </w:p>
    <w:tbl>
      <w:tblPr>
        <w:tblW w:w="5020" w:type="dxa"/>
        <w:jc w:val="left"/>
        <w:tblInd w:w="0" w:type="dxa"/>
        <w:tblCellMar>
          <w:top w:w="0" w:type="dxa"/>
          <w:left w:w="0" w:type="dxa"/>
          <w:bottom w:w="0" w:type="dxa"/>
          <w:right w:w="0" w:type="dxa"/>
        </w:tblCellMar>
      </w:tblPr>
      <w:tblGrid>
        <w:gridCol w:w="305"/>
        <w:gridCol w:w="4715"/>
      </w:tblGrid>
      <w:tr>
        <w:trPr/>
        <w:tc>
          <w:tcPr>
            <w:tcW w:w="305" w:type="dxa"/>
            <w:tcBorders/>
            <w:shd w:fill="auto" w:val="clear"/>
            <w:vAlign w:val="center"/>
          </w:tcPr>
          <w:p>
            <w:pPr>
              <w:pStyle w:val="TableContents"/>
              <w:spacing w:before="0" w:after="0"/>
              <w:rPr/>
            </w:pPr>
            <w:r>
              <w:rPr/>
              <w:t>(2)</w:t>
            </w:r>
          </w:p>
        </w:tc>
        <w:tc>
          <w:tcPr>
            <w:tcW w:w="4715" w:type="dxa"/>
            <w:tcBorders/>
            <w:shd w:fill="auto" w:val="clear"/>
            <w:vAlign w:val="center"/>
          </w:tcPr>
          <w:p>
            <w:pPr>
              <w:pStyle w:val="TableContents"/>
              <w:spacing w:before="0" w:after="0"/>
              <w:rPr/>
            </w:pPr>
            <w:r>
              <w:rPr/>
              <w:t> </w:t>
            </w:r>
            <w:r>
              <w:rPr/>
              <w:t>Included in accrued expenses and other liabilities</w:t>
            </w:r>
          </w:p>
        </w:tc>
      </w:tr>
    </w:tbl>
    <w:p>
      <w:pPr>
        <w:pStyle w:val="Normal"/>
        <w:spacing w:before="0" w:after="0"/>
        <w:rPr>
          <w:sz w:val="4"/>
          <w:szCs w:val="4"/>
        </w:rPr>
      </w:pPr>
      <w:r>
        <w:rPr>
          <w:sz w:val="4"/>
          <w:szCs w:val="4"/>
        </w:rPr>
      </w:r>
      <w:bookmarkStart w:id="483" w:name="z0fb0ca643cb94c32878780d74ede6694"/>
      <w:bookmarkStart w:id="484" w:name="z0fb0ca643cb94c32878780d74ede6694"/>
      <w:bookmarkEnd w:id="484"/>
    </w:p>
    <w:tbl>
      <w:tblPr>
        <w:tblW w:w="8350" w:type="dxa"/>
        <w:jc w:val="left"/>
        <w:tblInd w:w="0" w:type="dxa"/>
        <w:tblCellMar>
          <w:top w:w="0" w:type="dxa"/>
          <w:left w:w="0" w:type="dxa"/>
          <w:bottom w:w="0" w:type="dxa"/>
          <w:right w:w="0" w:type="dxa"/>
        </w:tblCellMar>
      </w:tblPr>
      <w:tblGrid>
        <w:gridCol w:w="305"/>
        <w:gridCol w:w="8045"/>
      </w:tblGrid>
      <w:tr>
        <w:trPr/>
        <w:tc>
          <w:tcPr>
            <w:tcW w:w="305" w:type="dxa"/>
            <w:tcBorders/>
            <w:shd w:fill="auto" w:val="clear"/>
            <w:vAlign w:val="center"/>
          </w:tcPr>
          <w:p>
            <w:pPr>
              <w:pStyle w:val="TableContents"/>
              <w:spacing w:before="0" w:after="0"/>
              <w:rPr/>
            </w:pPr>
            <w:r>
              <w:rPr/>
              <w:t>(3)</w:t>
            </w:r>
          </w:p>
        </w:tc>
        <w:tc>
          <w:tcPr>
            <w:tcW w:w="8045" w:type="dxa"/>
            <w:tcBorders/>
            <w:shd w:fill="auto" w:val="clear"/>
            <w:vAlign w:val="center"/>
          </w:tcPr>
          <w:p>
            <w:pPr>
              <w:pStyle w:val="TableContents"/>
              <w:spacing w:before="0" w:after="0"/>
              <w:rPr/>
            </w:pPr>
            <w:r>
              <w:rPr/>
              <w:t> </w:t>
            </w:r>
            <w:r>
              <w:rPr/>
              <w:t>Only includes impaired loans with specific loss allocations based on collateral value.</w:t>
            </w:r>
          </w:p>
        </w:tc>
      </w:tr>
    </w:tbl>
    <w:p>
      <w:pPr>
        <w:pStyle w:val="Normal"/>
        <w:spacing w:before="0" w:after="0"/>
        <w:rPr>
          <w:sz w:val="4"/>
          <w:szCs w:val="4"/>
        </w:rPr>
      </w:pPr>
      <w:r>
        <w:rPr>
          <w:sz w:val="4"/>
          <w:szCs w:val="4"/>
        </w:rPr>
      </w:r>
      <w:bookmarkStart w:id="485" w:name="z8485d530698e439f9622b2deb025fdb0"/>
      <w:bookmarkStart w:id="486" w:name="z8485d530698e439f9622b2deb025fdb0"/>
      <w:bookmarkEnd w:id="486"/>
    </w:p>
    <w:tbl>
      <w:tblPr>
        <w:tblW w:w="7315" w:type="dxa"/>
        <w:jc w:val="left"/>
        <w:tblInd w:w="0" w:type="dxa"/>
        <w:tblCellMar>
          <w:top w:w="0" w:type="dxa"/>
          <w:left w:w="0" w:type="dxa"/>
          <w:bottom w:w="0" w:type="dxa"/>
          <w:right w:w="0" w:type="dxa"/>
        </w:tblCellMar>
      </w:tblPr>
      <w:tblGrid>
        <w:gridCol w:w="305"/>
        <w:gridCol w:w="7010"/>
      </w:tblGrid>
      <w:tr>
        <w:trPr/>
        <w:tc>
          <w:tcPr>
            <w:tcW w:w="305" w:type="dxa"/>
            <w:tcBorders/>
            <w:shd w:fill="auto" w:val="clear"/>
            <w:vAlign w:val="center"/>
          </w:tcPr>
          <w:p>
            <w:pPr>
              <w:pStyle w:val="TableContents"/>
              <w:spacing w:before="0" w:after="0"/>
              <w:rPr/>
            </w:pPr>
            <w:r>
              <w:rPr/>
              <w:t>(4)</w:t>
            </w:r>
          </w:p>
        </w:tc>
        <w:tc>
          <w:tcPr>
            <w:tcW w:w="7010" w:type="dxa"/>
            <w:tcBorders/>
            <w:shd w:fill="auto" w:val="clear"/>
            <w:vAlign w:val="center"/>
          </w:tcPr>
          <w:p>
            <w:pPr>
              <w:pStyle w:val="TableContents"/>
              <w:spacing w:before="0" w:after="0"/>
              <w:rPr/>
            </w:pPr>
            <w:r>
              <w:rPr/>
              <w:t> </w:t>
            </w:r>
            <w:r>
              <w:rPr/>
              <w:t>Only includes other real estate with subsequent write downs to fair value.</w:t>
            </w:r>
          </w:p>
        </w:tc>
      </w:tr>
    </w:tbl>
    <w:p>
      <w:pPr>
        <w:pStyle w:val="TextBody"/>
        <w:spacing w:before="0" w:after="0"/>
        <w:rPr/>
      </w:pPr>
      <w:r>
        <w:rPr/>
      </w:r>
    </w:p>
    <w:p>
      <w:pPr>
        <w:pStyle w:val="TextBody"/>
        <w:spacing w:before="0" w:after="0"/>
        <w:rPr>
          <w:color w:val="231F20"/>
        </w:rPr>
      </w:pPr>
      <w:r>
        <w:rPr>
          <w:color w:val="231F20"/>
        </w:rPr>
        <w:t>There were no transfers between Level 1 and Level 2 during the six months ended June 30, 2019 and 2018.</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7" w:name="DSPFPageBreakArea46"/>
      <w:bookmarkStart w:id="488" w:name="DSPFPageBreakArea46"/>
      <w:bookmarkEnd w:id="4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489" w:name="DSPFPageNumber46"/>
      <w:bookmarkStart w:id="490" w:name="DSPFPageNumberArea45"/>
      <w:bookmarkEnd w:id="489"/>
      <w:bookmarkEnd w:id="490"/>
      <w:r>
        <w:rPr>
          <w:b w:val="false"/>
          <w:i w:val="false"/>
          <w:caps w:val="false"/>
          <w:smallCaps w:val="false"/>
          <w:sz w:val="13"/>
        </w:rPr>
        <w:t>47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91" w:name="DSPFPageBreak46"/>
      <w:bookmarkStart w:id="492" w:name="DSPFPageBreak46"/>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493" w:name="DSPFPageHeader45"/>
        <w:bookmarkEnd w:id="493"/>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jc w:val="both"/>
        <w:rPr/>
      </w:pPr>
      <w:r>
        <w:rPr/>
      </w:r>
    </w:p>
    <w:p>
      <w:pPr>
        <w:pStyle w:val="TextBody"/>
        <w:spacing w:before="0" w:after="0"/>
        <w:jc w:val="both"/>
        <w:rPr/>
      </w:pPr>
      <w:r>
        <w:rPr/>
        <w:t>Changes in fair values for financial assets which we have elected the fair value option for the periods presented were as follows:</w:t>
      </w:r>
    </w:p>
    <w:p>
      <w:pPr>
        <w:pStyle w:val="TextBody"/>
        <w:spacing w:before="0" w:after="0"/>
        <w:rPr/>
      </w:pPr>
      <w:r>
        <w:rPr/>
      </w:r>
    </w:p>
    <w:p>
      <w:pPr>
        <w:pStyle w:val="Normal"/>
        <w:spacing w:before="0" w:after="0"/>
        <w:rPr>
          <w:sz w:val="4"/>
          <w:szCs w:val="4"/>
        </w:rPr>
      </w:pPr>
      <w:r>
        <w:rPr>
          <w:sz w:val="4"/>
          <w:szCs w:val="4"/>
        </w:rPr>
      </w:r>
      <w:bookmarkStart w:id="494" w:name="z85a3b7c2596845a38e146bb4554ec0fd"/>
      <w:bookmarkStart w:id="495" w:name="z85a3b7c2596845a38e146bb4554ec0fd"/>
      <w:bookmarkEnd w:id="495"/>
    </w:p>
    <w:tbl>
      <w:tblPr>
        <w:tblW w:w="9285" w:type="dxa"/>
        <w:jc w:val="left"/>
        <w:tblInd w:w="0" w:type="dxa"/>
        <w:tblCellMar>
          <w:top w:w="0" w:type="dxa"/>
          <w:left w:w="0" w:type="dxa"/>
          <w:bottom w:w="0" w:type="dxa"/>
          <w:right w:w="0" w:type="dxa"/>
        </w:tblCellMar>
      </w:tblPr>
      <w:tblGrid>
        <w:gridCol w:w="4010"/>
        <w:gridCol w:w="60"/>
        <w:gridCol w:w="219"/>
        <w:gridCol w:w="716"/>
        <w:gridCol w:w="143"/>
        <w:gridCol w:w="90"/>
        <w:gridCol w:w="251"/>
        <w:gridCol w:w="684"/>
        <w:gridCol w:w="181"/>
        <w:gridCol w:w="90"/>
        <w:gridCol w:w="239"/>
        <w:gridCol w:w="1086"/>
        <w:gridCol w:w="143"/>
        <w:gridCol w:w="90"/>
        <w:gridCol w:w="211"/>
        <w:gridCol w:w="962"/>
        <w:gridCol w:w="110"/>
      </w:tblGrid>
      <w:tr>
        <w:trPr/>
        <w:tc>
          <w:tcPr>
            <w:tcW w:w="401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5105" w:type="dxa"/>
            <w:gridSpan w:val="14"/>
            <w:tcBorders>
              <w:bottom w:val="single" w:sz="12" w:space="0" w:color="000000"/>
            </w:tcBorders>
            <w:shd w:fill="auto" w:val="clear"/>
            <w:tcMar>
              <w:bottom w:w="28" w:type="dxa"/>
            </w:tcMar>
            <w:vAlign w:val="bottom"/>
          </w:tcPr>
          <w:p>
            <w:pPr>
              <w:pStyle w:val="TableContents"/>
              <w:spacing w:before="0" w:after="0"/>
              <w:jc w:val="center"/>
              <w:rPr/>
            </w:pPr>
            <w:r>
              <w:rPr/>
              <w:t>Changes in Fair Values for the Six-Month Periods</w:t>
            </w:r>
          </w:p>
          <w:p>
            <w:pPr>
              <w:pStyle w:val="TableContents"/>
              <w:spacing w:before="0" w:after="0"/>
              <w:jc w:val="center"/>
              <w:rPr/>
            </w:pPr>
            <w:r>
              <w:rPr/>
              <w:t>Ended June 30 for Items Measured at Fair Value</w:t>
            </w:r>
          </w:p>
          <w:p>
            <w:pPr>
              <w:pStyle w:val="TableContents"/>
              <w:spacing w:before="0" w:after="0"/>
              <w:jc w:val="center"/>
              <w:rPr/>
            </w:pPr>
            <w:r>
              <w:rPr/>
              <w:t>Pursuant to Election of the Fair Value Option</w:t>
            </w:r>
          </w:p>
        </w:tc>
        <w:tc>
          <w:tcPr>
            <w:tcW w:w="110" w:type="dxa"/>
            <w:tcBorders/>
            <w:shd w:fill="auto" w:val="clear"/>
            <w:vAlign w:val="bottom"/>
          </w:tcPr>
          <w:p>
            <w:pPr>
              <w:pStyle w:val="TableContents"/>
              <w:spacing w:before="0" w:after="283"/>
              <w:ind w:left="180" w:right="0" w:hanging="180"/>
              <w:rPr/>
            </w:pPr>
            <w:r>
              <w:rPr/>
              <w:t> </w:t>
            </w:r>
          </w:p>
        </w:tc>
      </w:tr>
      <w:tr>
        <w:trPr/>
        <w:tc>
          <w:tcPr>
            <w:tcW w:w="401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3" w:type="dxa"/>
            <w:gridSpan w:val="6"/>
            <w:tcBorders>
              <w:bottom w:val="single" w:sz="12" w:space="0" w:color="000000"/>
            </w:tcBorders>
            <w:shd w:fill="auto" w:val="clear"/>
            <w:tcMar>
              <w:bottom w:w="28" w:type="dxa"/>
            </w:tcMar>
            <w:vAlign w:val="bottom"/>
          </w:tcPr>
          <w:p>
            <w:pPr>
              <w:pStyle w:val="TableContents"/>
              <w:spacing w:before="0" w:after="0"/>
              <w:jc w:val="center"/>
              <w:rPr/>
            </w:pPr>
            <w:r>
              <w:rPr/>
              <w:t>Net Gains (Losses)</w:t>
            </w:r>
          </w:p>
          <w:p>
            <w:pPr>
              <w:pStyle w:val="TableContents"/>
              <w:spacing w:before="0" w:after="0"/>
              <w:jc w:val="center"/>
              <w:rPr/>
            </w:pPr>
            <w:r>
              <w:rPr/>
              <w:t>on Assets</w:t>
            </w:r>
          </w:p>
        </w:tc>
        <w:tc>
          <w:tcPr>
            <w:tcW w:w="181" w:type="dxa"/>
            <w:vMerge w:val="restart"/>
            <w:tcBorders/>
            <w:shd w:fill="auto" w:val="clear"/>
            <w:vAlign w:val="bottom"/>
          </w:tcPr>
          <w:p>
            <w:pPr>
              <w:pStyle w:val="TableContents"/>
              <w:spacing w:before="0" w:after="283"/>
              <w:rPr/>
            </w:pPr>
            <w:r>
              <w:rPr/>
              <w:t>  </w:t>
            </w:r>
          </w:p>
        </w:tc>
        <w:tc>
          <w:tcPr>
            <w:tcW w:w="90" w:type="dxa"/>
            <w:vMerge w:val="restart"/>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spacing w:before="0" w:after="0"/>
              <w:jc w:val="center"/>
              <w:rPr/>
            </w:pPr>
            <w:r>
              <w:rPr/>
              <w:t>Mortgage</w:t>
            </w:r>
          </w:p>
        </w:tc>
        <w:tc>
          <w:tcPr>
            <w:tcW w:w="143" w:type="dxa"/>
            <w:vMerge w:val="restart"/>
            <w:tcBorders/>
            <w:shd w:fill="auto" w:val="clear"/>
            <w:vAlign w:val="bottom"/>
          </w:tcPr>
          <w:p>
            <w:pPr>
              <w:pStyle w:val="TableContents"/>
              <w:spacing w:before="0" w:after="283"/>
              <w:rPr/>
            </w:pPr>
            <w:r>
              <w:rPr/>
              <w:t> </w:t>
            </w:r>
          </w:p>
        </w:tc>
        <w:tc>
          <w:tcPr>
            <w:tcW w:w="90" w:type="dxa"/>
            <w:vMerge w:val="restart"/>
            <w:tcBorders/>
            <w:shd w:fill="auto" w:val="clear"/>
            <w:vAlign w:val="bottom"/>
          </w:tcPr>
          <w:p>
            <w:pPr>
              <w:pStyle w:val="TableContents"/>
              <w:spacing w:before="0" w:after="283"/>
              <w:rPr/>
            </w:pPr>
            <w:r>
              <w:rPr/>
              <w:t> </w:t>
            </w:r>
          </w:p>
        </w:tc>
        <w:tc>
          <w:tcPr>
            <w:tcW w:w="1173" w:type="dxa"/>
            <w:gridSpan w:val="2"/>
            <w:tcBorders/>
            <w:shd w:fill="auto" w:val="clear"/>
            <w:vAlign w:val="bottom"/>
          </w:tcPr>
          <w:p>
            <w:pPr>
              <w:pStyle w:val="TableContents"/>
              <w:spacing w:before="0" w:after="0"/>
              <w:jc w:val="center"/>
              <w:rPr/>
            </w:pPr>
            <w:r>
              <w:rPr/>
              <w:t>Total</w:t>
            </w:r>
          </w:p>
          <w:p>
            <w:pPr>
              <w:pStyle w:val="TableContents"/>
              <w:spacing w:before="0" w:after="0"/>
              <w:jc w:val="center"/>
              <w:rPr/>
            </w:pPr>
            <w:r>
              <w:rPr/>
              <w:t>Change</w:t>
            </w:r>
          </w:p>
          <w:p>
            <w:pPr>
              <w:pStyle w:val="TableContents"/>
              <w:spacing w:before="0" w:after="0"/>
              <w:jc w:val="center"/>
              <w:rPr/>
            </w:pPr>
            <w:r>
              <w:rPr/>
              <w:t>in Fair</w:t>
            </w:r>
          </w:p>
          <w:p>
            <w:pPr>
              <w:pStyle w:val="TableContents"/>
              <w:spacing w:before="0" w:after="0"/>
              <w:jc w:val="center"/>
              <w:rPr/>
            </w:pPr>
            <w:r>
              <w:rPr/>
              <w:t>Values</w:t>
            </w:r>
          </w:p>
          <w:p>
            <w:pPr>
              <w:pStyle w:val="TableContents"/>
              <w:spacing w:before="0" w:after="0"/>
              <w:jc w:val="center"/>
              <w:rPr/>
            </w:pPr>
            <w:r>
              <w:rPr/>
              <w:t>Included</w:t>
            </w:r>
          </w:p>
          <w:p>
            <w:pPr>
              <w:pStyle w:val="TableContents"/>
              <w:spacing w:before="0" w:after="0"/>
              <w:jc w:val="center"/>
              <w:rPr/>
            </w:pPr>
            <w:r>
              <w:rPr/>
              <w:t>in Current</w:t>
            </w:r>
          </w:p>
        </w:tc>
        <w:tc>
          <w:tcPr>
            <w:tcW w:w="110" w:type="dxa"/>
            <w:vMerge w:val="restart"/>
            <w:tcBorders/>
            <w:shd w:fill="auto" w:val="clear"/>
            <w:vAlign w:val="bottom"/>
          </w:tcPr>
          <w:p>
            <w:pPr>
              <w:pStyle w:val="TableContents"/>
              <w:spacing w:before="0" w:after="283"/>
              <w:rPr/>
            </w:pPr>
            <w:r>
              <w:rPr/>
              <w:t> </w:t>
            </w:r>
          </w:p>
        </w:tc>
      </w:tr>
      <w:tr>
        <w:trPr/>
        <w:tc>
          <w:tcPr>
            <w:tcW w:w="401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pPr>
            <w:r>
              <w:rPr/>
              <w:t>Securities</w:t>
            </w:r>
          </w:p>
        </w:tc>
        <w:tc>
          <w:tcPr>
            <w:tcW w:w="1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pPr>
            <w:r>
              <w:rPr/>
              <w:t>Mortgage</w:t>
            </w:r>
          </w:p>
          <w:p>
            <w:pPr>
              <w:pStyle w:val="TableContents"/>
              <w:spacing w:before="0" w:after="0"/>
              <w:jc w:val="center"/>
              <w:rPr/>
            </w:pPr>
            <w:r>
              <w:rPr/>
              <w:t>Loans</w:t>
            </w:r>
          </w:p>
        </w:tc>
        <w:tc>
          <w:tcPr>
            <w:tcW w:w="181" w:type="dxa"/>
            <w:vMerge w:val="continue"/>
            <w:tcBorders/>
            <w:shd w:fill="auto" w:val="clear"/>
            <w:vAlign w:val="bottom"/>
          </w:tcPr>
          <w:p>
            <w:pPr>
              <w:pStyle w:val="Normal"/>
              <w:rPr/>
            </w:pPr>
            <w:r>
              <w:rPr/>
            </w:r>
          </w:p>
        </w:tc>
        <w:tc>
          <w:tcPr>
            <w:tcW w:w="90" w:type="dxa"/>
            <w:vMerge w:val="continue"/>
            <w:tcBorders/>
            <w:shd w:fill="auto" w:val="clear"/>
            <w:vAlign w:val="bottom"/>
          </w:tcPr>
          <w:p>
            <w:pPr>
              <w:pStyle w:val="Normal"/>
              <w:rPr/>
            </w:pPr>
            <w:r>
              <w:rPr/>
            </w:r>
          </w:p>
        </w:tc>
        <w:tc>
          <w:tcPr>
            <w:tcW w:w="1325" w:type="dxa"/>
            <w:gridSpan w:val="2"/>
            <w:tcBorders>
              <w:bottom w:val="single" w:sz="12" w:space="0" w:color="000000"/>
            </w:tcBorders>
            <w:shd w:fill="auto" w:val="clear"/>
            <w:tcMar>
              <w:bottom w:w="28" w:type="dxa"/>
            </w:tcMar>
            <w:vAlign w:val="bottom"/>
          </w:tcPr>
          <w:p>
            <w:pPr>
              <w:pStyle w:val="TableContents"/>
              <w:spacing w:before="0" w:after="0"/>
              <w:jc w:val="center"/>
              <w:rPr/>
            </w:pPr>
            <w:r>
              <w:rPr/>
              <w:t>Loan</w:t>
            </w:r>
          </w:p>
          <w:p>
            <w:pPr>
              <w:pStyle w:val="TableContents"/>
              <w:spacing w:before="0" w:after="0"/>
              <w:jc w:val="center"/>
              <w:rPr/>
            </w:pPr>
            <w:r>
              <w:rPr/>
              <w:t>Servicing, net</w:t>
            </w:r>
          </w:p>
        </w:tc>
        <w:tc>
          <w:tcPr>
            <w:tcW w:w="143" w:type="dxa"/>
            <w:vMerge w:val="continue"/>
            <w:tcBorders/>
            <w:shd w:fill="auto" w:val="clear"/>
            <w:vAlign w:val="bottom"/>
          </w:tcPr>
          <w:p>
            <w:pPr>
              <w:pStyle w:val="Normal"/>
              <w:rPr/>
            </w:pPr>
            <w:r>
              <w:rPr/>
            </w:r>
          </w:p>
        </w:tc>
        <w:tc>
          <w:tcPr>
            <w:tcW w:w="90" w:type="dxa"/>
            <w:vMerge w:val="continue"/>
            <w:tcBorders/>
            <w:shd w:fill="auto" w:val="clear"/>
            <w:vAlign w:val="bottom"/>
          </w:tcPr>
          <w:p>
            <w:pPr>
              <w:pStyle w:val="Normal"/>
              <w:rPr/>
            </w:pPr>
            <w:r>
              <w:rPr/>
            </w:r>
          </w:p>
        </w:tc>
        <w:tc>
          <w:tcPr>
            <w:tcW w:w="1173" w:type="dxa"/>
            <w:gridSpan w:val="2"/>
            <w:tcBorders>
              <w:bottom w:val="single" w:sz="12" w:space="0" w:color="000000"/>
            </w:tcBorders>
            <w:shd w:fill="auto" w:val="clear"/>
            <w:tcMar>
              <w:bottom w:w="28" w:type="dxa"/>
            </w:tcMar>
            <w:vAlign w:val="bottom"/>
          </w:tcPr>
          <w:p>
            <w:pPr>
              <w:pStyle w:val="TableContents"/>
              <w:spacing w:before="0" w:after="0"/>
              <w:jc w:val="center"/>
              <w:rPr/>
            </w:pPr>
            <w:r>
              <w:rPr/>
              <w:t>Period</w:t>
            </w:r>
          </w:p>
          <w:p>
            <w:pPr>
              <w:pStyle w:val="TableContents"/>
              <w:spacing w:before="0" w:after="0"/>
              <w:ind w:left="180" w:right="0" w:hanging="180"/>
              <w:jc w:val="center"/>
              <w:rPr/>
            </w:pPr>
            <w:r>
              <w:rPr/>
              <w:t>Earnings</w:t>
            </w:r>
          </w:p>
        </w:tc>
        <w:tc>
          <w:tcPr>
            <w:tcW w:w="110" w:type="dxa"/>
            <w:vMerge w:val="continue"/>
            <w:tcBorders/>
            <w:shd w:fill="auto" w:val="clear"/>
            <w:vAlign w:val="bottom"/>
          </w:tcPr>
          <w:p>
            <w:pPr>
              <w:pStyle w:val="Normal"/>
              <w:rPr/>
            </w:pPr>
            <w:r>
              <w:rPr/>
            </w:r>
          </w:p>
        </w:tc>
      </w:tr>
      <w:tr>
        <w:trPr/>
        <w:tc>
          <w:tcPr>
            <w:tcW w:w="4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05" w:type="dxa"/>
            <w:gridSpan w:val="14"/>
            <w:tcBorders/>
            <w:shd w:fill="auto" w:val="clear"/>
            <w:vAlign w:val="bottom"/>
          </w:tcPr>
          <w:p>
            <w:pPr>
              <w:pStyle w:val="TableContents"/>
              <w:spacing w:before="0" w:after="0"/>
              <w:jc w:val="center"/>
              <w:rPr/>
            </w:pPr>
            <w:r>
              <w:rPr/>
              <w:t>(In thousands)</w:t>
            </w:r>
          </w:p>
        </w:tc>
        <w:tc>
          <w:tcPr>
            <w:tcW w:w="110" w:type="dxa"/>
            <w:tcBorders/>
            <w:shd w:fill="auto" w:val="clear"/>
            <w:vAlign w:val="bottom"/>
          </w:tcPr>
          <w:p>
            <w:pPr>
              <w:pStyle w:val="TableContents"/>
              <w:spacing w:before="0" w:after="283"/>
              <w:rPr/>
            </w:pPr>
            <w:r>
              <w:rPr/>
              <w:t> </w:t>
            </w:r>
          </w:p>
        </w:tc>
      </w:tr>
      <w:tr>
        <w:trPr/>
        <w:tc>
          <w:tcPr>
            <w:tcW w:w="4010" w:type="dxa"/>
            <w:tcBorders/>
            <w:shd w:fill="auto" w:val="clear"/>
            <w:vAlign w:val="bottom"/>
          </w:tcPr>
          <w:p>
            <w:pPr>
              <w:pStyle w:val="TableContents"/>
              <w:spacing w:before="0" w:after="0"/>
              <w:ind w:left="180" w:right="0" w:hanging="180"/>
              <w:rPr/>
            </w:pPr>
            <w:r>
              <w:rPr/>
              <w:t>2019</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173"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360" w:right="0" w:hanging="180"/>
              <w:rPr/>
            </w:pPr>
            <w:r>
              <w:rPr/>
              <w:t>Equity securities at fair value</w:t>
            </w:r>
          </w:p>
        </w:tc>
        <w:tc>
          <w:tcPr>
            <w:tcW w:w="60"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0"/>
              <w:rPr/>
            </w:pPr>
            <w:r>
              <w:rPr/>
              <w:t>$</w:t>
            </w:r>
          </w:p>
        </w:tc>
        <w:tc>
          <w:tcPr>
            <w:tcW w:w="716" w:type="dxa"/>
            <w:tcBorders/>
            <w:shd w:fill="CCEEFF" w:val="clear"/>
            <w:vAlign w:val="bottom"/>
          </w:tcPr>
          <w:p>
            <w:pPr>
              <w:pStyle w:val="TableContents"/>
              <w:spacing w:before="0" w:after="0"/>
              <w:jc w:val="right"/>
              <w:rPr/>
            </w:pPr>
            <w:r>
              <w:rPr/>
              <w:t>167</w:t>
            </w:r>
          </w:p>
        </w:tc>
        <w:tc>
          <w:tcPr>
            <w:tcW w:w="143"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0"/>
              <w:rPr/>
            </w:pPr>
            <w:r>
              <w:rPr/>
              <w:t>$</w:t>
            </w:r>
          </w:p>
        </w:tc>
        <w:tc>
          <w:tcPr>
            <w:tcW w:w="684" w:type="dxa"/>
            <w:tcBorders/>
            <w:shd w:fill="CCEEFF" w:val="clear"/>
            <w:vAlign w:val="bottom"/>
          </w:tcPr>
          <w:p>
            <w:pPr>
              <w:pStyle w:val="TableContents"/>
              <w:spacing w:before="0" w:after="0"/>
              <w:jc w:val="right"/>
              <w:rPr/>
            </w:pPr>
            <w:r>
              <w:rPr/>
              <w:t>-</w:t>
            </w:r>
          </w:p>
        </w:tc>
        <w:tc>
          <w:tcPr>
            <w:tcW w:w="18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0"/>
              <w:rPr/>
            </w:pPr>
            <w:r>
              <w:rPr/>
              <w:t>$</w:t>
            </w:r>
          </w:p>
        </w:tc>
        <w:tc>
          <w:tcPr>
            <w:tcW w:w="1086" w:type="dxa"/>
            <w:tcBorders/>
            <w:shd w:fill="CCEEFF" w:val="clear"/>
            <w:vAlign w:val="bottom"/>
          </w:tcPr>
          <w:p>
            <w:pPr>
              <w:pStyle w:val="TableContents"/>
              <w:spacing w:before="0" w:after="0"/>
              <w:jc w:val="right"/>
              <w:rPr/>
            </w:pPr>
            <w:r>
              <w:rPr/>
              <w:t>-</w:t>
            </w:r>
          </w:p>
        </w:tc>
        <w:tc>
          <w:tcPr>
            <w:tcW w:w="143"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rPr/>
            </w:pPr>
            <w:r>
              <w:rPr/>
              <w:t>$</w:t>
            </w:r>
          </w:p>
        </w:tc>
        <w:tc>
          <w:tcPr>
            <w:tcW w:w="962" w:type="dxa"/>
            <w:tcBorders/>
            <w:shd w:fill="CCEEFF" w:val="clear"/>
            <w:vAlign w:val="bottom"/>
          </w:tcPr>
          <w:p>
            <w:pPr>
              <w:pStyle w:val="TableContents"/>
              <w:spacing w:before="0" w:after="0"/>
              <w:jc w:val="right"/>
              <w:rPr/>
            </w:pPr>
            <w:r>
              <w:rPr/>
              <w:t>167</w:t>
            </w:r>
          </w:p>
        </w:tc>
        <w:tc>
          <w:tcPr>
            <w:tcW w:w="110"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360" w:right="0" w:hanging="180"/>
              <w:rPr/>
            </w:pPr>
            <w:r>
              <w:rPr/>
              <w:t>Loans held for sale</w:t>
            </w:r>
          </w:p>
        </w:tc>
        <w:tc>
          <w:tcPr>
            <w:tcW w:w="60"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rPr/>
            </w:pPr>
            <w:r>
              <w:rPr/>
              <w:t> </w:t>
            </w:r>
          </w:p>
        </w:tc>
        <w:tc>
          <w:tcPr>
            <w:tcW w:w="716" w:type="dxa"/>
            <w:tcBorders/>
            <w:shd w:fill="FFFFFF" w:val="clear"/>
            <w:vAlign w:val="bottom"/>
          </w:tcPr>
          <w:p>
            <w:pPr>
              <w:pStyle w:val="TableContents"/>
              <w:spacing w:before="0" w:after="0"/>
              <w:jc w:val="right"/>
              <w:rPr/>
            </w:pPr>
            <w:r>
              <w:rPr/>
              <w:t>-</w:t>
            </w:r>
          </w:p>
        </w:tc>
        <w:tc>
          <w:tcPr>
            <w:tcW w:w="143"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51" w:type="dxa"/>
            <w:tcBorders/>
            <w:shd w:fill="FFFFFF" w:val="clear"/>
            <w:vAlign w:val="bottom"/>
          </w:tcPr>
          <w:p>
            <w:pPr>
              <w:pStyle w:val="TableContents"/>
              <w:spacing w:before="0" w:after="283"/>
              <w:rPr/>
            </w:pPr>
            <w:r>
              <w:rPr/>
              <w:t> </w:t>
            </w:r>
          </w:p>
        </w:tc>
        <w:tc>
          <w:tcPr>
            <w:tcW w:w="684" w:type="dxa"/>
            <w:tcBorders/>
            <w:shd w:fill="FFFFFF" w:val="clear"/>
            <w:vAlign w:val="bottom"/>
          </w:tcPr>
          <w:p>
            <w:pPr>
              <w:pStyle w:val="TableContents"/>
              <w:spacing w:before="0" w:after="0"/>
              <w:jc w:val="right"/>
              <w:rPr/>
            </w:pPr>
            <w:r>
              <w:rPr/>
              <w:t>577</w:t>
            </w:r>
          </w:p>
        </w:tc>
        <w:tc>
          <w:tcPr>
            <w:tcW w:w="181"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39" w:type="dxa"/>
            <w:tcBorders/>
            <w:shd w:fill="FFFFFF" w:val="clear"/>
            <w:vAlign w:val="bottom"/>
          </w:tcPr>
          <w:p>
            <w:pPr>
              <w:pStyle w:val="TableContents"/>
              <w:spacing w:before="0" w:after="283"/>
              <w:rPr/>
            </w:pPr>
            <w:r>
              <w:rPr/>
              <w:t> </w:t>
            </w:r>
          </w:p>
        </w:tc>
        <w:tc>
          <w:tcPr>
            <w:tcW w:w="1086" w:type="dxa"/>
            <w:tcBorders/>
            <w:shd w:fill="FFFFFF" w:val="clear"/>
            <w:vAlign w:val="bottom"/>
          </w:tcPr>
          <w:p>
            <w:pPr>
              <w:pStyle w:val="TableContents"/>
              <w:spacing w:before="0" w:after="0"/>
              <w:jc w:val="right"/>
              <w:rPr/>
            </w:pPr>
            <w:r>
              <w:rPr/>
              <w:t>-</w:t>
            </w:r>
          </w:p>
        </w:tc>
        <w:tc>
          <w:tcPr>
            <w:tcW w:w="143"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962" w:type="dxa"/>
            <w:tcBorders/>
            <w:shd w:fill="FFFFFF" w:val="clear"/>
            <w:vAlign w:val="bottom"/>
          </w:tcPr>
          <w:p>
            <w:pPr>
              <w:pStyle w:val="TableContents"/>
              <w:spacing w:before="0" w:after="0"/>
              <w:jc w:val="right"/>
              <w:rPr/>
            </w:pPr>
            <w:r>
              <w:rPr/>
              <w:t>577</w:t>
            </w:r>
          </w:p>
        </w:tc>
        <w:tc>
          <w:tcPr>
            <w:tcW w:w="110"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360" w:right="0" w:hanging="180"/>
              <w:rPr/>
            </w:pPr>
            <w:r>
              <w:rPr/>
              <w:t>Capitalized mortgage loan servicing rights</w:t>
            </w:r>
          </w:p>
        </w:tc>
        <w:tc>
          <w:tcPr>
            <w:tcW w:w="60"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0"/>
              <w:jc w:val="right"/>
              <w:rPr/>
            </w:pPr>
            <w:r>
              <w:rPr/>
              <w:t>-</w:t>
            </w:r>
          </w:p>
        </w:tc>
        <w:tc>
          <w:tcPr>
            <w:tcW w:w="143"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0"/>
              <w:jc w:val="right"/>
              <w:rPr/>
            </w:pPr>
            <w:r>
              <w:rPr/>
              <w:t>-</w:t>
            </w:r>
          </w:p>
        </w:tc>
        <w:tc>
          <w:tcPr>
            <w:tcW w:w="18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0"/>
              <w:jc w:val="right"/>
              <w:rPr/>
            </w:pPr>
            <w:r>
              <w:rPr/>
              <w:t>(6,113</w:t>
            </w:r>
          </w:p>
        </w:tc>
        <w:tc>
          <w:tcPr>
            <w:tcW w:w="143" w:type="dxa"/>
            <w:tcBorders/>
            <w:shd w:fill="CCEEFF" w:val="clear"/>
            <w:vAlign w:val="bottom"/>
          </w:tcPr>
          <w:p>
            <w:pPr>
              <w:pStyle w:val="TableContents"/>
              <w:spacing w:before="0" w:after="0"/>
              <w:rPr/>
            </w:pPr>
            <w:r>
              <w:rPr/>
              <w:t>)</w:t>
            </w:r>
          </w:p>
        </w:tc>
        <w:tc>
          <w:tcPr>
            <w:tcW w:w="9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0"/>
              <w:jc w:val="right"/>
              <w:rPr/>
            </w:pPr>
            <w:r>
              <w:rPr/>
              <w:t>(6,113</w:t>
            </w:r>
          </w:p>
        </w:tc>
        <w:tc>
          <w:tcPr>
            <w:tcW w:w="110" w:type="dxa"/>
            <w:tcBorders/>
            <w:shd w:fill="CCEEFF" w:val="clear"/>
            <w:vAlign w:val="bottom"/>
          </w:tcPr>
          <w:p>
            <w:pPr>
              <w:pStyle w:val="TableContents"/>
              <w:spacing w:before="0" w:after="0"/>
              <w:ind w:left="180" w:right="0" w:hanging="180"/>
              <w:rPr/>
            </w:pPr>
            <w:r>
              <w:rPr/>
              <w:t>)</w:t>
            </w:r>
          </w:p>
        </w:tc>
      </w:tr>
      <w:tr>
        <w:trPr/>
        <w:tc>
          <w:tcPr>
            <w:tcW w:w="401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rPr/>
            </w:pPr>
            <w:r>
              <w:rPr/>
              <w:t> </w:t>
            </w:r>
          </w:p>
        </w:tc>
        <w:tc>
          <w:tcPr>
            <w:tcW w:w="716"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51" w:type="dxa"/>
            <w:tcBorders/>
            <w:shd w:fill="FFFFFF" w:val="clear"/>
            <w:vAlign w:val="bottom"/>
          </w:tcPr>
          <w:p>
            <w:pPr>
              <w:pStyle w:val="TableContents"/>
              <w:spacing w:before="0" w:after="283"/>
              <w:rPr/>
            </w:pPr>
            <w:r>
              <w:rPr/>
              <w:t> </w:t>
            </w:r>
          </w:p>
        </w:tc>
        <w:tc>
          <w:tcPr>
            <w:tcW w:w="684"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39" w:type="dxa"/>
            <w:tcBorders/>
            <w:shd w:fill="FFFFFF" w:val="clear"/>
            <w:vAlign w:val="bottom"/>
          </w:tcPr>
          <w:p>
            <w:pPr>
              <w:pStyle w:val="TableContents"/>
              <w:spacing w:before="0" w:after="283"/>
              <w:rPr/>
            </w:pPr>
            <w:r>
              <w:rPr/>
              <w:t> </w:t>
            </w:r>
          </w:p>
        </w:tc>
        <w:tc>
          <w:tcPr>
            <w:tcW w:w="1086" w:type="dxa"/>
            <w:tcBorders/>
            <w:shd w:fill="FFFFFF" w:val="clear"/>
            <w:vAlign w:val="bottom"/>
          </w:tcPr>
          <w:p>
            <w:pPr>
              <w:pStyle w:val="TableContents"/>
              <w:spacing w:before="0" w:after="283"/>
              <w:jc w:val="right"/>
              <w:rPr/>
            </w:pPr>
            <w:r>
              <w:rPr/>
              <w:t> </w:t>
            </w:r>
          </w:p>
        </w:tc>
        <w:tc>
          <w:tcPr>
            <w:tcW w:w="143"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962"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180" w:right="0" w:hanging="180"/>
              <w:rPr/>
            </w:pPr>
            <w:r>
              <w:rPr/>
              <w:t>2018</w:t>
            </w:r>
          </w:p>
        </w:tc>
        <w:tc>
          <w:tcPr>
            <w:tcW w:w="60"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 </w:t>
            </w:r>
          </w:p>
        </w:tc>
        <w:tc>
          <w:tcPr>
            <w:tcW w:w="143"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360" w:right="0" w:hanging="180"/>
              <w:rPr/>
            </w:pPr>
            <w:r>
              <w:rPr/>
              <w:t>Equity securities at fair value</w:t>
            </w:r>
          </w:p>
        </w:tc>
        <w:tc>
          <w:tcPr>
            <w:tcW w:w="60"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0"/>
              <w:rPr/>
            </w:pPr>
            <w:r>
              <w:rPr/>
              <w:t>$</w:t>
            </w:r>
          </w:p>
        </w:tc>
        <w:tc>
          <w:tcPr>
            <w:tcW w:w="716" w:type="dxa"/>
            <w:tcBorders/>
            <w:shd w:fill="FFFFFF" w:val="clear"/>
            <w:vAlign w:val="bottom"/>
          </w:tcPr>
          <w:p>
            <w:pPr>
              <w:pStyle w:val="TableContents"/>
              <w:spacing w:before="0" w:after="0"/>
              <w:jc w:val="right"/>
              <w:rPr/>
            </w:pPr>
            <w:r>
              <w:rPr/>
              <w:t>(119</w:t>
            </w:r>
          </w:p>
        </w:tc>
        <w:tc>
          <w:tcPr>
            <w:tcW w:w="143" w:type="dxa"/>
            <w:tcBorders/>
            <w:shd w:fill="FFFFFF" w:val="clear"/>
            <w:vAlign w:val="bottom"/>
          </w:tcPr>
          <w:p>
            <w:pPr>
              <w:pStyle w:val="TableContents"/>
              <w:spacing w:before="0" w:after="0"/>
              <w:rPr/>
            </w:pPr>
            <w:r>
              <w:rPr/>
              <w:t>)</w:t>
            </w:r>
          </w:p>
        </w:tc>
        <w:tc>
          <w:tcPr>
            <w:tcW w:w="90" w:type="dxa"/>
            <w:tcBorders/>
            <w:shd w:fill="FFFFFF" w:val="clear"/>
            <w:vAlign w:val="bottom"/>
          </w:tcPr>
          <w:p>
            <w:pPr>
              <w:pStyle w:val="TableContents"/>
              <w:spacing w:before="0" w:after="283"/>
              <w:rPr/>
            </w:pPr>
            <w:r>
              <w:rPr/>
              <w:t> </w:t>
            </w:r>
          </w:p>
        </w:tc>
        <w:tc>
          <w:tcPr>
            <w:tcW w:w="251" w:type="dxa"/>
            <w:tcBorders/>
            <w:shd w:fill="FFFFFF" w:val="clear"/>
            <w:vAlign w:val="bottom"/>
          </w:tcPr>
          <w:p>
            <w:pPr>
              <w:pStyle w:val="TableContents"/>
              <w:spacing w:before="0" w:after="0"/>
              <w:rPr/>
            </w:pPr>
            <w:r>
              <w:rPr/>
              <w:t>$</w:t>
            </w:r>
          </w:p>
        </w:tc>
        <w:tc>
          <w:tcPr>
            <w:tcW w:w="684" w:type="dxa"/>
            <w:tcBorders/>
            <w:shd w:fill="FFFFFF" w:val="clear"/>
            <w:vAlign w:val="bottom"/>
          </w:tcPr>
          <w:p>
            <w:pPr>
              <w:pStyle w:val="TableContents"/>
              <w:spacing w:before="0" w:after="0"/>
              <w:jc w:val="right"/>
              <w:rPr/>
            </w:pPr>
            <w:r>
              <w:rPr/>
              <w:t>-</w:t>
            </w:r>
          </w:p>
        </w:tc>
        <w:tc>
          <w:tcPr>
            <w:tcW w:w="181"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39" w:type="dxa"/>
            <w:tcBorders/>
            <w:shd w:fill="FFFFFF" w:val="clear"/>
            <w:vAlign w:val="bottom"/>
          </w:tcPr>
          <w:p>
            <w:pPr>
              <w:pStyle w:val="TableContents"/>
              <w:spacing w:before="0" w:after="0"/>
              <w:rPr/>
            </w:pPr>
            <w:r>
              <w:rPr/>
              <w:t>$</w:t>
            </w:r>
          </w:p>
        </w:tc>
        <w:tc>
          <w:tcPr>
            <w:tcW w:w="1086" w:type="dxa"/>
            <w:tcBorders/>
            <w:shd w:fill="FFFFFF" w:val="clear"/>
            <w:vAlign w:val="bottom"/>
          </w:tcPr>
          <w:p>
            <w:pPr>
              <w:pStyle w:val="TableContents"/>
              <w:spacing w:before="0" w:after="0"/>
              <w:jc w:val="right"/>
              <w:rPr/>
            </w:pPr>
            <w:r>
              <w:rPr/>
              <w:t>-</w:t>
            </w:r>
          </w:p>
        </w:tc>
        <w:tc>
          <w:tcPr>
            <w:tcW w:w="143"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0"/>
              <w:rPr/>
            </w:pPr>
            <w:r>
              <w:rPr/>
              <w:t>$</w:t>
            </w:r>
          </w:p>
        </w:tc>
        <w:tc>
          <w:tcPr>
            <w:tcW w:w="962" w:type="dxa"/>
            <w:tcBorders/>
            <w:shd w:fill="FFFFFF" w:val="clear"/>
            <w:vAlign w:val="bottom"/>
          </w:tcPr>
          <w:p>
            <w:pPr>
              <w:pStyle w:val="TableContents"/>
              <w:spacing w:before="0" w:after="0"/>
              <w:jc w:val="right"/>
              <w:rPr/>
            </w:pPr>
            <w:r>
              <w:rPr/>
              <w:t>(119</w:t>
            </w:r>
          </w:p>
        </w:tc>
        <w:tc>
          <w:tcPr>
            <w:tcW w:w="110" w:type="dxa"/>
            <w:tcBorders/>
            <w:shd w:fill="FFFFFF" w:val="clear"/>
            <w:vAlign w:val="bottom"/>
          </w:tcPr>
          <w:p>
            <w:pPr>
              <w:pStyle w:val="TableContents"/>
              <w:spacing w:before="0" w:after="0"/>
              <w:rPr/>
            </w:pPr>
            <w:r>
              <w:rPr/>
              <w:t>)</w:t>
            </w:r>
          </w:p>
        </w:tc>
      </w:tr>
      <w:tr>
        <w:trPr/>
        <w:tc>
          <w:tcPr>
            <w:tcW w:w="4010" w:type="dxa"/>
            <w:tcBorders/>
            <w:shd w:fill="CCEEFF" w:val="clear"/>
            <w:vAlign w:val="bottom"/>
          </w:tcPr>
          <w:p>
            <w:pPr>
              <w:pStyle w:val="TableContents"/>
              <w:spacing w:before="0" w:after="0"/>
              <w:ind w:left="360" w:right="0" w:hanging="180"/>
              <w:rPr/>
            </w:pPr>
            <w:r>
              <w:rPr/>
              <w:t>Loans held for sale</w:t>
            </w:r>
          </w:p>
        </w:tc>
        <w:tc>
          <w:tcPr>
            <w:tcW w:w="60"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0"/>
              <w:jc w:val="right"/>
              <w:rPr/>
            </w:pPr>
            <w:r>
              <w:rPr/>
              <w:t>-</w:t>
            </w:r>
          </w:p>
        </w:tc>
        <w:tc>
          <w:tcPr>
            <w:tcW w:w="143"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 </w:t>
            </w:r>
          </w:p>
        </w:tc>
        <w:tc>
          <w:tcPr>
            <w:tcW w:w="684" w:type="dxa"/>
            <w:tcBorders/>
            <w:shd w:fill="CCEEFF" w:val="clear"/>
            <w:vAlign w:val="bottom"/>
          </w:tcPr>
          <w:p>
            <w:pPr>
              <w:pStyle w:val="TableContents"/>
              <w:spacing w:before="0" w:after="0"/>
              <w:jc w:val="right"/>
              <w:rPr/>
            </w:pPr>
            <w:r>
              <w:rPr/>
              <w:t>367</w:t>
            </w:r>
          </w:p>
        </w:tc>
        <w:tc>
          <w:tcPr>
            <w:tcW w:w="181"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0"/>
              <w:jc w:val="right"/>
              <w:rPr/>
            </w:pPr>
            <w:r>
              <w:rPr/>
              <w:t>-</w:t>
            </w:r>
          </w:p>
        </w:tc>
        <w:tc>
          <w:tcPr>
            <w:tcW w:w="143"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0"/>
              <w:jc w:val="right"/>
              <w:rPr/>
            </w:pPr>
            <w:r>
              <w:rPr/>
              <w:t>367</w:t>
            </w:r>
          </w:p>
        </w:tc>
        <w:tc>
          <w:tcPr>
            <w:tcW w:w="110"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360" w:right="0" w:hanging="180"/>
              <w:rPr/>
            </w:pPr>
            <w:r>
              <w:rPr/>
              <w:t>Capitalized mortgage loan servicing rights</w:t>
            </w:r>
          </w:p>
        </w:tc>
        <w:tc>
          <w:tcPr>
            <w:tcW w:w="60" w:type="dxa"/>
            <w:tcBorders/>
            <w:shd w:fill="FFFFFF" w:val="clear"/>
            <w:vAlign w:val="bottom"/>
          </w:tcPr>
          <w:p>
            <w:pPr>
              <w:pStyle w:val="TableContents"/>
              <w:spacing w:before="0" w:after="283"/>
              <w:rPr/>
            </w:pPr>
            <w:r>
              <w:rPr/>
              <w:t> </w:t>
            </w:r>
          </w:p>
        </w:tc>
        <w:tc>
          <w:tcPr>
            <w:tcW w:w="219" w:type="dxa"/>
            <w:tcBorders/>
            <w:shd w:fill="FFFFFF" w:val="clear"/>
            <w:vAlign w:val="bottom"/>
          </w:tcPr>
          <w:p>
            <w:pPr>
              <w:pStyle w:val="TableContents"/>
              <w:spacing w:before="0" w:after="283"/>
              <w:rPr/>
            </w:pPr>
            <w:r>
              <w:rPr/>
              <w:t> </w:t>
            </w:r>
          </w:p>
        </w:tc>
        <w:tc>
          <w:tcPr>
            <w:tcW w:w="716" w:type="dxa"/>
            <w:tcBorders/>
            <w:shd w:fill="FFFFFF" w:val="clear"/>
            <w:vAlign w:val="bottom"/>
          </w:tcPr>
          <w:p>
            <w:pPr>
              <w:pStyle w:val="TableContents"/>
              <w:spacing w:before="0" w:after="0"/>
              <w:jc w:val="right"/>
              <w:rPr/>
            </w:pPr>
            <w:r>
              <w:rPr/>
              <w:t>-</w:t>
            </w:r>
          </w:p>
        </w:tc>
        <w:tc>
          <w:tcPr>
            <w:tcW w:w="143"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51" w:type="dxa"/>
            <w:tcBorders/>
            <w:shd w:fill="FFFFFF" w:val="clear"/>
            <w:vAlign w:val="bottom"/>
          </w:tcPr>
          <w:p>
            <w:pPr>
              <w:pStyle w:val="TableContents"/>
              <w:spacing w:before="0" w:after="283"/>
              <w:rPr/>
            </w:pPr>
            <w:r>
              <w:rPr/>
              <w:t> </w:t>
            </w:r>
          </w:p>
        </w:tc>
        <w:tc>
          <w:tcPr>
            <w:tcW w:w="684" w:type="dxa"/>
            <w:tcBorders/>
            <w:shd w:fill="FFFFFF" w:val="clear"/>
            <w:vAlign w:val="bottom"/>
          </w:tcPr>
          <w:p>
            <w:pPr>
              <w:pStyle w:val="TableContents"/>
              <w:spacing w:before="0" w:after="0"/>
              <w:jc w:val="right"/>
              <w:rPr/>
            </w:pPr>
            <w:r>
              <w:rPr/>
              <w:t>-</w:t>
            </w:r>
          </w:p>
        </w:tc>
        <w:tc>
          <w:tcPr>
            <w:tcW w:w="181"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39" w:type="dxa"/>
            <w:tcBorders/>
            <w:shd w:fill="FFFFFF" w:val="clear"/>
            <w:vAlign w:val="bottom"/>
          </w:tcPr>
          <w:p>
            <w:pPr>
              <w:pStyle w:val="TableContents"/>
              <w:spacing w:before="0" w:after="283"/>
              <w:rPr/>
            </w:pPr>
            <w:r>
              <w:rPr/>
              <w:t> </w:t>
            </w:r>
          </w:p>
        </w:tc>
        <w:tc>
          <w:tcPr>
            <w:tcW w:w="1086" w:type="dxa"/>
            <w:tcBorders/>
            <w:shd w:fill="FFFFFF" w:val="clear"/>
            <w:vAlign w:val="bottom"/>
          </w:tcPr>
          <w:p>
            <w:pPr>
              <w:pStyle w:val="TableContents"/>
              <w:spacing w:before="0" w:after="0"/>
              <w:jc w:val="right"/>
              <w:rPr/>
            </w:pPr>
            <w:r>
              <w:rPr/>
              <w:t>892</w:t>
            </w:r>
          </w:p>
        </w:tc>
        <w:tc>
          <w:tcPr>
            <w:tcW w:w="143"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962" w:type="dxa"/>
            <w:tcBorders/>
            <w:shd w:fill="FFFFFF" w:val="clear"/>
            <w:vAlign w:val="bottom"/>
          </w:tcPr>
          <w:p>
            <w:pPr>
              <w:pStyle w:val="TableContents"/>
              <w:spacing w:before="0" w:after="0"/>
              <w:jc w:val="right"/>
              <w:rPr/>
            </w:pPr>
            <w:r>
              <w:rPr/>
              <w:t>892</w:t>
            </w:r>
          </w:p>
        </w:tc>
        <w:tc>
          <w:tcPr>
            <w:tcW w:w="110"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pStyle w:val="TextBody"/>
        <w:spacing w:before="0" w:after="0"/>
        <w:rPr/>
      </w:pPr>
      <w:r>
        <w:rPr/>
      </w:r>
    </w:p>
    <w:p>
      <w:pPr>
        <w:pStyle w:val="TextBody"/>
        <w:spacing w:before="0" w:after="0"/>
        <w:jc w:val="both"/>
        <w:rPr/>
      </w:pPr>
      <w:r>
        <w:rPr/>
        <w:t>The following represent impairment charges recognized during the three and six month periods ended June 30, 2019 and 2018 relating to assets measured at fair value on a non-recurring basis:</w:t>
      </w:r>
    </w:p>
    <w:p>
      <w:pPr>
        <w:pStyle w:val="Normal"/>
        <w:spacing w:before="0" w:after="0"/>
        <w:rPr>
          <w:sz w:val="4"/>
          <w:szCs w:val="4"/>
        </w:rPr>
      </w:pPr>
      <w:r>
        <w:rPr>
          <w:sz w:val="4"/>
          <w:szCs w:val="4"/>
        </w:rPr>
      </w:r>
      <w:bookmarkStart w:id="496" w:name="z9a16918eae844164b5cb3b986398ec4f"/>
      <w:bookmarkStart w:id="497" w:name="z9a16918eae844164b5cb3b986398ec4f"/>
      <w:bookmarkEnd w:id="497"/>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20" w:type="dxa"/>
            <w:tcBorders/>
            <w:shd w:fill="auto" w:val="clear"/>
            <w:vAlign w:val="center"/>
          </w:tcPr>
          <w:p>
            <w:pPr>
              <w:pStyle w:val="TableContents"/>
              <w:spacing w:before="0" w:after="283"/>
              <w:jc w:val="both"/>
              <w:rPr/>
            </w:pPr>
            <w:r>
              <w:rPr>
                <w:color w:val="231F20"/>
              </w:rPr>
              <w:t>Loans</w:t>
            </w:r>
            <w:r>
              <w:rPr>
                <w:color w:val="231F20"/>
                <w:spacing w:val="4"/>
              </w:rPr>
              <w:t xml:space="preserve"> </w:t>
            </w:r>
            <w:r>
              <w:rPr>
                <w:color w:val="231F20"/>
              </w:rPr>
              <w:t>which</w:t>
            </w:r>
            <w:r>
              <w:rPr>
                <w:color w:val="231F20"/>
                <w:spacing w:val="4"/>
              </w:rPr>
              <w:t xml:space="preserve"> </w:t>
            </w:r>
            <w:r>
              <w:rPr>
                <w:color w:val="231F20"/>
              </w:rPr>
              <w:t>are</w:t>
            </w:r>
            <w:r>
              <w:rPr>
                <w:color w:val="231F20"/>
                <w:spacing w:val="4"/>
              </w:rPr>
              <w:t xml:space="preserve"> </w:t>
            </w:r>
            <w:r>
              <w:rPr>
                <w:color w:val="231F20"/>
              </w:rPr>
              <w:t>measured for</w:t>
            </w:r>
            <w:r>
              <w:rPr>
                <w:color w:val="231F20"/>
                <w:spacing w:val="4"/>
              </w:rPr>
              <w:t xml:space="preserve"> </w:t>
            </w:r>
            <w:r>
              <w:rPr>
                <w:color w:val="231F20"/>
              </w:rPr>
              <w:t>impairment</w:t>
            </w:r>
            <w:r>
              <w:rPr>
                <w:color w:val="231F20"/>
                <w:spacing w:val="4"/>
              </w:rPr>
              <w:t xml:space="preserve"> </w:t>
            </w:r>
            <w:r>
              <w:rPr>
                <w:color w:val="231F20"/>
              </w:rPr>
              <w:t>using</w:t>
            </w:r>
            <w:r>
              <w:rPr>
                <w:color w:val="231F20"/>
                <w:spacing w:val="4"/>
              </w:rPr>
              <w:t xml:space="preserve"> </w:t>
            </w:r>
            <w:r>
              <w:rPr>
                <w:color w:val="231F20"/>
              </w:rPr>
              <w:t>the</w:t>
            </w:r>
            <w:r>
              <w:rPr>
                <w:color w:val="231F20"/>
                <w:spacing w:val="5"/>
              </w:rPr>
              <w:t xml:space="preserve"> </w:t>
            </w:r>
            <w:r>
              <w:rPr>
                <w:color w:val="231F20"/>
              </w:rPr>
              <w:t>fair</w:t>
            </w:r>
            <w:r>
              <w:rPr>
                <w:color w:val="231F20"/>
                <w:spacing w:val="4"/>
              </w:rPr>
              <w:t xml:space="preserve"> </w:t>
            </w:r>
            <w:r>
              <w:rPr>
                <w:color w:val="231F20"/>
              </w:rPr>
              <w:t>value</w:t>
            </w:r>
            <w:r>
              <w:rPr>
                <w:color w:val="231F20"/>
                <w:spacing w:val="4"/>
              </w:rPr>
              <w:t xml:space="preserve"> </w:t>
            </w:r>
            <w:r>
              <w:rPr>
                <w:color w:val="231F20"/>
              </w:rPr>
              <w:t>of</w:t>
            </w:r>
            <w:r>
              <w:rPr>
                <w:color w:val="231F20"/>
                <w:spacing w:val="4"/>
              </w:rPr>
              <w:t xml:space="preserve"> </w:t>
            </w:r>
            <w:r>
              <w:rPr>
                <w:color w:val="231F20"/>
              </w:rPr>
              <w:t>collateral</w:t>
            </w:r>
            <w:r>
              <w:rPr>
                <w:color w:val="231F20"/>
                <w:spacing w:val="5"/>
              </w:rPr>
              <w:t xml:space="preserve"> </w:t>
            </w:r>
            <w:r>
              <w:rPr>
                <w:color w:val="231F20"/>
              </w:rPr>
              <w:t>for</w:t>
            </w:r>
            <w:r>
              <w:rPr>
                <w:color w:val="231F20"/>
                <w:spacing w:val="4"/>
              </w:rPr>
              <w:t xml:space="preserve"> </w:t>
            </w:r>
            <w:r>
              <w:rPr>
                <w:color w:val="231F20"/>
              </w:rPr>
              <w:t>collateral</w:t>
            </w:r>
            <w:r>
              <w:rPr>
                <w:color w:val="231F20"/>
                <w:spacing w:val="4"/>
              </w:rPr>
              <w:t xml:space="preserve"> </w:t>
            </w:r>
            <w:r>
              <w:rPr>
                <w:color w:val="231F20"/>
              </w:rPr>
              <w:t>dependent loans had</w:t>
            </w:r>
            <w:r>
              <w:rPr>
                <w:color w:val="231F20"/>
                <w:spacing w:val="4"/>
              </w:rPr>
              <w:t xml:space="preserve"> </w:t>
            </w:r>
            <w:r>
              <w:rPr>
                <w:color w:val="231F20"/>
              </w:rPr>
              <w:t>a</w:t>
            </w:r>
            <w:r>
              <w:rPr>
                <w:color w:val="231F20"/>
                <w:spacing w:val="5"/>
              </w:rPr>
              <w:t xml:space="preserve"> </w:t>
            </w:r>
            <w:r>
              <w:rPr>
                <w:color w:val="231F20"/>
              </w:rPr>
              <w:t>carrying</w:t>
            </w:r>
            <w:r>
              <w:rPr>
                <w:color w:val="231F20"/>
                <w:spacing w:val="5"/>
              </w:rPr>
              <w:t xml:space="preserve"> </w:t>
            </w:r>
            <w:r>
              <w:rPr>
                <w:color w:val="231F20"/>
              </w:rPr>
              <w:t>amount</w:t>
            </w:r>
            <w:r>
              <w:rPr>
                <w:color w:val="231F20"/>
                <w:spacing w:val="5"/>
              </w:rPr>
              <w:t xml:space="preserve"> </w:t>
            </w:r>
            <w:r>
              <w:rPr>
                <w:color w:val="231F20"/>
              </w:rPr>
              <w:t>of</w:t>
            </w:r>
            <w:r>
              <w:rPr>
                <w:color w:val="231F20"/>
                <w:spacing w:val="5"/>
              </w:rPr>
              <w:t xml:space="preserve"> </w:t>
            </w:r>
            <w:r>
              <w:rPr>
                <w:color w:val="231F20"/>
              </w:rPr>
              <w:t>$3.0</w:t>
            </w:r>
            <w:r>
              <w:rPr>
                <w:color w:val="231F20"/>
                <w:spacing w:val="5"/>
              </w:rPr>
              <w:t xml:space="preserve"> </w:t>
            </w:r>
            <w:r>
              <w:rPr>
                <w:color w:val="231F20"/>
              </w:rPr>
              <w:t>million,</w:t>
            </w:r>
            <w:r>
              <w:rPr>
                <w:color w:val="231F20"/>
                <w:spacing w:val="4"/>
              </w:rPr>
              <w:t xml:space="preserve"> </w:t>
            </w:r>
            <w:r>
              <w:rPr>
                <w:color w:val="231F20"/>
              </w:rPr>
              <w:t>which is net of</w:t>
            </w:r>
            <w:r>
              <w:rPr>
                <w:color w:val="231F20"/>
                <w:spacing w:val="5"/>
              </w:rPr>
              <w:t xml:space="preserve"> </w:t>
            </w:r>
            <w:r>
              <w:rPr>
                <w:color w:val="231F20"/>
              </w:rPr>
              <w:t>a</w:t>
            </w:r>
            <w:r>
              <w:rPr>
                <w:color w:val="231F20"/>
                <w:spacing w:val="5"/>
              </w:rPr>
              <w:t xml:space="preserve"> </w:t>
            </w:r>
            <w:r>
              <w:rPr>
                <w:color w:val="231F20"/>
              </w:rPr>
              <w:t>valuation</w:t>
            </w:r>
            <w:r>
              <w:rPr>
                <w:color w:val="231F20"/>
                <w:spacing w:val="5"/>
              </w:rPr>
              <w:t xml:space="preserve"> </w:t>
            </w:r>
            <w:r>
              <w:rPr>
                <w:color w:val="231F20"/>
              </w:rPr>
              <w:t>allowance of</w:t>
            </w:r>
            <w:r>
              <w:rPr>
                <w:color w:val="231F20"/>
                <w:spacing w:val="4"/>
              </w:rPr>
              <w:t xml:space="preserve"> </w:t>
            </w:r>
            <w:r>
              <w:rPr>
                <w:color w:val="231F20"/>
              </w:rPr>
              <w:t>$1.2</w:t>
            </w:r>
            <w:r>
              <w:rPr>
                <w:color w:val="231F20"/>
                <w:spacing w:val="5"/>
              </w:rPr>
              <w:t xml:space="preserve"> </w:t>
            </w:r>
            <w:r>
              <w:rPr>
                <w:color w:val="231F20"/>
              </w:rPr>
              <w:t>million</w:t>
            </w:r>
            <w:r>
              <w:rPr>
                <w:color w:val="231F20"/>
                <w:spacing w:val="5"/>
              </w:rPr>
              <w:t xml:space="preserve"> </w:t>
            </w:r>
            <w:r>
              <w:rPr>
                <w:color w:val="231F20"/>
              </w:rPr>
              <w:t>at June 30,</w:t>
            </w:r>
            <w:r>
              <w:rPr>
                <w:color w:val="231F20"/>
                <w:spacing w:val="5"/>
              </w:rPr>
              <w:t xml:space="preserve"> </w:t>
            </w:r>
            <w:r>
              <w:rPr>
                <w:color w:val="231F20"/>
              </w:rPr>
              <w:t>2019, and</w:t>
            </w:r>
            <w:r>
              <w:rPr>
                <w:color w:val="231F20"/>
                <w:spacing w:val="13"/>
              </w:rPr>
              <w:t xml:space="preserve"> </w:t>
            </w:r>
            <w:r>
              <w:rPr>
                <w:color w:val="231F20"/>
              </w:rPr>
              <w:t>had</w:t>
            </w:r>
            <w:r>
              <w:rPr>
                <w:color w:val="231F20"/>
                <w:spacing w:val="14"/>
              </w:rPr>
              <w:t xml:space="preserve"> </w:t>
            </w:r>
            <w:r>
              <w:rPr>
                <w:color w:val="231F20"/>
              </w:rPr>
              <w:t>a</w:t>
            </w:r>
            <w:r>
              <w:rPr>
                <w:color w:val="231F20"/>
                <w:spacing w:val="14"/>
              </w:rPr>
              <w:t xml:space="preserve"> </w:t>
            </w:r>
            <w:r>
              <w:rPr>
                <w:color w:val="231F20"/>
              </w:rPr>
              <w:t>carrying</w:t>
            </w:r>
            <w:r>
              <w:rPr>
                <w:color w:val="231F20"/>
                <w:spacing w:val="14"/>
              </w:rPr>
              <w:t xml:space="preserve"> </w:t>
            </w:r>
            <w:r>
              <w:rPr>
                <w:color w:val="231F20"/>
              </w:rPr>
              <w:t>amount</w:t>
            </w:r>
            <w:r>
              <w:rPr>
                <w:color w:val="231F20"/>
                <w:spacing w:val="14"/>
              </w:rPr>
              <w:t xml:space="preserve"> </w:t>
            </w:r>
            <w:r>
              <w:rPr>
                <w:color w:val="231F20"/>
              </w:rPr>
              <w:t>of</w:t>
            </w:r>
            <w:r>
              <w:rPr>
                <w:color w:val="231F20"/>
                <w:spacing w:val="14"/>
              </w:rPr>
              <w:t xml:space="preserve"> </w:t>
            </w:r>
            <w:r>
              <w:rPr>
                <w:color w:val="231F20"/>
              </w:rPr>
              <w:t>$3.5</w:t>
            </w:r>
            <w:r>
              <w:rPr>
                <w:color w:val="231F20"/>
                <w:spacing w:val="14"/>
              </w:rPr>
              <w:t xml:space="preserve"> </w:t>
            </w:r>
            <w:r>
              <w:rPr>
                <w:color w:val="231F20"/>
              </w:rPr>
              <w:t>million,</w:t>
            </w:r>
            <w:r>
              <w:rPr>
                <w:color w:val="231F20"/>
                <w:spacing w:val="14"/>
              </w:rPr>
              <w:t xml:space="preserve"> </w:t>
            </w:r>
            <w:r>
              <w:rPr>
                <w:color w:val="231F20"/>
              </w:rPr>
              <w:t>which is net of</w:t>
            </w:r>
            <w:r>
              <w:rPr>
                <w:color w:val="231F20"/>
                <w:spacing w:val="14"/>
              </w:rPr>
              <w:t xml:space="preserve"> </w:t>
            </w:r>
            <w:r>
              <w:rPr>
                <w:color w:val="231F20"/>
              </w:rPr>
              <w:t>a</w:t>
            </w:r>
            <w:r>
              <w:rPr>
                <w:color w:val="231F20"/>
                <w:spacing w:val="14"/>
              </w:rPr>
              <w:t xml:space="preserve"> </w:t>
            </w:r>
            <w:r>
              <w:rPr>
                <w:color w:val="231F20"/>
              </w:rPr>
              <w:t>valuation</w:t>
            </w:r>
            <w:r>
              <w:rPr>
                <w:color w:val="231F20"/>
                <w:spacing w:val="14"/>
              </w:rPr>
              <w:t xml:space="preserve"> </w:t>
            </w:r>
            <w:r>
              <w:rPr>
                <w:color w:val="231F20"/>
              </w:rPr>
              <w:t>allowance</w:t>
            </w:r>
            <w:r>
              <w:rPr>
                <w:color w:val="231F20"/>
                <w:spacing w:val="13"/>
              </w:rPr>
              <w:t xml:space="preserve"> </w:t>
            </w:r>
            <w:r>
              <w:rPr>
                <w:color w:val="231F20"/>
              </w:rPr>
              <w:t>of</w:t>
            </w:r>
            <w:r>
              <w:rPr>
                <w:color w:val="231F20"/>
                <w:spacing w:val="14"/>
              </w:rPr>
              <w:t xml:space="preserve"> </w:t>
            </w:r>
            <w:r>
              <w:rPr>
                <w:color w:val="231F20"/>
              </w:rPr>
              <w:t>$1.5</w:t>
            </w:r>
            <w:r>
              <w:rPr>
                <w:color w:val="231F20"/>
                <w:spacing w:val="14"/>
              </w:rPr>
              <w:t xml:space="preserve"> </w:t>
            </w:r>
            <w:r>
              <w:rPr>
                <w:color w:val="231F20"/>
              </w:rPr>
              <w:t>million</w:t>
            </w:r>
            <w:r>
              <w:rPr>
                <w:color w:val="231F20"/>
                <w:spacing w:val="14"/>
              </w:rPr>
              <w:t xml:space="preserve"> </w:t>
            </w:r>
            <w:r>
              <w:rPr>
                <w:color w:val="231F20"/>
              </w:rPr>
              <w:t>at</w:t>
            </w:r>
            <w:r>
              <w:rPr>
                <w:color w:val="231F20"/>
                <w:spacing w:val="14"/>
              </w:rPr>
              <w:t xml:space="preserve"> </w:t>
            </w:r>
            <w:r>
              <w:rPr>
                <w:color w:val="231F20"/>
              </w:rPr>
              <w:t>December</w:t>
            </w:r>
            <w:r>
              <w:rPr>
                <w:color w:val="231F20"/>
                <w:spacing w:val="14"/>
              </w:rPr>
              <w:t xml:space="preserve"> </w:t>
            </w:r>
            <w:r>
              <w:rPr>
                <w:color w:val="231F20"/>
              </w:rPr>
              <w:t>31, 2018.</w:t>
            </w:r>
            <w:r>
              <w:rPr/>
              <w:t>  The provision for loan losses included in our results of operations relating to impaired loans was a net expense of $0.3 million and $0.5 million for the three month periods ending June 30, 2019 and 2018, respectively, and a net expense of $0.4 million and $0.5 million for the six month periods ending June 30, 2019 and 2018, respectively.</w:t>
            </w:r>
          </w:p>
        </w:tc>
      </w:tr>
    </w:tbl>
    <w:p>
      <w:pPr>
        <w:pStyle w:val="Normal"/>
        <w:spacing w:before="0" w:after="0"/>
        <w:rPr>
          <w:sz w:val="4"/>
          <w:szCs w:val="4"/>
        </w:rPr>
      </w:pPr>
      <w:r>
        <w:rPr>
          <w:sz w:val="4"/>
          <w:szCs w:val="4"/>
        </w:rPr>
      </w:r>
      <w:bookmarkStart w:id="498" w:name="z0294cb868d0e453c9ad692fc13963c54"/>
      <w:bookmarkStart w:id="499" w:name="z0294cb868d0e453c9ad692fc13963c54"/>
      <w:bookmarkEnd w:id="499"/>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20" w:type="dxa"/>
            <w:tcBorders/>
            <w:shd w:fill="auto" w:val="clear"/>
            <w:vAlign w:val="center"/>
          </w:tcPr>
          <w:p>
            <w:pPr>
              <w:pStyle w:val="TableContents"/>
              <w:spacing w:before="0" w:after="283"/>
              <w:jc w:val="both"/>
              <w:rPr/>
            </w:pPr>
            <w:r>
              <w:rPr>
                <w:color w:val="231F20"/>
              </w:rPr>
              <w:t>Other</w:t>
            </w:r>
            <w:r>
              <w:rPr>
                <w:color w:val="231F20"/>
                <w:spacing w:val="38"/>
              </w:rPr>
              <w:t xml:space="preserve"> </w:t>
            </w:r>
            <w:r>
              <w:rPr>
                <w:color w:val="231F20"/>
              </w:rPr>
              <w:t>real</w:t>
            </w:r>
            <w:r>
              <w:rPr>
                <w:color w:val="231F20"/>
                <w:spacing w:val="39"/>
              </w:rPr>
              <w:t xml:space="preserve"> </w:t>
            </w:r>
            <w:r>
              <w:rPr>
                <w:color w:val="231F20"/>
              </w:rPr>
              <w:t>estate,</w:t>
            </w:r>
            <w:r>
              <w:rPr>
                <w:color w:val="231F20"/>
                <w:spacing w:val="39"/>
              </w:rPr>
              <w:t xml:space="preserve"> </w:t>
            </w:r>
            <w:r>
              <w:rPr>
                <w:color w:val="231F20"/>
              </w:rPr>
              <w:t>which is</w:t>
            </w:r>
            <w:r>
              <w:rPr>
                <w:color w:val="231F20"/>
                <w:spacing w:val="39"/>
              </w:rPr>
              <w:t xml:space="preserve"> </w:t>
            </w:r>
            <w:r>
              <w:rPr>
                <w:color w:val="231F20"/>
              </w:rPr>
              <w:t>measured</w:t>
            </w:r>
            <w:r>
              <w:rPr>
                <w:color w:val="231F20"/>
                <w:spacing w:val="39"/>
              </w:rPr>
              <w:t xml:space="preserve"> </w:t>
            </w:r>
            <w:r>
              <w:rPr>
                <w:color w:val="231F20"/>
              </w:rPr>
              <w:t>using the</w:t>
            </w:r>
            <w:r>
              <w:rPr>
                <w:color w:val="231F20"/>
                <w:spacing w:val="39"/>
              </w:rPr>
              <w:t xml:space="preserve"> </w:t>
            </w:r>
            <w:r>
              <w:rPr>
                <w:color w:val="231F20"/>
              </w:rPr>
              <w:t>fair</w:t>
            </w:r>
            <w:r>
              <w:rPr>
                <w:color w:val="231F20"/>
                <w:spacing w:val="39"/>
              </w:rPr>
              <w:t xml:space="preserve"> </w:t>
            </w:r>
            <w:r>
              <w:rPr>
                <w:color w:val="231F20"/>
              </w:rPr>
              <w:t>value</w:t>
            </w:r>
            <w:r>
              <w:rPr>
                <w:color w:val="231F20"/>
                <w:spacing w:val="38"/>
              </w:rPr>
              <w:t xml:space="preserve"> </w:t>
            </w:r>
            <w:r>
              <w:rPr>
                <w:color w:val="231F20"/>
              </w:rPr>
              <w:t>of</w:t>
            </w:r>
            <w:r>
              <w:rPr>
                <w:color w:val="231F20"/>
                <w:spacing w:val="39"/>
              </w:rPr>
              <w:t xml:space="preserve"> </w:t>
            </w:r>
            <w:r>
              <w:rPr>
                <w:color w:val="231F20"/>
              </w:rPr>
              <w:t>the</w:t>
            </w:r>
            <w:r>
              <w:rPr>
                <w:color w:val="231F20"/>
                <w:spacing w:val="39"/>
              </w:rPr>
              <w:t xml:space="preserve"> </w:t>
            </w:r>
            <w:r>
              <w:rPr>
                <w:color w:val="231F20"/>
                <w:spacing w:val="-2"/>
              </w:rPr>
              <w:t>property,</w:t>
            </w:r>
            <w:r>
              <w:rPr>
                <w:color w:val="231F20"/>
              </w:rPr>
              <w:t>had</w:t>
            </w:r>
            <w:r>
              <w:rPr>
                <w:color w:val="231F20"/>
                <w:spacing w:val="39"/>
              </w:rPr>
              <w:t xml:space="preserve"> </w:t>
            </w:r>
            <w:r>
              <w:rPr>
                <w:color w:val="231F20"/>
              </w:rPr>
              <w:t>a</w:t>
            </w:r>
            <w:r>
              <w:rPr>
                <w:color w:val="231F20"/>
                <w:spacing w:val="39"/>
              </w:rPr>
              <w:t xml:space="preserve"> </w:t>
            </w:r>
            <w:r>
              <w:rPr>
                <w:color w:val="231F20"/>
              </w:rPr>
              <w:t>carrying</w:t>
            </w:r>
            <w:r>
              <w:rPr>
                <w:color w:val="231F20"/>
                <w:spacing w:val="39"/>
              </w:rPr>
              <w:t xml:space="preserve"> </w:t>
            </w:r>
            <w:r>
              <w:rPr>
                <w:color w:val="231F20"/>
              </w:rPr>
              <w:t>amount</w:t>
            </w:r>
            <w:r>
              <w:rPr>
                <w:color w:val="231F20"/>
                <w:spacing w:val="39"/>
              </w:rPr>
              <w:t xml:space="preserve"> </w:t>
            </w:r>
            <w:r>
              <w:rPr>
                <w:color w:val="231F20"/>
              </w:rPr>
              <w:t>of</w:t>
            </w:r>
            <w:r>
              <w:rPr/>
              <w:t xml:space="preserve"> </w:t>
            </w:r>
            <w:r>
              <w:rPr>
                <w:color w:val="231F20"/>
              </w:rPr>
              <w:t>$0.1</w:t>
            </w:r>
            <w:r>
              <w:rPr>
                <w:color w:val="231F20"/>
                <w:spacing w:val="9"/>
              </w:rPr>
              <w:t xml:space="preserve"> </w:t>
            </w:r>
            <w:r>
              <w:rPr>
                <w:color w:val="231F20"/>
              </w:rPr>
              <w:t>million which</w:t>
            </w:r>
            <w:r>
              <w:rPr>
                <w:color w:val="231F20"/>
                <w:spacing w:val="9"/>
              </w:rPr>
              <w:t xml:space="preserve"> </w:t>
            </w:r>
            <w:r>
              <w:rPr>
                <w:color w:val="231F20"/>
              </w:rPr>
              <w:t>is</w:t>
            </w:r>
            <w:r>
              <w:rPr>
                <w:color w:val="231F20"/>
                <w:spacing w:val="9"/>
              </w:rPr>
              <w:t xml:space="preserve"> </w:t>
            </w:r>
            <w:r>
              <w:rPr>
                <w:color w:val="231F20"/>
              </w:rPr>
              <w:t>net</w:t>
            </w:r>
            <w:r>
              <w:rPr>
                <w:color w:val="231F20"/>
                <w:spacing w:val="9"/>
              </w:rPr>
              <w:t xml:space="preserve"> </w:t>
            </w:r>
            <w:r>
              <w:rPr>
                <w:color w:val="231F20"/>
              </w:rPr>
              <w:t>of</w:t>
            </w:r>
            <w:r>
              <w:rPr>
                <w:color w:val="231F20"/>
                <w:spacing w:val="9"/>
              </w:rPr>
              <w:t xml:space="preserve"> </w:t>
            </w:r>
            <w:r>
              <w:rPr>
                <w:color w:val="231F20"/>
              </w:rPr>
              <w:t>a</w:t>
            </w:r>
            <w:r>
              <w:rPr>
                <w:color w:val="231F20"/>
                <w:spacing w:val="9"/>
              </w:rPr>
              <w:t xml:space="preserve"> </w:t>
            </w:r>
            <w:r>
              <w:rPr>
                <w:color w:val="231F20"/>
              </w:rPr>
              <w:t>valuation</w:t>
            </w:r>
            <w:r>
              <w:rPr>
                <w:color w:val="231F20"/>
                <w:spacing w:val="10"/>
              </w:rPr>
              <w:t xml:space="preserve"> </w:t>
            </w:r>
            <w:r>
              <w:rPr>
                <w:color w:val="231F20"/>
              </w:rPr>
              <w:t>allowance of</w:t>
            </w:r>
            <w:r>
              <w:rPr>
                <w:color w:val="231F20"/>
                <w:spacing w:val="9"/>
              </w:rPr>
              <w:t xml:space="preserve"> </w:t>
            </w:r>
            <w:r>
              <w:rPr>
                <w:color w:val="231F20"/>
              </w:rPr>
              <w:t>$0.1</w:t>
            </w:r>
            <w:r>
              <w:rPr>
                <w:color w:val="231F20"/>
                <w:spacing w:val="9"/>
              </w:rPr>
              <w:t xml:space="preserve"> </w:t>
            </w:r>
            <w:r>
              <w:rPr>
                <w:color w:val="231F20"/>
              </w:rPr>
              <w:t>million</w:t>
            </w:r>
            <w:r>
              <w:rPr>
                <w:color w:val="231F20"/>
                <w:spacing w:val="9"/>
              </w:rPr>
              <w:t xml:space="preserve"> </w:t>
            </w:r>
            <w:r>
              <w:rPr>
                <w:color w:val="231F20"/>
              </w:rPr>
              <w:t>at</w:t>
            </w:r>
            <w:r>
              <w:rPr>
                <w:color w:val="231F20"/>
                <w:spacing w:val="9"/>
              </w:rPr>
              <w:t xml:space="preserve"> </w:t>
            </w:r>
            <w:r>
              <w:rPr>
                <w:color w:val="231F20"/>
              </w:rPr>
              <w:t>June 30,2019,</w:t>
            </w:r>
            <w:r>
              <w:rPr>
                <w:color w:val="231F20"/>
                <w:spacing w:val="9"/>
              </w:rPr>
              <w:t xml:space="preserve"> </w:t>
            </w:r>
            <w:r>
              <w:rPr>
                <w:color w:val="231F20"/>
              </w:rPr>
              <w:t>and</w:t>
            </w:r>
            <w:r>
              <w:rPr>
                <w:color w:val="231F20"/>
                <w:spacing w:val="9"/>
              </w:rPr>
              <w:t xml:space="preserve"> </w:t>
            </w:r>
            <w:r>
              <w:rPr>
                <w:color w:val="231F20"/>
              </w:rPr>
              <w:t>a</w:t>
            </w:r>
            <w:r>
              <w:rPr>
                <w:color w:val="231F20"/>
                <w:spacing w:val="9"/>
              </w:rPr>
              <w:t xml:space="preserve"> </w:t>
            </w:r>
            <w:r>
              <w:rPr>
                <w:color w:val="231F20"/>
              </w:rPr>
              <w:t>carrying amount</w:t>
            </w:r>
            <w:r>
              <w:rPr>
                <w:color w:val="231F20"/>
                <w:spacing w:val="6"/>
              </w:rPr>
              <w:t xml:space="preserve"> </w:t>
            </w:r>
            <w:r>
              <w:rPr>
                <w:color w:val="231F20"/>
              </w:rPr>
              <w:t>of</w:t>
            </w:r>
            <w:r>
              <w:rPr>
                <w:color w:val="231F20"/>
                <w:spacing w:val="6"/>
              </w:rPr>
              <w:t xml:space="preserve"> </w:t>
            </w:r>
            <w:r>
              <w:rPr>
                <w:color w:val="231F20"/>
              </w:rPr>
              <w:t>$0.2</w:t>
            </w:r>
            <w:r>
              <w:rPr>
                <w:color w:val="231F20"/>
                <w:spacing w:val="6"/>
              </w:rPr>
              <w:t xml:space="preserve"> </w:t>
            </w:r>
            <w:r>
              <w:rPr>
                <w:color w:val="231F20"/>
              </w:rPr>
              <w:t>million,</w:t>
            </w:r>
            <w:r>
              <w:rPr>
                <w:color w:val="231F20"/>
                <w:spacing w:val="6"/>
              </w:rPr>
              <w:t xml:space="preserve"> </w:t>
            </w:r>
            <w:r>
              <w:rPr>
                <w:color w:val="231F20"/>
              </w:rPr>
              <w:t>which</w:t>
            </w:r>
            <w:r>
              <w:rPr>
                <w:color w:val="231F20"/>
                <w:spacing w:val="6"/>
              </w:rPr>
              <w:t xml:space="preserve"> </w:t>
            </w:r>
            <w:r>
              <w:rPr>
                <w:color w:val="231F20"/>
              </w:rPr>
              <w:t>is</w:t>
            </w:r>
            <w:r>
              <w:rPr>
                <w:color w:val="231F20"/>
                <w:spacing w:val="6"/>
              </w:rPr>
              <w:t xml:space="preserve"> </w:t>
            </w:r>
            <w:r>
              <w:rPr>
                <w:color w:val="231F20"/>
              </w:rPr>
              <w:t>net</w:t>
            </w:r>
            <w:r>
              <w:rPr>
                <w:color w:val="231F20"/>
                <w:spacing w:val="6"/>
              </w:rPr>
              <w:t xml:space="preserve"> </w:t>
            </w:r>
            <w:r>
              <w:rPr>
                <w:color w:val="231F20"/>
              </w:rPr>
              <w:t>of</w:t>
            </w:r>
            <w:r>
              <w:rPr>
                <w:color w:val="231F20"/>
                <w:spacing w:val="6"/>
              </w:rPr>
              <w:t xml:space="preserve"> </w:t>
            </w:r>
            <w:r>
              <w:rPr>
                <w:color w:val="231F20"/>
              </w:rPr>
              <w:t>a</w:t>
            </w:r>
            <w:r>
              <w:rPr>
                <w:color w:val="231F20"/>
                <w:spacing w:val="6"/>
              </w:rPr>
              <w:t xml:space="preserve"> </w:t>
            </w:r>
            <w:r>
              <w:rPr>
                <w:color w:val="231F20"/>
              </w:rPr>
              <w:t>valuation</w:t>
            </w:r>
            <w:r>
              <w:rPr>
                <w:color w:val="231F20"/>
                <w:spacing w:val="6"/>
              </w:rPr>
              <w:t xml:space="preserve"> </w:t>
            </w:r>
            <w:r>
              <w:rPr>
                <w:color w:val="231F20"/>
              </w:rPr>
              <w:t>allowance of</w:t>
            </w:r>
            <w:r>
              <w:rPr>
                <w:color w:val="231F20"/>
                <w:spacing w:val="6"/>
              </w:rPr>
              <w:t xml:space="preserve"> </w:t>
            </w:r>
            <w:r>
              <w:rPr>
                <w:color w:val="231F20"/>
              </w:rPr>
              <w:t>$0.1</w:t>
            </w:r>
            <w:r>
              <w:rPr>
                <w:color w:val="231F20"/>
                <w:spacing w:val="6"/>
              </w:rPr>
              <w:t xml:space="preserve"> </w:t>
            </w:r>
            <w:r>
              <w:rPr>
                <w:color w:val="231F20"/>
              </w:rPr>
              <w:t>million,</w:t>
            </w:r>
            <w:r>
              <w:rPr>
                <w:color w:val="231F20"/>
                <w:spacing w:val="6"/>
              </w:rPr>
              <w:t xml:space="preserve"> </w:t>
            </w:r>
            <w:r>
              <w:rPr>
                <w:color w:val="231F20"/>
              </w:rPr>
              <w:t>at</w:t>
            </w:r>
            <w:r>
              <w:rPr>
                <w:color w:val="231F20"/>
                <w:spacing w:val="7"/>
              </w:rPr>
              <w:t xml:space="preserve"> </w:t>
            </w:r>
            <w:r>
              <w:rPr>
                <w:color w:val="231F20"/>
              </w:rPr>
              <w:t>December 31,</w:t>
            </w:r>
            <w:r>
              <w:rPr>
                <w:color w:val="231F20"/>
                <w:spacing w:val="6"/>
              </w:rPr>
              <w:t xml:space="preserve"> </w:t>
            </w:r>
            <w:r>
              <w:rPr>
                <w:color w:val="231F20"/>
              </w:rPr>
              <w:t>2018.</w:t>
            </w:r>
            <w:r>
              <w:rPr>
                <w:color w:val="231F20"/>
                <w:spacing w:val="-5"/>
              </w:rPr>
              <w:t xml:space="preserve"> </w:t>
            </w:r>
            <w:r>
              <w:rPr/>
              <w:t> Charges included in our results of operations relating to other real estate measured at fair value were zero and $0.01 million during each of the three and six month periods ended June 30, 2019, and were zero during each of the three and six month periods ended June 30, 2018.</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00" w:name="DSPFPageBreakArea47"/>
      <w:bookmarkStart w:id="501" w:name="DSPFPageBreakArea47"/>
      <w:bookmarkEnd w:id="5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02" w:name="DSPFPageNumber47"/>
      <w:bookmarkStart w:id="503" w:name="DSPFPageNumberArea46"/>
      <w:bookmarkEnd w:id="502"/>
      <w:bookmarkEnd w:id="503"/>
      <w:r>
        <w:rPr>
          <w:b w:val="false"/>
          <w:i w:val="false"/>
          <w:caps w:val="false"/>
          <w:smallCaps w:val="false"/>
          <w:sz w:val="13"/>
        </w:rPr>
        <w:t>48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04" w:name="DSPFPageBreak47"/>
      <w:bookmarkStart w:id="505" w:name="DSPFPageBreak47"/>
      <w:bookmarkEnd w:id="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06" w:name="DSPFPageHeader46"/>
        <w:bookmarkEnd w:id="506"/>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A reconciliation for all assets and (liabilities) measured at fair value on a recurring basis using significant unobservable inputs (Level 3) follows:</w:t>
      </w:r>
    </w:p>
    <w:p>
      <w:pPr>
        <w:pStyle w:val="TextBody"/>
        <w:spacing w:before="0" w:after="0"/>
        <w:jc w:val="both"/>
        <w:rPr/>
      </w:pPr>
      <w:r>
        <w:rPr/>
      </w:r>
    </w:p>
    <w:p>
      <w:pPr>
        <w:pStyle w:val="Normal"/>
        <w:spacing w:before="0" w:after="0"/>
        <w:rPr>
          <w:sz w:val="4"/>
          <w:szCs w:val="4"/>
        </w:rPr>
      </w:pPr>
      <w:r>
        <w:rPr>
          <w:sz w:val="4"/>
          <w:szCs w:val="4"/>
        </w:rPr>
      </w:r>
      <w:bookmarkStart w:id="507" w:name="z0d0e1554a09543238d4cd0b444b1730f"/>
      <w:bookmarkStart w:id="508" w:name="z0d0e1554a09543238d4cd0b444b1730f"/>
      <w:bookmarkEnd w:id="508"/>
    </w:p>
    <w:tbl>
      <w:tblPr>
        <w:tblW w:w="10205" w:type="dxa"/>
        <w:jc w:val="left"/>
        <w:tblInd w:w="0" w:type="dxa"/>
        <w:tblCellMar>
          <w:top w:w="0" w:type="dxa"/>
          <w:left w:w="0" w:type="dxa"/>
          <w:bottom w:w="0" w:type="dxa"/>
          <w:right w:w="0" w:type="dxa"/>
        </w:tblCellMar>
      </w:tblPr>
      <w:tblGrid>
        <w:gridCol w:w="5835"/>
        <w:gridCol w:w="60"/>
        <w:gridCol w:w="158"/>
        <w:gridCol w:w="771"/>
        <w:gridCol w:w="107"/>
        <w:gridCol w:w="68"/>
        <w:gridCol w:w="158"/>
        <w:gridCol w:w="771"/>
        <w:gridCol w:w="107"/>
        <w:gridCol w:w="68"/>
        <w:gridCol w:w="158"/>
        <w:gridCol w:w="771"/>
        <w:gridCol w:w="107"/>
        <w:gridCol w:w="68"/>
        <w:gridCol w:w="158"/>
        <w:gridCol w:w="780"/>
        <w:gridCol w:w="60"/>
      </w:tblGrid>
      <w:tr>
        <w:trPr/>
        <w:tc>
          <w:tcPr>
            <w:tcW w:w="58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50" w:type="dxa"/>
            <w:gridSpan w:val="14"/>
            <w:tcBorders>
              <w:bottom w:val="single" w:sz="12" w:space="0" w:color="000000"/>
            </w:tcBorders>
            <w:shd w:fill="auto" w:val="clear"/>
            <w:tcMar>
              <w:bottom w:w="28" w:type="dxa"/>
            </w:tcMar>
            <w:vAlign w:val="bottom"/>
          </w:tcPr>
          <w:p>
            <w:pPr>
              <w:pStyle w:val="TableContents"/>
              <w:spacing w:before="0" w:after="0"/>
              <w:jc w:val="center"/>
              <w:rPr/>
            </w:pPr>
            <w:r>
              <w:rPr/>
              <w:t>Capitalized Mortgage Loan Servicing Rights</w:t>
            </w:r>
          </w:p>
        </w:tc>
        <w:tc>
          <w:tcPr>
            <w:tcW w:w="60" w:type="dxa"/>
            <w:tcBorders/>
            <w:shd w:fill="auto" w:val="clear"/>
            <w:vAlign w:val="bottom"/>
          </w:tcPr>
          <w:p>
            <w:pPr>
              <w:pStyle w:val="TableContents"/>
              <w:spacing w:before="0" w:after="283"/>
              <w:rPr/>
            </w:pPr>
            <w:r>
              <w:rPr/>
              <w:t> </w:t>
            </w:r>
          </w:p>
        </w:tc>
      </w:tr>
      <w:tr>
        <w:trPr/>
        <w:tc>
          <w:tcPr>
            <w:tcW w:w="58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3" w:type="dxa"/>
            <w:gridSpan w:val="6"/>
            <w:tcBorders>
              <w:bottom w:val="single" w:sz="12" w:space="0" w:color="000000"/>
            </w:tcBorders>
            <w:shd w:fill="auto" w:val="clear"/>
            <w:tcMar>
              <w:bottom w:w="28" w:type="dxa"/>
            </w:tcM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10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2042" w:type="dxa"/>
            <w:gridSpan w:val="6"/>
            <w:tcBorders>
              <w:bottom w:val="single" w:sz="12" w:space="0" w:color="000000"/>
            </w:tcBorders>
            <w:shd w:fill="auto" w:val="clear"/>
            <w:tcMar>
              <w:bottom w:w="28" w:type="dxa"/>
            </w:tcM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60" w:type="dxa"/>
            <w:tcBorders/>
            <w:shd w:fill="auto" w:val="clear"/>
            <w:vAlign w:val="bottom"/>
          </w:tcPr>
          <w:p>
            <w:pPr>
              <w:pStyle w:val="TableContents"/>
              <w:spacing w:before="0" w:after="283"/>
              <w:rPr/>
            </w:pPr>
            <w:r>
              <w:rPr/>
              <w:t> </w:t>
            </w:r>
          </w:p>
        </w:tc>
      </w:tr>
      <w:tr>
        <w:trPr/>
        <w:tc>
          <w:tcPr>
            <w:tcW w:w="58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9"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10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29"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10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29"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10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938"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60" w:type="dxa"/>
            <w:tcBorders/>
            <w:shd w:fill="auto" w:val="clear"/>
            <w:vAlign w:val="bottom"/>
          </w:tcPr>
          <w:p>
            <w:pPr>
              <w:pStyle w:val="TableContents"/>
              <w:spacing w:before="0" w:after="283"/>
              <w:rPr/>
            </w:pPr>
            <w:r>
              <w:rPr/>
              <w:t> </w:t>
            </w:r>
          </w:p>
        </w:tc>
      </w:tr>
      <w:tr>
        <w:trPr/>
        <w:tc>
          <w:tcPr>
            <w:tcW w:w="58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3" w:type="dxa"/>
            <w:gridSpan w:val="6"/>
            <w:tcBorders/>
            <w:shd w:fill="auto" w:val="clear"/>
            <w:vAlign w:val="bottom"/>
          </w:tcPr>
          <w:p>
            <w:pPr>
              <w:pStyle w:val="TableContents"/>
              <w:spacing w:before="0" w:after="0"/>
              <w:jc w:val="center"/>
              <w:rPr/>
            </w:pPr>
            <w:r>
              <w:rPr/>
              <w:t>(In thousands)</w:t>
            </w:r>
          </w:p>
        </w:tc>
        <w:tc>
          <w:tcPr>
            <w:tcW w:w="10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2042" w:type="dxa"/>
            <w:gridSpan w:val="6"/>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r>
      <w:tr>
        <w:trPr/>
        <w:tc>
          <w:tcPr>
            <w:tcW w:w="5835" w:type="dxa"/>
            <w:tcBorders/>
            <w:shd w:fill="CCEEFF" w:val="clear"/>
            <w:vAlign w:val="bottom"/>
          </w:tcPr>
          <w:p>
            <w:pPr>
              <w:pStyle w:val="TableContents"/>
              <w:spacing w:before="0" w:after="0"/>
              <w:ind w:left="144" w:right="0" w:hanging="144"/>
              <w:rPr/>
            </w:pPr>
            <w:r>
              <w:rPr/>
              <w:t>Beginning balance</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rPr/>
            </w:pPr>
            <w:r>
              <w:rPr/>
              <w:t>$</w:t>
            </w:r>
          </w:p>
        </w:tc>
        <w:tc>
          <w:tcPr>
            <w:tcW w:w="771" w:type="dxa"/>
            <w:tcBorders/>
            <w:shd w:fill="CCEEFF" w:val="clear"/>
            <w:vAlign w:val="bottom"/>
          </w:tcPr>
          <w:p>
            <w:pPr>
              <w:pStyle w:val="TableContents"/>
              <w:spacing w:before="0" w:after="0"/>
              <w:jc w:val="right"/>
              <w:rPr/>
            </w:pPr>
            <w:r>
              <w:rPr/>
              <w:t>19,909</w:t>
            </w:r>
          </w:p>
        </w:tc>
        <w:tc>
          <w:tcPr>
            <w:tcW w:w="10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rPr/>
            </w:pPr>
            <w:r>
              <w:rPr/>
              <w:t>$</w:t>
            </w:r>
          </w:p>
        </w:tc>
        <w:tc>
          <w:tcPr>
            <w:tcW w:w="771" w:type="dxa"/>
            <w:tcBorders/>
            <w:shd w:fill="CCEEFF" w:val="clear"/>
            <w:vAlign w:val="bottom"/>
          </w:tcPr>
          <w:p>
            <w:pPr>
              <w:pStyle w:val="TableContents"/>
              <w:spacing w:before="0" w:after="0"/>
              <w:jc w:val="right"/>
              <w:rPr/>
            </w:pPr>
            <w:r>
              <w:rPr/>
              <w:t>17,783</w:t>
            </w:r>
          </w:p>
        </w:tc>
        <w:tc>
          <w:tcPr>
            <w:tcW w:w="10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rPr/>
            </w:pPr>
            <w:r>
              <w:rPr/>
              <w:t>$</w:t>
            </w:r>
          </w:p>
        </w:tc>
        <w:tc>
          <w:tcPr>
            <w:tcW w:w="771" w:type="dxa"/>
            <w:tcBorders/>
            <w:shd w:fill="CCEEFF" w:val="clear"/>
            <w:vAlign w:val="bottom"/>
          </w:tcPr>
          <w:p>
            <w:pPr>
              <w:pStyle w:val="TableContents"/>
              <w:spacing w:before="0" w:after="0"/>
              <w:jc w:val="right"/>
              <w:rPr/>
            </w:pPr>
            <w:r>
              <w:rPr/>
              <w:t>21,400</w:t>
            </w:r>
          </w:p>
        </w:tc>
        <w:tc>
          <w:tcPr>
            <w:tcW w:w="10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0"/>
              <w:rPr/>
            </w:pPr>
            <w:r>
              <w:rPr/>
              <w:t>$</w:t>
            </w:r>
          </w:p>
        </w:tc>
        <w:tc>
          <w:tcPr>
            <w:tcW w:w="780" w:type="dxa"/>
            <w:tcBorders/>
            <w:shd w:fill="CCEEFF" w:val="clear"/>
            <w:vAlign w:val="bottom"/>
          </w:tcPr>
          <w:p>
            <w:pPr>
              <w:pStyle w:val="TableContents"/>
              <w:spacing w:before="0" w:after="0"/>
              <w:jc w:val="right"/>
              <w:rPr/>
            </w:pPr>
            <w:r>
              <w:rPr/>
              <w:t>15,699</w:t>
            </w:r>
          </w:p>
        </w:tc>
        <w:tc>
          <w:tcPr>
            <w:tcW w:w="60" w:type="dxa"/>
            <w:tcBorders/>
            <w:shd w:fill="CCEEFF" w:val="clear"/>
            <w:vAlign w:val="bottom"/>
          </w:tcPr>
          <w:p>
            <w:pPr>
              <w:pStyle w:val="TableContents"/>
              <w:spacing w:before="0" w:after="283"/>
              <w:rPr/>
            </w:pPr>
            <w:r>
              <w:rPr/>
              <w:t> </w:t>
            </w:r>
          </w:p>
        </w:tc>
      </w:tr>
      <w:tr>
        <w:trPr/>
        <w:tc>
          <w:tcPr>
            <w:tcW w:w="5835" w:type="dxa"/>
            <w:tcBorders/>
            <w:shd w:fill="FFFFFF" w:val="clear"/>
            <w:vAlign w:val="bottom"/>
          </w:tcPr>
          <w:p>
            <w:pPr>
              <w:pStyle w:val="TableContents"/>
              <w:spacing w:before="0" w:after="0"/>
              <w:ind w:left="324" w:right="0" w:hanging="144"/>
              <w:rPr/>
            </w:pPr>
            <w:r>
              <w:rPr/>
              <w:t>Total gains (losses) realized and unrealized:</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rPr/>
            </w:pPr>
            <w:r>
              <w:rPr/>
              <w:t> </w:t>
            </w:r>
          </w:p>
        </w:tc>
        <w:tc>
          <w:tcPr>
            <w:tcW w:w="68"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rPr/>
            </w:pPr>
            <w:r>
              <w:rPr/>
              <w:t> </w:t>
            </w:r>
          </w:p>
        </w:tc>
        <w:tc>
          <w:tcPr>
            <w:tcW w:w="68"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rPr/>
            </w:pPr>
            <w:r>
              <w:rPr/>
              <w:t> </w:t>
            </w:r>
          </w:p>
        </w:tc>
        <w:tc>
          <w:tcPr>
            <w:tcW w:w="68"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7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r>
      <w:tr>
        <w:trPr/>
        <w:tc>
          <w:tcPr>
            <w:tcW w:w="5835" w:type="dxa"/>
            <w:tcBorders/>
            <w:shd w:fill="CCEEFF" w:val="clear"/>
            <w:vAlign w:val="bottom"/>
          </w:tcPr>
          <w:p>
            <w:pPr>
              <w:pStyle w:val="TableContents"/>
              <w:spacing w:before="0" w:after="0"/>
              <w:ind w:left="504" w:right="0" w:hanging="144"/>
              <w:rPr/>
            </w:pPr>
            <w:r>
              <w:rPr/>
              <w:t>Included in results of operations</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0"/>
              <w:jc w:val="right"/>
              <w:rPr/>
            </w:pPr>
            <w:r>
              <w:rPr/>
              <w:t>(3,422</w:t>
            </w:r>
          </w:p>
        </w:tc>
        <w:tc>
          <w:tcPr>
            <w:tcW w:w="107" w:type="dxa"/>
            <w:tcBorders/>
            <w:shd w:fill="CCEEFF" w:val="clear"/>
            <w:vAlign w:val="bottom"/>
          </w:tcPr>
          <w:p>
            <w:pPr>
              <w:pStyle w:val="TableContents"/>
              <w:spacing w:before="0" w:after="0"/>
              <w:rPr/>
            </w:pPr>
            <w:r>
              <w:rPr/>
              <w:t>)</w:t>
            </w:r>
          </w:p>
        </w:tc>
        <w:tc>
          <w:tcPr>
            <w:tcW w:w="6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0"/>
              <w:jc w:val="right"/>
              <w:rPr/>
            </w:pPr>
            <w:r>
              <w:rPr/>
              <w:t>(137</w:t>
            </w:r>
          </w:p>
        </w:tc>
        <w:tc>
          <w:tcPr>
            <w:tcW w:w="107" w:type="dxa"/>
            <w:tcBorders/>
            <w:shd w:fill="CCEEFF" w:val="clear"/>
            <w:vAlign w:val="bottom"/>
          </w:tcPr>
          <w:p>
            <w:pPr>
              <w:pStyle w:val="TableContents"/>
              <w:spacing w:before="0" w:after="0"/>
              <w:rPr/>
            </w:pPr>
            <w:r>
              <w:rPr/>
              <w:t>)</w:t>
            </w:r>
          </w:p>
        </w:tc>
        <w:tc>
          <w:tcPr>
            <w:tcW w:w="6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0"/>
              <w:jc w:val="right"/>
              <w:rPr/>
            </w:pPr>
            <w:r>
              <w:rPr/>
              <w:t>(6,113</w:t>
            </w:r>
          </w:p>
        </w:tc>
        <w:tc>
          <w:tcPr>
            <w:tcW w:w="107" w:type="dxa"/>
            <w:tcBorders/>
            <w:shd w:fill="CCEEFF" w:val="clear"/>
            <w:vAlign w:val="bottom"/>
          </w:tcPr>
          <w:p>
            <w:pPr>
              <w:pStyle w:val="TableContents"/>
              <w:spacing w:before="0" w:after="0"/>
              <w:rPr/>
            </w:pPr>
            <w:r>
              <w:rPr/>
              <w:t>)</w:t>
            </w:r>
          </w:p>
        </w:tc>
        <w:tc>
          <w:tcPr>
            <w:tcW w:w="6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0"/>
              <w:jc w:val="right"/>
              <w:rPr/>
            </w:pPr>
            <w:r>
              <w:rPr/>
              <w:t>892</w:t>
            </w:r>
          </w:p>
        </w:tc>
        <w:tc>
          <w:tcPr>
            <w:tcW w:w="60" w:type="dxa"/>
            <w:tcBorders/>
            <w:shd w:fill="CCEEFF" w:val="clear"/>
            <w:vAlign w:val="bottom"/>
          </w:tcPr>
          <w:p>
            <w:pPr>
              <w:pStyle w:val="TableContents"/>
              <w:spacing w:before="0" w:after="283"/>
              <w:rPr/>
            </w:pPr>
            <w:r>
              <w:rPr/>
              <w:t> </w:t>
            </w:r>
          </w:p>
        </w:tc>
      </w:tr>
      <w:tr>
        <w:trPr/>
        <w:tc>
          <w:tcPr>
            <w:tcW w:w="5835" w:type="dxa"/>
            <w:tcBorders/>
            <w:shd w:fill="FFFFFF" w:val="clear"/>
            <w:vAlign w:val="bottom"/>
          </w:tcPr>
          <w:p>
            <w:pPr>
              <w:pStyle w:val="TableContents"/>
              <w:spacing w:before="0" w:after="0"/>
              <w:ind w:left="504" w:right="0" w:hanging="144"/>
              <w:rPr/>
            </w:pPr>
            <w:r>
              <w:rPr/>
              <w:t>Included in other comprehensive income (loss)</w:t>
            </w:r>
          </w:p>
        </w:tc>
        <w:tc>
          <w:tcPr>
            <w:tcW w:w="60"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0"/>
              <w:jc w:val="right"/>
              <w:rPr/>
            </w:pPr>
            <w:r>
              <w:rPr/>
              <w:t>-</w:t>
            </w:r>
          </w:p>
        </w:tc>
        <w:tc>
          <w:tcPr>
            <w:tcW w:w="107" w:type="dxa"/>
            <w:tcBorders/>
            <w:shd w:fill="FFFFFF" w:val="clear"/>
            <w:vAlign w:val="bottom"/>
          </w:tcPr>
          <w:p>
            <w:pPr>
              <w:pStyle w:val="TableContents"/>
              <w:spacing w:before="0" w:after="283"/>
              <w:rPr/>
            </w:pPr>
            <w:r>
              <w:rPr/>
              <w:t> </w:t>
            </w:r>
          </w:p>
        </w:tc>
        <w:tc>
          <w:tcPr>
            <w:tcW w:w="68"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0"/>
              <w:jc w:val="right"/>
              <w:rPr/>
            </w:pPr>
            <w:r>
              <w:rPr/>
              <w:t>-</w:t>
            </w:r>
          </w:p>
        </w:tc>
        <w:tc>
          <w:tcPr>
            <w:tcW w:w="107" w:type="dxa"/>
            <w:tcBorders/>
            <w:shd w:fill="FFFFFF" w:val="clear"/>
            <w:vAlign w:val="bottom"/>
          </w:tcPr>
          <w:p>
            <w:pPr>
              <w:pStyle w:val="TableContents"/>
              <w:spacing w:before="0" w:after="283"/>
              <w:rPr/>
            </w:pPr>
            <w:r>
              <w:rPr/>
              <w:t> </w:t>
            </w:r>
          </w:p>
        </w:tc>
        <w:tc>
          <w:tcPr>
            <w:tcW w:w="68"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771" w:type="dxa"/>
            <w:tcBorders/>
            <w:shd w:fill="FFFFFF" w:val="clear"/>
            <w:vAlign w:val="bottom"/>
          </w:tcPr>
          <w:p>
            <w:pPr>
              <w:pStyle w:val="TableContents"/>
              <w:spacing w:before="0" w:after="0"/>
              <w:jc w:val="right"/>
              <w:rPr/>
            </w:pPr>
            <w:r>
              <w:rPr/>
              <w:t>-</w:t>
            </w:r>
          </w:p>
        </w:tc>
        <w:tc>
          <w:tcPr>
            <w:tcW w:w="107" w:type="dxa"/>
            <w:tcBorders/>
            <w:shd w:fill="FFFFFF" w:val="clear"/>
            <w:vAlign w:val="bottom"/>
          </w:tcPr>
          <w:p>
            <w:pPr>
              <w:pStyle w:val="TableContents"/>
              <w:spacing w:before="0" w:after="283"/>
              <w:rPr/>
            </w:pPr>
            <w:r>
              <w:rPr/>
              <w:t> </w:t>
            </w:r>
          </w:p>
        </w:tc>
        <w:tc>
          <w:tcPr>
            <w:tcW w:w="68"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rPr/>
            </w:pPr>
            <w:r>
              <w:rPr/>
              <w:t> </w:t>
            </w:r>
          </w:p>
        </w:tc>
        <w:tc>
          <w:tcPr>
            <w:tcW w:w="780"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r>
      <w:tr>
        <w:trPr/>
        <w:tc>
          <w:tcPr>
            <w:tcW w:w="5835" w:type="dxa"/>
            <w:tcBorders/>
            <w:shd w:fill="CCEEFF" w:val="clear"/>
            <w:vAlign w:val="bottom"/>
          </w:tcPr>
          <w:p>
            <w:pPr>
              <w:pStyle w:val="TableContents"/>
              <w:spacing w:before="0" w:after="0"/>
              <w:ind w:left="324" w:right="0" w:hanging="144"/>
              <w:rPr/>
            </w:pPr>
            <w:r>
              <w:rPr/>
              <w:t>Purchases, issuances, settlements, maturities and calls</w:t>
            </w:r>
          </w:p>
        </w:tc>
        <w:tc>
          <w:tcPr>
            <w:tcW w:w="60"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0"/>
              <w:jc w:val="right"/>
              <w:rPr/>
            </w:pPr>
            <w:r>
              <w:rPr/>
              <w:t>1,407</w:t>
            </w:r>
          </w:p>
        </w:tc>
        <w:tc>
          <w:tcPr>
            <w:tcW w:w="10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0"/>
              <w:jc w:val="right"/>
              <w:rPr/>
            </w:pPr>
            <w:r>
              <w:rPr/>
              <w:t>4,202</w:t>
            </w:r>
          </w:p>
        </w:tc>
        <w:tc>
          <w:tcPr>
            <w:tcW w:w="10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71" w:type="dxa"/>
            <w:tcBorders/>
            <w:shd w:fill="CCEEFF" w:val="clear"/>
            <w:vAlign w:val="bottom"/>
          </w:tcPr>
          <w:p>
            <w:pPr>
              <w:pStyle w:val="TableContents"/>
              <w:spacing w:before="0" w:after="0"/>
              <w:jc w:val="right"/>
              <w:rPr/>
            </w:pPr>
            <w:r>
              <w:rPr/>
              <w:t>2,607</w:t>
            </w:r>
          </w:p>
        </w:tc>
        <w:tc>
          <w:tcPr>
            <w:tcW w:w="10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0"/>
              <w:jc w:val="right"/>
              <w:rPr/>
            </w:pPr>
            <w:r>
              <w:rPr/>
              <w:t>5,257</w:t>
            </w:r>
          </w:p>
        </w:tc>
        <w:tc>
          <w:tcPr>
            <w:tcW w:w="60" w:type="dxa"/>
            <w:tcBorders/>
            <w:shd w:fill="CCEEFF" w:val="clear"/>
            <w:vAlign w:val="bottom"/>
          </w:tcPr>
          <w:p>
            <w:pPr>
              <w:pStyle w:val="TableContents"/>
              <w:spacing w:before="0" w:after="283"/>
              <w:rPr/>
            </w:pPr>
            <w:r>
              <w:rPr/>
              <w:t> </w:t>
            </w:r>
          </w:p>
        </w:tc>
      </w:tr>
      <w:tr>
        <w:trPr/>
        <w:tc>
          <w:tcPr>
            <w:tcW w:w="5835" w:type="dxa"/>
            <w:tcBorders/>
            <w:shd w:fill="FFFFFF" w:val="clear"/>
            <w:vAlign w:val="bottom"/>
          </w:tcPr>
          <w:p>
            <w:pPr>
              <w:pStyle w:val="TableContents"/>
              <w:spacing w:before="0" w:after="0"/>
              <w:ind w:left="180" w:right="0" w:hanging="0"/>
              <w:rPr/>
            </w:pPr>
            <w:r>
              <w:rPr/>
              <w:t>Transfers in and/or out of Level 3</w:t>
            </w:r>
          </w:p>
        </w:tc>
        <w:tc>
          <w:tcPr>
            <w:tcW w:w="60" w:type="dxa"/>
            <w:tcBorders/>
            <w:shd w:fill="FFFFFF" w:val="clear"/>
            <w:vAlign w:val="bottom"/>
          </w:tcPr>
          <w:p>
            <w:pPr>
              <w:pStyle w:val="TableContents"/>
              <w:spacing w:before="0" w:after="283"/>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71"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107" w:type="dxa"/>
            <w:tcBorders/>
            <w:shd w:fill="FFFFFF" w:val="clear"/>
            <w:vAlign w:val="bottom"/>
          </w:tcPr>
          <w:p>
            <w:pPr>
              <w:pStyle w:val="TableContents"/>
              <w:spacing w:before="0" w:after="283"/>
              <w:rPr/>
            </w:pPr>
            <w:r>
              <w:rPr/>
              <w:t> </w:t>
            </w:r>
          </w:p>
        </w:tc>
        <w:tc>
          <w:tcPr>
            <w:tcW w:w="68" w:type="dxa"/>
            <w:tcBorders/>
            <w:shd w:fill="FFFFFF" w:val="clear"/>
            <w:vAlign w:val="bottom"/>
          </w:tcPr>
          <w:p>
            <w:pPr>
              <w:pStyle w:val="TableContents"/>
              <w:spacing w:before="0" w:after="283"/>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71"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107" w:type="dxa"/>
            <w:tcBorders/>
            <w:shd w:fill="FFFFFF" w:val="clear"/>
            <w:vAlign w:val="bottom"/>
          </w:tcPr>
          <w:p>
            <w:pPr>
              <w:pStyle w:val="TableContents"/>
              <w:spacing w:before="0" w:after="283"/>
              <w:rPr/>
            </w:pPr>
            <w:r>
              <w:rPr/>
              <w:t> </w:t>
            </w:r>
          </w:p>
        </w:tc>
        <w:tc>
          <w:tcPr>
            <w:tcW w:w="68" w:type="dxa"/>
            <w:tcBorders/>
            <w:shd w:fill="FFFFFF" w:val="clear"/>
            <w:vAlign w:val="bottom"/>
          </w:tcPr>
          <w:p>
            <w:pPr>
              <w:pStyle w:val="TableContents"/>
              <w:spacing w:before="0" w:after="283"/>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71"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107" w:type="dxa"/>
            <w:tcBorders/>
            <w:shd w:fill="FFFFFF" w:val="clear"/>
            <w:vAlign w:val="bottom"/>
          </w:tcPr>
          <w:p>
            <w:pPr>
              <w:pStyle w:val="TableContents"/>
              <w:spacing w:before="0" w:after="283"/>
              <w:rPr/>
            </w:pPr>
            <w:r>
              <w:rPr/>
              <w:t> </w:t>
            </w:r>
          </w:p>
        </w:tc>
        <w:tc>
          <w:tcPr>
            <w:tcW w:w="68" w:type="dxa"/>
            <w:tcBorders/>
            <w:shd w:fill="FFFFFF" w:val="clear"/>
            <w:vAlign w:val="bottom"/>
          </w:tcPr>
          <w:p>
            <w:pPr>
              <w:pStyle w:val="TableContents"/>
              <w:spacing w:before="0" w:after="283"/>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8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r>
      <w:tr>
        <w:trPr/>
        <w:tc>
          <w:tcPr>
            <w:tcW w:w="5835" w:type="dxa"/>
            <w:tcBorders/>
            <w:shd w:fill="CCEEFF" w:val="clear"/>
            <w:vAlign w:val="bottom"/>
          </w:tcPr>
          <w:p>
            <w:pPr>
              <w:pStyle w:val="TableContents"/>
              <w:spacing w:before="0" w:after="0"/>
              <w:ind w:left="144" w:right="0" w:hanging="144"/>
              <w:rPr/>
            </w:pPr>
            <w:r>
              <w:rPr/>
              <w:t>Ending balance</w:t>
            </w:r>
          </w:p>
        </w:tc>
        <w:tc>
          <w:tcPr>
            <w:tcW w:w="60" w:type="dxa"/>
            <w:tcBorders/>
            <w:shd w:fill="CCEEFF" w:val="clear"/>
            <w:vAlign w:val="bottom"/>
          </w:tcPr>
          <w:p>
            <w:pPr>
              <w:pStyle w:val="TableContents"/>
              <w:spacing w:before="0" w:after="283"/>
              <w:rPr/>
            </w:pPr>
            <w:r>
              <w:rPr/>
              <w:t> </w:t>
            </w:r>
          </w:p>
        </w:tc>
        <w:tc>
          <w:tcPr>
            <w:tcW w:w="158" w:type="dxa"/>
            <w:tcBorders>
              <w:bottom w:val="double" w:sz="8" w:space="0" w:color="000000"/>
            </w:tcBorders>
            <w:shd w:fill="CCEEFF" w:val="clear"/>
            <w:tcMar>
              <w:bottom w:w="28" w:type="dxa"/>
            </w:tcMar>
            <w:vAlign w:val="bottom"/>
          </w:tcPr>
          <w:p>
            <w:pPr>
              <w:pStyle w:val="TableContents"/>
              <w:spacing w:before="0" w:after="0"/>
              <w:rPr/>
            </w:pPr>
            <w:r>
              <w:rPr/>
              <w:t>$</w:t>
            </w:r>
          </w:p>
        </w:tc>
        <w:tc>
          <w:tcPr>
            <w:tcW w:w="771" w:type="dxa"/>
            <w:tcBorders>
              <w:bottom w:val="double" w:sz="8" w:space="0" w:color="000000"/>
            </w:tcBorders>
            <w:shd w:fill="CCEEFF" w:val="clear"/>
            <w:tcMar>
              <w:bottom w:w="28" w:type="dxa"/>
            </w:tcMar>
            <w:vAlign w:val="bottom"/>
          </w:tcPr>
          <w:p>
            <w:pPr>
              <w:pStyle w:val="TableContents"/>
              <w:spacing w:before="0" w:after="0"/>
              <w:jc w:val="right"/>
              <w:rPr/>
            </w:pPr>
            <w:r>
              <w:rPr/>
              <w:t>17,894</w:t>
            </w:r>
          </w:p>
        </w:tc>
        <w:tc>
          <w:tcPr>
            <w:tcW w:w="10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8" w:type="dxa"/>
            <w:tcBorders>
              <w:bottom w:val="double" w:sz="8" w:space="0" w:color="000000"/>
            </w:tcBorders>
            <w:shd w:fill="CCEEFF" w:val="clear"/>
            <w:tcMar>
              <w:bottom w:w="28" w:type="dxa"/>
            </w:tcMar>
            <w:vAlign w:val="bottom"/>
          </w:tcPr>
          <w:p>
            <w:pPr>
              <w:pStyle w:val="TableContents"/>
              <w:spacing w:before="0" w:after="0"/>
              <w:rPr/>
            </w:pPr>
            <w:r>
              <w:rPr/>
              <w:t>$</w:t>
            </w:r>
          </w:p>
        </w:tc>
        <w:tc>
          <w:tcPr>
            <w:tcW w:w="771" w:type="dxa"/>
            <w:tcBorders>
              <w:bottom w:val="double" w:sz="8" w:space="0" w:color="000000"/>
            </w:tcBorders>
            <w:shd w:fill="CCEEFF" w:val="clear"/>
            <w:tcMar>
              <w:bottom w:w="28" w:type="dxa"/>
            </w:tcMar>
            <w:vAlign w:val="bottom"/>
          </w:tcPr>
          <w:p>
            <w:pPr>
              <w:pStyle w:val="TableContents"/>
              <w:spacing w:before="0" w:after="0"/>
              <w:jc w:val="right"/>
              <w:rPr/>
            </w:pPr>
            <w:r>
              <w:rPr/>
              <w:t>21,848</w:t>
            </w:r>
          </w:p>
        </w:tc>
        <w:tc>
          <w:tcPr>
            <w:tcW w:w="10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8" w:type="dxa"/>
            <w:tcBorders>
              <w:bottom w:val="double" w:sz="8" w:space="0" w:color="000000"/>
            </w:tcBorders>
            <w:shd w:fill="CCEEFF" w:val="clear"/>
            <w:tcMar>
              <w:bottom w:w="28" w:type="dxa"/>
            </w:tcMar>
            <w:vAlign w:val="bottom"/>
          </w:tcPr>
          <w:p>
            <w:pPr>
              <w:pStyle w:val="TableContents"/>
              <w:spacing w:before="0" w:after="0"/>
              <w:rPr/>
            </w:pPr>
            <w:r>
              <w:rPr/>
              <w:t>$</w:t>
            </w:r>
          </w:p>
        </w:tc>
        <w:tc>
          <w:tcPr>
            <w:tcW w:w="771" w:type="dxa"/>
            <w:tcBorders>
              <w:bottom w:val="double" w:sz="8" w:space="0" w:color="000000"/>
            </w:tcBorders>
            <w:shd w:fill="CCEEFF" w:val="clear"/>
            <w:tcMar>
              <w:bottom w:w="28" w:type="dxa"/>
            </w:tcMar>
            <w:vAlign w:val="bottom"/>
          </w:tcPr>
          <w:p>
            <w:pPr>
              <w:pStyle w:val="TableContents"/>
              <w:spacing w:before="0" w:after="0"/>
              <w:jc w:val="right"/>
              <w:rPr/>
            </w:pPr>
            <w:r>
              <w:rPr/>
              <w:t>17,894</w:t>
            </w:r>
          </w:p>
        </w:tc>
        <w:tc>
          <w:tcPr>
            <w:tcW w:w="10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58" w:type="dxa"/>
            <w:tcBorders>
              <w:bottom w:val="double" w:sz="8" w:space="0" w:color="000000"/>
            </w:tcBorders>
            <w:shd w:fill="CCEEFF" w:val="clear"/>
            <w:tcMar>
              <w:bottom w:w="28" w:type="dxa"/>
            </w:tcMar>
            <w:vAlign w:val="bottom"/>
          </w:tcPr>
          <w:p>
            <w:pPr>
              <w:pStyle w:val="TableContents"/>
              <w:spacing w:before="0" w:after="0"/>
              <w:rPr/>
            </w:pPr>
            <w:r>
              <w:rPr/>
              <w:t>$</w:t>
            </w:r>
          </w:p>
        </w:tc>
        <w:tc>
          <w:tcPr>
            <w:tcW w:w="780" w:type="dxa"/>
            <w:tcBorders>
              <w:bottom w:val="double" w:sz="8" w:space="0" w:color="000000"/>
            </w:tcBorders>
            <w:shd w:fill="CCEEFF" w:val="clear"/>
            <w:tcMar>
              <w:bottom w:w="28" w:type="dxa"/>
            </w:tcMar>
            <w:vAlign w:val="bottom"/>
          </w:tcPr>
          <w:p>
            <w:pPr>
              <w:pStyle w:val="TableContents"/>
              <w:spacing w:before="0" w:after="0"/>
              <w:jc w:val="right"/>
              <w:rPr/>
            </w:pPr>
            <w:r>
              <w:rPr/>
              <w:t>21,848</w:t>
            </w:r>
          </w:p>
        </w:tc>
        <w:tc>
          <w:tcPr>
            <w:tcW w:w="60" w:type="dxa"/>
            <w:tcBorders/>
            <w:shd w:fill="CCEEFF" w:val="clear"/>
            <w:vAlign w:val="bottom"/>
          </w:tcPr>
          <w:p>
            <w:pPr>
              <w:pStyle w:val="TableContents"/>
              <w:spacing w:before="0" w:after="283"/>
              <w:rPr/>
            </w:pPr>
            <w:r>
              <w:rPr/>
              <w:t> </w:t>
            </w:r>
          </w:p>
        </w:tc>
      </w:tr>
      <w:tr>
        <w:trPr/>
        <w:tc>
          <w:tcPr>
            <w:tcW w:w="5835" w:type="dxa"/>
            <w:tcBorders/>
            <w:shd w:fill="FFFFFF" w:val="clear"/>
            <w:vAlign w:val="bottom"/>
          </w:tcPr>
          <w:p>
            <w:pPr>
              <w:pStyle w:val="TableContents"/>
              <w:spacing w:before="0" w:after="0"/>
              <w:ind w:left="180" w:right="0" w:hanging="180"/>
              <w:rPr/>
            </w:pPr>
            <w:r>
              <w:rPr/>
              <w:t>Amount of total gains (losses) for the period included in earnings attributable to the change in unrealized gains (losses) relating to assets and liabilities still held at June 30</w:t>
            </w:r>
          </w:p>
        </w:tc>
        <w:tc>
          <w:tcPr>
            <w:tcW w:w="60" w:type="dxa"/>
            <w:tcBorders/>
            <w:shd w:fill="FFFFFF" w:val="clear"/>
            <w:vAlign w:val="bottom"/>
          </w:tcPr>
          <w:p>
            <w:pPr>
              <w:pStyle w:val="TableContents"/>
              <w:spacing w:before="0" w:after="283"/>
              <w:rPr/>
            </w:pPr>
            <w:r>
              <w:rPr/>
              <w:t> </w:t>
            </w:r>
          </w:p>
        </w:tc>
        <w:tc>
          <w:tcPr>
            <w:tcW w:w="158" w:type="dxa"/>
            <w:tcBorders>
              <w:bottom w:val="double" w:sz="8" w:space="0" w:color="000000"/>
            </w:tcBorders>
            <w:shd w:fill="FFFFFF" w:val="clear"/>
            <w:tcMar>
              <w:bottom w:w="28" w:type="dxa"/>
            </w:tcMar>
            <w:vAlign w:val="bottom"/>
          </w:tcPr>
          <w:p>
            <w:pPr>
              <w:pStyle w:val="TableContents"/>
              <w:spacing w:before="0" w:after="0"/>
              <w:rPr/>
            </w:pPr>
            <w:r>
              <w:rPr/>
              <w:t>$</w:t>
            </w:r>
          </w:p>
        </w:tc>
        <w:tc>
          <w:tcPr>
            <w:tcW w:w="771" w:type="dxa"/>
            <w:tcBorders>
              <w:bottom w:val="double" w:sz="8" w:space="0" w:color="000000"/>
            </w:tcBorders>
            <w:shd w:fill="FFFFFF" w:val="clear"/>
            <w:tcMar>
              <w:bottom w:w="28" w:type="dxa"/>
            </w:tcMar>
            <w:vAlign w:val="bottom"/>
          </w:tcPr>
          <w:p>
            <w:pPr>
              <w:pStyle w:val="TableContents"/>
              <w:spacing w:before="0" w:after="0"/>
              <w:jc w:val="right"/>
              <w:rPr/>
            </w:pPr>
            <w:r>
              <w:rPr/>
              <w:t>(3,422</w:t>
            </w:r>
          </w:p>
        </w:tc>
        <w:tc>
          <w:tcPr>
            <w:tcW w:w="107" w:type="dxa"/>
            <w:tcBorders/>
            <w:shd w:fill="FFFFFF" w:val="clear"/>
            <w:vAlign w:val="bottom"/>
          </w:tcPr>
          <w:p>
            <w:pPr>
              <w:pStyle w:val="TableContents"/>
              <w:spacing w:before="0" w:after="0"/>
              <w:rPr/>
            </w:pPr>
            <w:r>
              <w:rPr/>
              <w:t>)</w:t>
            </w:r>
          </w:p>
        </w:tc>
        <w:tc>
          <w:tcPr>
            <w:tcW w:w="68" w:type="dxa"/>
            <w:tcBorders/>
            <w:shd w:fill="FFFFFF" w:val="clear"/>
            <w:vAlign w:val="bottom"/>
          </w:tcPr>
          <w:p>
            <w:pPr>
              <w:pStyle w:val="TableContents"/>
              <w:spacing w:before="0" w:after="283"/>
              <w:rPr/>
            </w:pPr>
            <w:r>
              <w:rPr/>
              <w:t> </w:t>
            </w:r>
          </w:p>
        </w:tc>
        <w:tc>
          <w:tcPr>
            <w:tcW w:w="158" w:type="dxa"/>
            <w:tcBorders>
              <w:bottom w:val="double" w:sz="8" w:space="0" w:color="000000"/>
            </w:tcBorders>
            <w:shd w:fill="FFFFFF" w:val="clear"/>
            <w:tcMar>
              <w:bottom w:w="28" w:type="dxa"/>
            </w:tcMar>
            <w:vAlign w:val="bottom"/>
          </w:tcPr>
          <w:p>
            <w:pPr>
              <w:pStyle w:val="TableContents"/>
              <w:spacing w:before="0" w:after="0"/>
              <w:rPr/>
            </w:pPr>
            <w:r>
              <w:rPr/>
              <w:t>$</w:t>
            </w:r>
          </w:p>
        </w:tc>
        <w:tc>
          <w:tcPr>
            <w:tcW w:w="771" w:type="dxa"/>
            <w:tcBorders>
              <w:bottom w:val="double" w:sz="8" w:space="0" w:color="000000"/>
            </w:tcBorders>
            <w:shd w:fill="FFFFFF" w:val="clear"/>
            <w:tcMar>
              <w:bottom w:w="28" w:type="dxa"/>
            </w:tcMar>
            <w:vAlign w:val="bottom"/>
          </w:tcPr>
          <w:p>
            <w:pPr>
              <w:pStyle w:val="TableContents"/>
              <w:spacing w:before="0" w:after="0"/>
              <w:jc w:val="right"/>
              <w:rPr/>
            </w:pPr>
            <w:r>
              <w:rPr/>
              <w:t>(137</w:t>
            </w:r>
          </w:p>
        </w:tc>
        <w:tc>
          <w:tcPr>
            <w:tcW w:w="107" w:type="dxa"/>
            <w:tcBorders/>
            <w:shd w:fill="FFFFFF" w:val="clear"/>
            <w:vAlign w:val="bottom"/>
          </w:tcPr>
          <w:p>
            <w:pPr>
              <w:pStyle w:val="TableContents"/>
              <w:spacing w:before="0" w:after="0"/>
              <w:rPr/>
            </w:pPr>
            <w:r>
              <w:rPr/>
              <w:t>)</w:t>
            </w:r>
          </w:p>
        </w:tc>
        <w:tc>
          <w:tcPr>
            <w:tcW w:w="68" w:type="dxa"/>
            <w:tcBorders/>
            <w:shd w:fill="FFFFFF" w:val="clear"/>
            <w:vAlign w:val="bottom"/>
          </w:tcPr>
          <w:p>
            <w:pPr>
              <w:pStyle w:val="TableContents"/>
              <w:spacing w:before="0" w:after="283"/>
              <w:rPr/>
            </w:pPr>
            <w:r>
              <w:rPr/>
              <w:t> </w:t>
            </w:r>
          </w:p>
        </w:tc>
        <w:tc>
          <w:tcPr>
            <w:tcW w:w="158" w:type="dxa"/>
            <w:tcBorders>
              <w:bottom w:val="double" w:sz="8" w:space="0" w:color="000000"/>
            </w:tcBorders>
            <w:shd w:fill="FFFFFF" w:val="clear"/>
            <w:tcMar>
              <w:bottom w:w="28" w:type="dxa"/>
            </w:tcMar>
            <w:vAlign w:val="bottom"/>
          </w:tcPr>
          <w:p>
            <w:pPr>
              <w:pStyle w:val="TableContents"/>
              <w:spacing w:before="0" w:after="0"/>
              <w:rPr/>
            </w:pPr>
            <w:r>
              <w:rPr/>
              <w:t>$</w:t>
            </w:r>
          </w:p>
        </w:tc>
        <w:tc>
          <w:tcPr>
            <w:tcW w:w="771" w:type="dxa"/>
            <w:tcBorders>
              <w:bottom w:val="double" w:sz="8" w:space="0" w:color="000000"/>
            </w:tcBorders>
            <w:shd w:fill="FFFFFF" w:val="clear"/>
            <w:tcMar>
              <w:bottom w:w="28" w:type="dxa"/>
            </w:tcMar>
            <w:vAlign w:val="bottom"/>
          </w:tcPr>
          <w:p>
            <w:pPr>
              <w:pStyle w:val="TableContents"/>
              <w:spacing w:before="0" w:after="0"/>
              <w:jc w:val="right"/>
              <w:rPr/>
            </w:pPr>
            <w:r>
              <w:rPr/>
              <w:t>(6,113</w:t>
            </w:r>
          </w:p>
        </w:tc>
        <w:tc>
          <w:tcPr>
            <w:tcW w:w="107" w:type="dxa"/>
            <w:tcBorders/>
            <w:shd w:fill="FFFFFF" w:val="clear"/>
            <w:vAlign w:val="bottom"/>
          </w:tcPr>
          <w:p>
            <w:pPr>
              <w:pStyle w:val="TableContents"/>
              <w:spacing w:before="0" w:after="0"/>
              <w:rPr/>
            </w:pPr>
            <w:r>
              <w:rPr/>
              <w:t>)</w:t>
            </w:r>
          </w:p>
        </w:tc>
        <w:tc>
          <w:tcPr>
            <w:tcW w:w="68" w:type="dxa"/>
            <w:tcBorders/>
            <w:shd w:fill="FFFFFF" w:val="clear"/>
            <w:vAlign w:val="bottom"/>
          </w:tcPr>
          <w:p>
            <w:pPr>
              <w:pStyle w:val="TableContents"/>
              <w:spacing w:before="0" w:after="283"/>
              <w:rPr/>
            </w:pPr>
            <w:r>
              <w:rPr/>
              <w:t> </w:t>
            </w:r>
          </w:p>
        </w:tc>
        <w:tc>
          <w:tcPr>
            <w:tcW w:w="158" w:type="dxa"/>
            <w:tcBorders>
              <w:bottom w:val="double" w:sz="8" w:space="0" w:color="000000"/>
            </w:tcBorders>
            <w:shd w:fill="FFFFFF" w:val="clear"/>
            <w:tcMar>
              <w:bottom w:w="28" w:type="dxa"/>
            </w:tcMar>
            <w:vAlign w:val="bottom"/>
          </w:tcPr>
          <w:p>
            <w:pPr>
              <w:pStyle w:val="TableContents"/>
              <w:spacing w:before="0" w:after="0"/>
              <w:rPr/>
            </w:pPr>
            <w:r>
              <w:rPr/>
              <w:t>$</w:t>
            </w:r>
          </w:p>
        </w:tc>
        <w:tc>
          <w:tcPr>
            <w:tcW w:w="780" w:type="dxa"/>
            <w:tcBorders>
              <w:bottom w:val="double" w:sz="8" w:space="0" w:color="000000"/>
            </w:tcBorders>
            <w:shd w:fill="FFFFFF" w:val="clear"/>
            <w:tcMar>
              <w:bottom w:w="28" w:type="dxa"/>
            </w:tcMar>
            <w:vAlign w:val="bottom"/>
          </w:tcPr>
          <w:p>
            <w:pPr>
              <w:pStyle w:val="TableContents"/>
              <w:spacing w:before="0" w:after="0"/>
              <w:jc w:val="right"/>
              <w:rPr/>
            </w:pPr>
            <w:r>
              <w:rPr/>
              <w:t>892</w:t>
            </w:r>
          </w:p>
        </w:tc>
        <w:tc>
          <w:tcPr>
            <w:tcW w:w="60"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The fair value of our capitalized mortgage loan servicing rights has been determined based on a</w:t>
      </w:r>
      <w:r>
        <w:rPr>
          <w:color w:val="000000"/>
        </w:rPr>
        <w:t xml:space="preserve"> valuation model used by an independent third party</w:t>
      </w:r>
      <w:r>
        <w:rPr/>
        <w:t xml:space="preserve"> as discussed above.  The significant unobservable inputs used in the fair value measurement of the capitalized mortgage loan servicing rights are discount rate, cost to service, ancillary income and float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pStyle w:val="TextBody"/>
        <w:spacing w:before="0" w:after="0"/>
        <w:rPr/>
      </w:pPr>
      <w:r>
        <w:rPr/>
      </w:r>
    </w:p>
    <w:p>
      <w:pPr>
        <w:pStyle w:val="Normal"/>
        <w:spacing w:before="0" w:after="0"/>
        <w:rPr>
          <w:sz w:val="4"/>
          <w:szCs w:val="4"/>
        </w:rPr>
      </w:pPr>
      <w:r>
        <w:rPr>
          <w:sz w:val="4"/>
          <w:szCs w:val="4"/>
        </w:rPr>
      </w:r>
      <w:bookmarkStart w:id="509" w:name="z04adce5d4ed94e6cbbc05ca0467e0eec"/>
      <w:bookmarkStart w:id="510" w:name="z04adce5d4ed94e6cbbc05ca0467e0eec"/>
      <w:bookmarkEnd w:id="510"/>
    </w:p>
    <w:tbl>
      <w:tblPr>
        <w:tblW w:w="10205" w:type="dxa"/>
        <w:jc w:val="left"/>
        <w:tblInd w:w="0" w:type="dxa"/>
        <w:tblCellMar>
          <w:top w:w="0" w:type="dxa"/>
          <w:left w:w="0" w:type="dxa"/>
          <w:bottom w:w="0" w:type="dxa"/>
          <w:right w:w="0" w:type="dxa"/>
        </w:tblCellMar>
      </w:tblPr>
      <w:tblGrid>
        <w:gridCol w:w="2972"/>
        <w:gridCol w:w="60"/>
        <w:gridCol w:w="140"/>
        <w:gridCol w:w="680"/>
        <w:gridCol w:w="60"/>
        <w:gridCol w:w="1589"/>
        <w:gridCol w:w="60"/>
        <w:gridCol w:w="1547"/>
        <w:gridCol w:w="60"/>
        <w:gridCol w:w="348"/>
        <w:gridCol w:w="1247"/>
        <w:gridCol w:w="215"/>
        <w:gridCol w:w="60"/>
        <w:gridCol w:w="187"/>
        <w:gridCol w:w="748"/>
        <w:gridCol w:w="232"/>
      </w:tblGrid>
      <w:tr>
        <w:trPr/>
        <w:tc>
          <w:tcPr>
            <w:tcW w:w="29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Asset</w:t>
            </w:r>
          </w:p>
          <w:p>
            <w:pPr>
              <w:pStyle w:val="TableContents"/>
              <w:spacing w:before="0" w:after="0"/>
              <w:jc w:val="center"/>
              <w:rPr/>
            </w:pPr>
            <w:r>
              <w:rPr/>
              <w:t>Fair</w:t>
            </w:r>
          </w:p>
          <w:p>
            <w:pPr>
              <w:pStyle w:val="TableContents"/>
              <w:spacing w:before="0" w:after="0"/>
              <w:jc w:val="center"/>
              <w:rPr/>
            </w:pPr>
            <w:r>
              <w:rPr/>
              <w:t>Value</w:t>
            </w:r>
          </w:p>
        </w:tc>
        <w:tc>
          <w:tcPr>
            <w:tcW w:w="60" w:type="dxa"/>
            <w:tcBorders/>
            <w:shd w:fill="auto" w:val="clear"/>
            <w:vAlign w:val="bottom"/>
          </w:tcPr>
          <w:p>
            <w:pPr>
              <w:pStyle w:val="TableContents"/>
              <w:spacing w:before="0" w:after="283"/>
              <w:rPr/>
            </w:pPr>
            <w:r>
              <w:rPr/>
              <w:t> </w:t>
            </w:r>
          </w:p>
        </w:tc>
        <w:tc>
          <w:tcPr>
            <w:tcW w:w="1589" w:type="dxa"/>
            <w:tcBorders>
              <w:bottom w:val="single" w:sz="12" w:space="0" w:color="000000"/>
            </w:tcBorders>
            <w:shd w:fill="auto" w:val="clear"/>
            <w:tcMar>
              <w:bottom w:w="28" w:type="dxa"/>
            </w:tcMar>
            <w:vAlign w:val="bottom"/>
          </w:tcPr>
          <w:p>
            <w:pPr>
              <w:pStyle w:val="TableContents"/>
              <w:spacing w:before="0" w:after="0"/>
              <w:jc w:val="center"/>
              <w:rPr/>
            </w:pPr>
            <w:r>
              <w:rPr/>
              <w:t>Valuation</w:t>
            </w:r>
          </w:p>
          <w:p>
            <w:pPr>
              <w:pStyle w:val="TableContents"/>
              <w:spacing w:before="0" w:after="0"/>
              <w:jc w:val="center"/>
              <w:rPr/>
            </w:pPr>
            <w:r>
              <w:rPr/>
              <w:t>Technique</w:t>
            </w:r>
          </w:p>
        </w:tc>
        <w:tc>
          <w:tcPr>
            <w:tcW w:w="60" w:type="dxa"/>
            <w:tcBorders/>
            <w:shd w:fill="auto" w:val="clear"/>
            <w:vAlign w:val="bottom"/>
          </w:tcPr>
          <w:p>
            <w:pPr>
              <w:pStyle w:val="TableContents"/>
              <w:spacing w:before="0" w:after="283"/>
              <w:rPr/>
            </w:pPr>
            <w:r>
              <w:rPr/>
              <w:t> </w:t>
            </w:r>
          </w:p>
        </w:tc>
        <w:tc>
          <w:tcPr>
            <w:tcW w:w="1547" w:type="dxa"/>
            <w:tcBorders>
              <w:bottom w:val="single" w:sz="12" w:space="0" w:color="000000"/>
            </w:tcBorders>
            <w:shd w:fill="auto" w:val="clear"/>
            <w:tcMar>
              <w:bottom w:w="28" w:type="dxa"/>
            </w:tcMar>
            <w:vAlign w:val="bottom"/>
          </w:tcPr>
          <w:p>
            <w:pPr>
              <w:pStyle w:val="TableContents"/>
              <w:spacing w:before="0" w:after="0"/>
              <w:jc w:val="center"/>
              <w:rPr/>
            </w:pPr>
            <w:r>
              <w:rPr/>
              <w:t>Unobservable</w:t>
            </w:r>
          </w:p>
          <w:p>
            <w:pPr>
              <w:pStyle w:val="TableContents"/>
              <w:spacing w:before="0" w:after="0"/>
              <w:jc w:val="center"/>
              <w:rPr/>
            </w:pPr>
            <w:r>
              <w:rPr/>
              <w:t>Inputs</w:t>
            </w:r>
          </w:p>
        </w:tc>
        <w:tc>
          <w:tcPr>
            <w:tcW w:w="60" w:type="dxa"/>
            <w:tcBorders/>
            <w:shd w:fill="auto" w:val="clear"/>
            <w:vAlign w:val="bottom"/>
          </w:tcPr>
          <w:p>
            <w:pPr>
              <w:pStyle w:val="TableContents"/>
              <w:spacing w:before="0" w:after="283"/>
              <w:rPr/>
            </w:pPr>
            <w:r>
              <w:rPr/>
              <w:t> </w:t>
            </w:r>
          </w:p>
        </w:tc>
        <w:tc>
          <w:tcPr>
            <w:tcW w:w="1595" w:type="dxa"/>
            <w:gridSpan w:val="2"/>
            <w:tcBorders>
              <w:bottom w:val="single" w:sz="12" w:space="0" w:color="000000"/>
            </w:tcBorders>
            <w:shd w:fill="auto" w:val="clear"/>
            <w:tcMar>
              <w:bottom w:w="28" w:type="dxa"/>
            </w:tcMar>
            <w:vAlign w:val="bottom"/>
          </w:tcPr>
          <w:p>
            <w:pPr>
              <w:pStyle w:val="TableContents"/>
              <w:spacing w:before="0" w:after="0"/>
              <w:jc w:val="center"/>
              <w:rPr/>
            </w:pPr>
            <w:r>
              <w:rPr/>
              <w:t>Range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pPr>
            <w:r>
              <w:rPr/>
              <w:t>Weighted</w:t>
            </w:r>
          </w:p>
          <w:p>
            <w:pPr>
              <w:pStyle w:val="TableContents"/>
              <w:spacing w:before="0" w:after="0"/>
              <w:jc w:val="center"/>
              <w:rPr/>
            </w:pPr>
            <w:r>
              <w:rPr/>
              <w:t>Average</w:t>
            </w:r>
          </w:p>
        </w:tc>
        <w:tc>
          <w:tcPr>
            <w:tcW w:w="232" w:type="dxa"/>
            <w:tcBorders/>
            <w:shd w:fill="auto" w:val="clear"/>
            <w:vAlign w:val="bottom"/>
          </w:tcPr>
          <w:p>
            <w:pPr>
              <w:pStyle w:val="TableContents"/>
              <w:spacing w:before="0" w:after="283"/>
              <w:rPr/>
            </w:pPr>
            <w:r>
              <w:rPr/>
              <w:t> </w:t>
            </w:r>
          </w:p>
        </w:tc>
      </w:tr>
      <w:tr>
        <w:trPr/>
        <w:tc>
          <w:tcPr>
            <w:tcW w:w="29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69" w:type="dxa"/>
            <w:gridSpan w:val="4"/>
            <w:tcBorders/>
            <w:shd w:fill="auto" w:val="clear"/>
            <w:vAlign w:val="bottom"/>
          </w:tcPr>
          <w:p>
            <w:pPr>
              <w:pStyle w:val="TableContents"/>
              <w:spacing w:before="0" w:after="0"/>
              <w:rPr/>
            </w:pPr>
            <w:r>
              <w:rPr/>
              <w:t>(In thousands)</w:t>
            </w:r>
          </w:p>
        </w:tc>
        <w:tc>
          <w:tcPr>
            <w:tcW w:w="60" w:type="dxa"/>
            <w:tcBorders/>
            <w:shd w:fill="auto" w:val="clear"/>
            <w:vAlign w:val="bottom"/>
          </w:tcPr>
          <w:p>
            <w:pPr>
              <w:pStyle w:val="TableContents"/>
              <w:spacing w:before="0" w:after="283"/>
              <w:rPr/>
            </w:pPr>
            <w:r>
              <w:rPr/>
              <w:t> </w:t>
            </w:r>
          </w:p>
        </w:tc>
        <w:tc>
          <w:tcPr>
            <w:tcW w:w="15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2972" w:type="dxa"/>
            <w:tcBorders/>
            <w:shd w:fill="auto" w:val="clear"/>
            <w:vAlign w:val="bottom"/>
          </w:tcPr>
          <w:p>
            <w:pPr>
              <w:pStyle w:val="TableContents"/>
              <w:spacing w:before="0" w:after="0"/>
              <w:ind w:left="144" w:right="0" w:hanging="144"/>
              <w:rPr>
                <w:color w:val="000000"/>
              </w:rPr>
            </w:pPr>
            <w:r>
              <w:rPr>
                <w:color w:val="000000"/>
              </w:rPr>
              <w:t>June 30, 2019</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r>
      <w:tr>
        <w:trPr/>
        <w:tc>
          <w:tcPr>
            <w:tcW w:w="2972" w:type="dxa"/>
            <w:tcBorders/>
            <w:shd w:fill="CCEEFF" w:val="clear"/>
            <w:vAlign w:val="bottom"/>
          </w:tcPr>
          <w:p>
            <w:pPr>
              <w:pStyle w:val="TableContents"/>
              <w:spacing w:before="0" w:after="0"/>
              <w:ind w:left="324" w:right="0" w:hanging="144"/>
              <w:rPr/>
            </w:pPr>
            <w:r>
              <w:rPr>
                <w:color w:val="000000"/>
              </w:rPr>
              <w:t>Capitalized mortgage</w:t>
            </w:r>
            <w:r>
              <w:rPr/>
              <w:t xml:space="preserve"> loan servicing rights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17,894</w:t>
            </w:r>
          </w:p>
        </w:tc>
        <w:tc>
          <w:tcPr>
            <w:tcW w:w="60" w:type="dxa"/>
            <w:tcBorders/>
            <w:shd w:fill="CCEEFF" w:val="clear"/>
            <w:vAlign w:val="bottom"/>
          </w:tcPr>
          <w:p>
            <w:pPr>
              <w:pStyle w:val="TableContents"/>
              <w:spacing w:before="0" w:after="283"/>
              <w:rPr/>
            </w:pPr>
            <w:r>
              <w:rPr/>
              <w:t> </w:t>
            </w:r>
          </w:p>
        </w:tc>
        <w:tc>
          <w:tcPr>
            <w:tcW w:w="1589" w:type="dxa"/>
            <w:tcBorders/>
            <w:shd w:fill="CCEEFF" w:val="clear"/>
            <w:vAlign w:val="bottom"/>
          </w:tcPr>
          <w:p>
            <w:pPr>
              <w:pStyle w:val="TableContents"/>
              <w:spacing w:before="0" w:after="0"/>
              <w:rPr/>
            </w:pPr>
            <w:r>
              <w:rPr/>
              <w:t>Present value of net</w:t>
            </w:r>
          </w:p>
        </w:tc>
        <w:tc>
          <w:tcPr>
            <w:tcW w:w="60" w:type="dxa"/>
            <w:tcBorders/>
            <w:shd w:fill="CCEEFF" w:val="clear"/>
            <w:vAlign w:val="bottom"/>
          </w:tcPr>
          <w:p>
            <w:pPr>
              <w:pStyle w:val="TableContents"/>
              <w:spacing w:before="0" w:after="283"/>
              <w:rPr/>
            </w:pPr>
            <w:r>
              <w:rPr/>
              <w:t> </w:t>
            </w:r>
          </w:p>
        </w:tc>
        <w:tc>
          <w:tcPr>
            <w:tcW w:w="1547" w:type="dxa"/>
            <w:tcBorders/>
            <w:shd w:fill="CCEEFF" w:val="clear"/>
            <w:vAlign w:val="bottom"/>
          </w:tcPr>
          <w:p>
            <w:pPr>
              <w:pStyle w:val="TableContents"/>
              <w:spacing w:before="0" w:after="0"/>
              <w:rPr/>
            </w:pPr>
            <w:r>
              <w:rPr/>
              <w:t>Discount rate</w:t>
            </w:r>
          </w:p>
        </w:tc>
        <w:tc>
          <w:tcPr>
            <w:tcW w:w="60" w:type="dxa"/>
            <w:tcBorders/>
            <w:shd w:fill="CCEEFF" w:val="clear"/>
            <w:vAlign w:val="bottom"/>
          </w:tcPr>
          <w:p>
            <w:pPr>
              <w:pStyle w:val="TableContents"/>
              <w:spacing w:before="0" w:after="283"/>
              <w:rPr/>
            </w:pPr>
            <w:r>
              <w:rPr/>
              <w:t> </w:t>
            </w:r>
          </w:p>
        </w:tc>
        <w:tc>
          <w:tcPr>
            <w:tcW w:w="1595" w:type="dxa"/>
            <w:gridSpan w:val="2"/>
            <w:tcBorders/>
            <w:shd w:fill="CCEEFF" w:val="clear"/>
            <w:vAlign w:val="center"/>
          </w:tcPr>
          <w:p>
            <w:pPr>
              <w:pStyle w:val="TableContents"/>
              <w:spacing w:before="0" w:after="0"/>
              <w:jc w:val="right"/>
              <w:rPr/>
            </w:pPr>
            <w:r>
              <w:rPr/>
              <w:t>10.00% to 13.00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0"/>
              <w:jc w:val="right"/>
              <w:rPr/>
            </w:pPr>
            <w:r>
              <w:rPr/>
              <w:t>10.14</w:t>
            </w:r>
          </w:p>
        </w:tc>
        <w:tc>
          <w:tcPr>
            <w:tcW w:w="232" w:type="dxa"/>
            <w:tcBorders/>
            <w:shd w:fill="CCEEFF" w:val="clear"/>
            <w:vAlign w:val="bottom"/>
          </w:tcPr>
          <w:p>
            <w:pPr>
              <w:pStyle w:val="TableContents"/>
              <w:spacing w:before="0" w:after="0"/>
              <w:rPr/>
            </w:pPr>
            <w:r>
              <w:rPr/>
              <w:t>%</w:t>
            </w:r>
          </w:p>
        </w:tc>
      </w:tr>
      <w:tr>
        <w:trPr/>
        <w:tc>
          <w:tcPr>
            <w:tcW w:w="2972"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1589" w:type="dxa"/>
            <w:tcBorders/>
            <w:shd w:fill="FFFFFF" w:val="clear"/>
            <w:vAlign w:val="bottom"/>
          </w:tcPr>
          <w:p>
            <w:pPr>
              <w:pStyle w:val="TableContents"/>
              <w:spacing w:before="0" w:after="0"/>
              <w:ind w:left="180" w:right="0" w:hanging="0"/>
              <w:rPr/>
            </w:pPr>
            <w:r>
              <w:rPr/>
              <w:t>servicing revenue</w:t>
            </w:r>
          </w:p>
        </w:tc>
        <w:tc>
          <w:tcPr>
            <w:tcW w:w="60" w:type="dxa"/>
            <w:tcBorders/>
            <w:shd w:fill="FFFFFF" w:val="clear"/>
            <w:vAlign w:val="bottom"/>
          </w:tcPr>
          <w:p>
            <w:pPr>
              <w:pStyle w:val="TableContents"/>
              <w:spacing w:before="0" w:after="283"/>
              <w:rPr/>
            </w:pPr>
            <w:r>
              <w:rPr/>
              <w:t> </w:t>
            </w:r>
          </w:p>
        </w:tc>
        <w:tc>
          <w:tcPr>
            <w:tcW w:w="1547" w:type="dxa"/>
            <w:tcBorders/>
            <w:shd w:fill="FFFFFF" w:val="clear"/>
            <w:vAlign w:val="bottom"/>
          </w:tcPr>
          <w:p>
            <w:pPr>
              <w:pStyle w:val="TableContents"/>
              <w:spacing w:before="0" w:after="0"/>
              <w:rPr/>
            </w:pPr>
            <w:r>
              <w:rPr/>
              <w:t>Cost to service</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0"/>
              <w:rPr/>
            </w:pPr>
            <w:r>
              <w:rPr/>
              <w:t>$</w:t>
            </w:r>
          </w:p>
        </w:tc>
        <w:tc>
          <w:tcPr>
            <w:tcW w:w="1247" w:type="dxa"/>
            <w:tcBorders/>
            <w:shd w:fill="FFFFFF" w:val="clear"/>
            <w:vAlign w:val="bottom"/>
          </w:tcPr>
          <w:p>
            <w:pPr>
              <w:pStyle w:val="TableContents"/>
              <w:spacing w:before="0" w:after="0"/>
              <w:jc w:val="right"/>
              <w:rPr/>
            </w:pPr>
            <w:r>
              <w:rPr/>
              <w:t>66 to $216</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0"/>
              <w:rPr/>
            </w:pPr>
            <w:r>
              <w:rPr/>
              <w:t>$</w:t>
            </w:r>
          </w:p>
        </w:tc>
        <w:tc>
          <w:tcPr>
            <w:tcW w:w="748" w:type="dxa"/>
            <w:tcBorders/>
            <w:shd w:fill="FFFFFF" w:val="clear"/>
            <w:vAlign w:val="bottom"/>
          </w:tcPr>
          <w:p>
            <w:pPr>
              <w:pStyle w:val="TableContents"/>
              <w:spacing w:before="0" w:after="0"/>
              <w:jc w:val="right"/>
              <w:rPr/>
            </w:pPr>
            <w:r>
              <w:rPr/>
              <w:t>80</w:t>
            </w:r>
          </w:p>
        </w:tc>
        <w:tc>
          <w:tcPr>
            <w:tcW w:w="232" w:type="dxa"/>
            <w:tcBorders/>
            <w:shd w:fill="FFFFFF" w:val="clear"/>
            <w:vAlign w:val="bottom"/>
          </w:tcPr>
          <w:p>
            <w:pPr>
              <w:pStyle w:val="TableContents"/>
              <w:spacing w:before="0" w:after="283"/>
              <w:rPr/>
            </w:pPr>
            <w:r>
              <w:rPr/>
              <w:t> </w:t>
            </w:r>
          </w:p>
        </w:tc>
      </w:tr>
      <w:tr>
        <w:trPr/>
        <w:tc>
          <w:tcPr>
            <w:tcW w:w="297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7" w:type="dxa"/>
            <w:tcBorders/>
            <w:shd w:fill="CCEEFF" w:val="clear"/>
            <w:vAlign w:val="bottom"/>
          </w:tcPr>
          <w:p>
            <w:pPr>
              <w:pStyle w:val="TableContents"/>
              <w:spacing w:before="0" w:after="0"/>
              <w:rPr/>
            </w:pPr>
            <w:r>
              <w:rPr/>
              <w:t>Ancillary income</w:t>
            </w:r>
          </w:p>
        </w:tc>
        <w:tc>
          <w:tcPr>
            <w:tcW w:w="60" w:type="dxa"/>
            <w:tcBorders/>
            <w:shd w:fill="CCEEFF" w:val="clear"/>
            <w:vAlign w:val="bottom"/>
          </w:tcPr>
          <w:p>
            <w:pPr>
              <w:pStyle w:val="TableContents"/>
              <w:spacing w:before="0" w:after="283"/>
              <w:rPr/>
            </w:pPr>
            <w:r>
              <w:rPr/>
              <w:t> </w:t>
            </w:r>
          </w:p>
        </w:tc>
        <w:tc>
          <w:tcPr>
            <w:tcW w:w="1595" w:type="dxa"/>
            <w:gridSpan w:val="2"/>
            <w:tcBorders/>
            <w:shd w:fill="CCEEFF" w:val="clear"/>
            <w:vAlign w:val="bottom"/>
          </w:tcPr>
          <w:p>
            <w:pPr>
              <w:pStyle w:val="TableContents"/>
              <w:spacing w:before="0" w:after="0"/>
              <w:jc w:val="right"/>
              <w:rPr/>
            </w:pPr>
            <w:r>
              <w:rPr/>
              <w:t>20 to 36</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0"/>
              <w:jc w:val="right"/>
              <w:rPr/>
            </w:pPr>
            <w:r>
              <w:rPr/>
              <w:t>22</w:t>
            </w:r>
          </w:p>
        </w:tc>
        <w:tc>
          <w:tcPr>
            <w:tcW w:w="232" w:type="dxa"/>
            <w:tcBorders/>
            <w:shd w:fill="CCEEFF" w:val="clear"/>
            <w:vAlign w:val="bottom"/>
          </w:tcPr>
          <w:p>
            <w:pPr>
              <w:pStyle w:val="TableContents"/>
              <w:spacing w:before="0" w:after="283"/>
              <w:rPr/>
            </w:pPr>
            <w:r>
              <w:rPr/>
              <w:t> </w:t>
            </w:r>
          </w:p>
        </w:tc>
      </w:tr>
      <w:tr>
        <w:trPr/>
        <w:tc>
          <w:tcPr>
            <w:tcW w:w="2972"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1589"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7" w:type="dxa"/>
            <w:tcBorders/>
            <w:shd w:fill="FFFFFF" w:val="clear"/>
            <w:vAlign w:val="bottom"/>
          </w:tcPr>
          <w:p>
            <w:pPr>
              <w:pStyle w:val="TableContents"/>
              <w:spacing w:before="0" w:after="0"/>
              <w:rPr/>
            </w:pPr>
            <w:r>
              <w:rPr/>
              <w:t>Float rate</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0"/>
              <w:jc w:val="right"/>
              <w:rPr/>
            </w:pPr>
            <w:r>
              <w:rPr/>
              <w:t>1.77</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748" w:type="dxa"/>
            <w:tcBorders/>
            <w:shd w:fill="FFFFFF" w:val="clear"/>
            <w:vAlign w:val="bottom"/>
          </w:tcPr>
          <w:p>
            <w:pPr>
              <w:pStyle w:val="TableContents"/>
              <w:spacing w:before="0" w:after="0"/>
              <w:jc w:val="right"/>
              <w:rPr/>
            </w:pPr>
            <w:r>
              <w:rPr/>
              <w:t>1.77</w:t>
            </w:r>
          </w:p>
        </w:tc>
        <w:tc>
          <w:tcPr>
            <w:tcW w:w="232" w:type="dxa"/>
            <w:tcBorders/>
            <w:shd w:fill="FFFFFF" w:val="clear"/>
            <w:vAlign w:val="bottom"/>
          </w:tcPr>
          <w:p>
            <w:pPr>
              <w:pStyle w:val="TableContents"/>
              <w:spacing w:before="0" w:after="0"/>
              <w:rPr/>
            </w:pPr>
            <w:r>
              <w:rPr/>
              <w:t>%</w:t>
            </w:r>
          </w:p>
        </w:tc>
      </w:tr>
      <w:tr>
        <w:trPr/>
        <w:tc>
          <w:tcPr>
            <w:tcW w:w="297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47"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pPr>
            <w:r>
              <w:rPr/>
              <w:t> </w:t>
            </w:r>
          </w:p>
        </w:tc>
        <w:tc>
          <w:tcPr>
            <w:tcW w:w="232" w:type="dxa"/>
            <w:tcBorders/>
            <w:shd w:fill="CCEEFF" w:val="clear"/>
            <w:vAlign w:val="bottom"/>
          </w:tcPr>
          <w:p>
            <w:pPr>
              <w:pStyle w:val="TableContents"/>
              <w:spacing w:before="0" w:after="283"/>
              <w:rPr/>
            </w:pPr>
            <w:r>
              <w:rPr/>
              <w:t> </w:t>
            </w:r>
          </w:p>
        </w:tc>
      </w:tr>
      <w:tr>
        <w:trPr/>
        <w:tc>
          <w:tcPr>
            <w:tcW w:w="2972" w:type="dxa"/>
            <w:tcBorders/>
            <w:shd w:fill="FFFFFF" w:val="clear"/>
            <w:vAlign w:val="bottom"/>
          </w:tcPr>
          <w:p>
            <w:pPr>
              <w:pStyle w:val="TableContents"/>
              <w:spacing w:before="0" w:after="0"/>
              <w:ind w:left="144" w:right="0" w:hanging="144"/>
              <w:rPr>
                <w:color w:val="000000"/>
              </w:rPr>
            </w:pPr>
            <w:r>
              <w:rPr>
                <w:color w:val="000000"/>
              </w:rPr>
              <w:t>December 31, 2018</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1589"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7"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748" w:type="dxa"/>
            <w:tcBorders/>
            <w:shd w:fill="FFFFFF" w:val="clear"/>
            <w:vAlign w:val="bottom"/>
          </w:tcPr>
          <w:p>
            <w:pPr>
              <w:pStyle w:val="TableContents"/>
              <w:spacing w:before="0" w:after="283"/>
              <w:jc w:val="right"/>
              <w:rPr/>
            </w:pPr>
            <w:r>
              <w:rPr/>
              <w:t> </w:t>
            </w:r>
          </w:p>
        </w:tc>
        <w:tc>
          <w:tcPr>
            <w:tcW w:w="232" w:type="dxa"/>
            <w:tcBorders/>
            <w:shd w:fill="FFFFFF" w:val="clear"/>
            <w:vAlign w:val="bottom"/>
          </w:tcPr>
          <w:p>
            <w:pPr>
              <w:pStyle w:val="TableContents"/>
              <w:spacing w:before="0" w:after="283"/>
              <w:rPr/>
            </w:pPr>
            <w:r>
              <w:rPr/>
              <w:t> </w:t>
            </w:r>
          </w:p>
        </w:tc>
      </w:tr>
      <w:tr>
        <w:trPr/>
        <w:tc>
          <w:tcPr>
            <w:tcW w:w="2972" w:type="dxa"/>
            <w:tcBorders/>
            <w:shd w:fill="CCEEFF" w:val="clear"/>
            <w:vAlign w:val="bottom"/>
          </w:tcPr>
          <w:p>
            <w:pPr>
              <w:pStyle w:val="TableContents"/>
              <w:spacing w:before="0" w:after="0"/>
              <w:ind w:left="324" w:right="0" w:hanging="144"/>
              <w:rPr/>
            </w:pPr>
            <w:r>
              <w:rPr>
                <w:color w:val="000000"/>
              </w:rPr>
              <w:t>Capitalized mortgage</w:t>
            </w:r>
            <w:r>
              <w:rPr/>
              <w:t xml:space="preserve"> loan servicing rights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21,400</w:t>
            </w:r>
          </w:p>
        </w:tc>
        <w:tc>
          <w:tcPr>
            <w:tcW w:w="60" w:type="dxa"/>
            <w:tcBorders/>
            <w:shd w:fill="CCEEFF" w:val="clear"/>
            <w:vAlign w:val="bottom"/>
          </w:tcPr>
          <w:p>
            <w:pPr>
              <w:pStyle w:val="TableContents"/>
              <w:spacing w:before="0" w:after="283"/>
              <w:rPr/>
            </w:pPr>
            <w:r>
              <w:rPr/>
              <w:t> </w:t>
            </w:r>
          </w:p>
        </w:tc>
        <w:tc>
          <w:tcPr>
            <w:tcW w:w="1589" w:type="dxa"/>
            <w:tcBorders/>
            <w:shd w:fill="CCEEFF" w:val="clear"/>
            <w:vAlign w:val="bottom"/>
          </w:tcPr>
          <w:p>
            <w:pPr>
              <w:pStyle w:val="TableContents"/>
              <w:spacing w:before="0" w:after="0"/>
              <w:rPr/>
            </w:pPr>
            <w:r>
              <w:rPr/>
              <w:t>Present value of net</w:t>
            </w:r>
          </w:p>
        </w:tc>
        <w:tc>
          <w:tcPr>
            <w:tcW w:w="60" w:type="dxa"/>
            <w:tcBorders/>
            <w:shd w:fill="CCEEFF" w:val="clear"/>
            <w:vAlign w:val="bottom"/>
          </w:tcPr>
          <w:p>
            <w:pPr>
              <w:pStyle w:val="TableContents"/>
              <w:spacing w:before="0" w:after="283"/>
              <w:rPr/>
            </w:pPr>
            <w:r>
              <w:rPr/>
              <w:t> </w:t>
            </w:r>
          </w:p>
        </w:tc>
        <w:tc>
          <w:tcPr>
            <w:tcW w:w="1547" w:type="dxa"/>
            <w:tcBorders/>
            <w:shd w:fill="CCEEFF" w:val="clear"/>
            <w:vAlign w:val="bottom"/>
          </w:tcPr>
          <w:p>
            <w:pPr>
              <w:pStyle w:val="TableContents"/>
              <w:spacing w:before="0" w:after="0"/>
              <w:rPr/>
            </w:pPr>
            <w:r>
              <w:rPr/>
              <w:t>Discount rate</w:t>
            </w:r>
          </w:p>
        </w:tc>
        <w:tc>
          <w:tcPr>
            <w:tcW w:w="60" w:type="dxa"/>
            <w:tcBorders/>
            <w:shd w:fill="CCEEFF" w:val="clear"/>
            <w:vAlign w:val="bottom"/>
          </w:tcPr>
          <w:p>
            <w:pPr>
              <w:pStyle w:val="TableContents"/>
              <w:spacing w:before="0" w:after="283"/>
              <w:rPr/>
            </w:pPr>
            <w:r>
              <w:rPr/>
              <w:t> </w:t>
            </w:r>
          </w:p>
        </w:tc>
        <w:tc>
          <w:tcPr>
            <w:tcW w:w="1595" w:type="dxa"/>
            <w:gridSpan w:val="2"/>
            <w:tcBorders/>
            <w:shd w:fill="CCEEFF" w:val="clear"/>
            <w:vAlign w:val="bottom"/>
          </w:tcPr>
          <w:p>
            <w:pPr>
              <w:pStyle w:val="TableContents"/>
              <w:spacing w:before="0" w:after="0"/>
              <w:jc w:val="right"/>
              <w:rPr/>
            </w:pPr>
            <w:r>
              <w:rPr/>
              <w:t>10.00% to 13.00</w:t>
            </w:r>
          </w:p>
        </w:tc>
        <w:tc>
          <w:tcPr>
            <w:tcW w:w="21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0"/>
              <w:jc w:val="right"/>
              <w:rPr/>
            </w:pPr>
            <w:r>
              <w:rPr/>
              <w:t>10.15</w:t>
            </w:r>
          </w:p>
        </w:tc>
        <w:tc>
          <w:tcPr>
            <w:tcW w:w="232" w:type="dxa"/>
            <w:tcBorders/>
            <w:shd w:fill="CCEEFF" w:val="clear"/>
            <w:vAlign w:val="bottom"/>
          </w:tcPr>
          <w:p>
            <w:pPr>
              <w:pStyle w:val="TableContents"/>
              <w:spacing w:before="0" w:after="0"/>
              <w:rPr/>
            </w:pPr>
            <w:r>
              <w:rPr/>
              <w:t>%</w:t>
            </w:r>
          </w:p>
        </w:tc>
      </w:tr>
      <w:tr>
        <w:trPr/>
        <w:tc>
          <w:tcPr>
            <w:tcW w:w="2972"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1589" w:type="dxa"/>
            <w:tcBorders/>
            <w:shd w:fill="FFFFFF" w:val="clear"/>
            <w:vAlign w:val="bottom"/>
          </w:tcPr>
          <w:p>
            <w:pPr>
              <w:pStyle w:val="TableContents"/>
              <w:spacing w:before="0" w:after="0"/>
              <w:ind w:left="180" w:right="0" w:hanging="0"/>
              <w:rPr/>
            </w:pPr>
            <w:r>
              <w:rPr/>
              <w:t>servicing revenue</w:t>
            </w:r>
          </w:p>
        </w:tc>
        <w:tc>
          <w:tcPr>
            <w:tcW w:w="60" w:type="dxa"/>
            <w:tcBorders/>
            <w:shd w:fill="FFFFFF" w:val="clear"/>
            <w:vAlign w:val="bottom"/>
          </w:tcPr>
          <w:p>
            <w:pPr>
              <w:pStyle w:val="TableContents"/>
              <w:spacing w:before="0" w:after="283"/>
              <w:rPr/>
            </w:pPr>
            <w:r>
              <w:rPr/>
              <w:t> </w:t>
            </w:r>
          </w:p>
        </w:tc>
        <w:tc>
          <w:tcPr>
            <w:tcW w:w="1547" w:type="dxa"/>
            <w:tcBorders/>
            <w:shd w:fill="FFFFFF" w:val="clear"/>
            <w:vAlign w:val="bottom"/>
          </w:tcPr>
          <w:p>
            <w:pPr>
              <w:pStyle w:val="TableContents"/>
              <w:spacing w:before="0" w:after="0"/>
              <w:rPr/>
            </w:pPr>
            <w:r>
              <w:rPr/>
              <w:t>Cost to service</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0"/>
              <w:rPr/>
            </w:pPr>
            <w:r>
              <w:rPr/>
              <w:t>$</w:t>
            </w:r>
          </w:p>
        </w:tc>
        <w:tc>
          <w:tcPr>
            <w:tcW w:w="1247" w:type="dxa"/>
            <w:tcBorders/>
            <w:shd w:fill="FFFFFF" w:val="clear"/>
            <w:vAlign w:val="bottom"/>
          </w:tcPr>
          <w:p>
            <w:pPr>
              <w:pStyle w:val="TableContents"/>
              <w:spacing w:before="0" w:after="0"/>
              <w:jc w:val="right"/>
              <w:rPr/>
            </w:pPr>
            <w:r>
              <w:rPr/>
              <w:t>68 to $216</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0"/>
              <w:rPr/>
            </w:pPr>
            <w:r>
              <w:rPr/>
              <w:t>$</w:t>
            </w:r>
          </w:p>
        </w:tc>
        <w:tc>
          <w:tcPr>
            <w:tcW w:w="748" w:type="dxa"/>
            <w:tcBorders/>
            <w:shd w:fill="FFFFFF" w:val="clear"/>
            <w:vAlign w:val="bottom"/>
          </w:tcPr>
          <w:p>
            <w:pPr>
              <w:pStyle w:val="TableContents"/>
              <w:spacing w:before="0" w:after="0"/>
              <w:jc w:val="right"/>
              <w:rPr/>
            </w:pPr>
            <w:r>
              <w:rPr/>
              <w:t>81</w:t>
            </w:r>
          </w:p>
        </w:tc>
        <w:tc>
          <w:tcPr>
            <w:tcW w:w="232" w:type="dxa"/>
            <w:tcBorders/>
            <w:shd w:fill="FFFFFF" w:val="clear"/>
            <w:vAlign w:val="bottom"/>
          </w:tcPr>
          <w:p>
            <w:pPr>
              <w:pStyle w:val="TableContents"/>
              <w:spacing w:before="0" w:after="283"/>
              <w:rPr/>
            </w:pPr>
            <w:r>
              <w:rPr/>
              <w:t> </w:t>
            </w:r>
          </w:p>
        </w:tc>
      </w:tr>
      <w:tr>
        <w:trPr/>
        <w:tc>
          <w:tcPr>
            <w:tcW w:w="297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8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7" w:type="dxa"/>
            <w:tcBorders/>
            <w:shd w:fill="CCEEFF" w:val="clear"/>
            <w:vAlign w:val="bottom"/>
          </w:tcPr>
          <w:p>
            <w:pPr>
              <w:pStyle w:val="TableContents"/>
              <w:spacing w:before="0" w:after="0"/>
              <w:rPr/>
            </w:pPr>
            <w:r>
              <w:rPr/>
              <w:t>Ancillary income</w:t>
            </w:r>
          </w:p>
        </w:tc>
        <w:tc>
          <w:tcPr>
            <w:tcW w:w="60" w:type="dxa"/>
            <w:tcBorders/>
            <w:shd w:fill="CCEEFF" w:val="clear"/>
            <w:vAlign w:val="bottom"/>
          </w:tcPr>
          <w:p>
            <w:pPr>
              <w:pStyle w:val="TableContents"/>
              <w:spacing w:before="0" w:after="283"/>
              <w:rPr/>
            </w:pPr>
            <w:r>
              <w:rPr/>
              <w:t> </w:t>
            </w:r>
          </w:p>
        </w:tc>
        <w:tc>
          <w:tcPr>
            <w:tcW w:w="1595" w:type="dxa"/>
            <w:gridSpan w:val="2"/>
            <w:tcBorders/>
            <w:shd w:fill="CCEEFF" w:val="clear"/>
            <w:vAlign w:val="bottom"/>
          </w:tcPr>
          <w:p>
            <w:pPr>
              <w:pStyle w:val="TableContents"/>
              <w:spacing w:before="0" w:after="0"/>
              <w:jc w:val="right"/>
              <w:rPr/>
            </w:pPr>
            <w:r>
              <w:rPr/>
              <w:t>20 to 36</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0"/>
              <w:jc w:val="right"/>
              <w:rPr/>
            </w:pPr>
            <w:r>
              <w:rPr/>
              <w:t>23</w:t>
            </w:r>
          </w:p>
        </w:tc>
        <w:tc>
          <w:tcPr>
            <w:tcW w:w="232" w:type="dxa"/>
            <w:tcBorders/>
            <w:shd w:fill="CCEEFF" w:val="clear"/>
            <w:vAlign w:val="bottom"/>
          </w:tcPr>
          <w:p>
            <w:pPr>
              <w:pStyle w:val="TableContents"/>
              <w:spacing w:before="0" w:after="283"/>
              <w:rPr/>
            </w:pPr>
            <w:r>
              <w:rPr/>
              <w:t> </w:t>
            </w:r>
          </w:p>
        </w:tc>
      </w:tr>
      <w:tr>
        <w:trPr/>
        <w:tc>
          <w:tcPr>
            <w:tcW w:w="2972"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1589"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7" w:type="dxa"/>
            <w:tcBorders/>
            <w:shd w:fill="FFFFFF" w:val="clear"/>
            <w:vAlign w:val="bottom"/>
          </w:tcPr>
          <w:p>
            <w:pPr>
              <w:pStyle w:val="TableContents"/>
              <w:spacing w:before="0" w:after="0"/>
              <w:rPr/>
            </w:pPr>
            <w:r>
              <w:rPr/>
              <w:t>Float rate</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1247" w:type="dxa"/>
            <w:tcBorders/>
            <w:shd w:fill="FFFFFF" w:val="clear"/>
            <w:vAlign w:val="bottom"/>
          </w:tcPr>
          <w:p>
            <w:pPr>
              <w:pStyle w:val="TableContents"/>
              <w:spacing w:before="0" w:after="0"/>
              <w:jc w:val="right"/>
              <w:rPr/>
            </w:pPr>
            <w:r>
              <w:rPr/>
              <w:t>2.57</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rPr/>
            </w:pPr>
            <w:r>
              <w:rPr/>
              <w:t> </w:t>
            </w:r>
          </w:p>
        </w:tc>
        <w:tc>
          <w:tcPr>
            <w:tcW w:w="748" w:type="dxa"/>
            <w:tcBorders/>
            <w:shd w:fill="FFFFFF" w:val="clear"/>
            <w:vAlign w:val="bottom"/>
          </w:tcPr>
          <w:p>
            <w:pPr>
              <w:pStyle w:val="TableContents"/>
              <w:spacing w:before="0" w:after="0"/>
              <w:jc w:val="right"/>
              <w:rPr/>
            </w:pPr>
            <w:r>
              <w:rPr/>
              <w:t>2.57</w:t>
            </w:r>
          </w:p>
        </w:tc>
        <w:tc>
          <w:tcPr>
            <w:tcW w:w="232" w:type="dxa"/>
            <w:tcBorders/>
            <w:shd w:fill="FFFFFF" w:val="clear"/>
            <w:vAlign w:val="bottom"/>
          </w:tcPr>
          <w:p>
            <w:pPr>
              <w:pStyle w:val="TableContents"/>
              <w:spacing w:before="0" w:after="0"/>
              <w:rPr/>
            </w:pPr>
            <w:r>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11" w:name="DSPFPageBreakArea48"/>
      <w:bookmarkStart w:id="512" w:name="DSPFPageBreakArea48"/>
      <w:bookmarkEnd w:id="5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13" w:name="DSPFPageNumber48"/>
      <w:bookmarkStart w:id="514" w:name="DSPFPageNumberArea47"/>
      <w:bookmarkEnd w:id="513"/>
      <w:bookmarkEnd w:id="514"/>
      <w:r>
        <w:rPr>
          <w:b w:val="false"/>
          <w:i w:val="false"/>
          <w:caps w:val="false"/>
          <w:smallCaps w:val="false"/>
          <w:sz w:val="13"/>
        </w:rPr>
        <w:t>49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15" w:name="DSPFPageBreak48"/>
      <w:bookmarkStart w:id="516" w:name="DSPFPageBreak48"/>
      <w:bookmarkEnd w:id="5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17" w:name="DSPFPageHeader47"/>
        <w:bookmarkEnd w:id="517"/>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Quantitative information about Level 3 fair value measurements measured on a non-recurring basis follows:</w:t>
      </w:r>
    </w:p>
    <w:p>
      <w:pPr>
        <w:pStyle w:val="TextBody"/>
        <w:spacing w:before="0" w:after="0"/>
        <w:rPr/>
      </w:pPr>
      <w:r>
        <w:rPr/>
      </w:r>
    </w:p>
    <w:p>
      <w:pPr>
        <w:pStyle w:val="Normal"/>
        <w:spacing w:before="0" w:after="0"/>
        <w:rPr>
          <w:sz w:val="4"/>
          <w:szCs w:val="4"/>
        </w:rPr>
      </w:pPr>
      <w:r>
        <w:rPr>
          <w:sz w:val="4"/>
          <w:szCs w:val="4"/>
        </w:rPr>
      </w:r>
      <w:bookmarkStart w:id="518" w:name="za57ac5e8df19498f889a38297be4a549"/>
      <w:bookmarkStart w:id="519" w:name="za57ac5e8df19498f889a38297be4a549"/>
      <w:bookmarkEnd w:id="519"/>
    </w:p>
    <w:tbl>
      <w:tblPr>
        <w:tblW w:w="10205" w:type="dxa"/>
        <w:jc w:val="left"/>
        <w:tblInd w:w="0" w:type="dxa"/>
        <w:tblCellMar>
          <w:top w:w="0" w:type="dxa"/>
          <w:left w:w="0" w:type="dxa"/>
          <w:bottom w:w="0" w:type="dxa"/>
          <w:right w:w="0" w:type="dxa"/>
        </w:tblCellMar>
      </w:tblPr>
      <w:tblGrid>
        <w:gridCol w:w="1509"/>
        <w:gridCol w:w="60"/>
        <w:gridCol w:w="140"/>
        <w:gridCol w:w="560"/>
        <w:gridCol w:w="60"/>
        <w:gridCol w:w="1863"/>
        <w:gridCol w:w="60"/>
        <w:gridCol w:w="3353"/>
        <w:gridCol w:w="60"/>
        <w:gridCol w:w="1098"/>
        <w:gridCol w:w="215"/>
        <w:gridCol w:w="112"/>
        <w:gridCol w:w="823"/>
        <w:gridCol w:w="292"/>
      </w:tblGrid>
      <w:tr>
        <w:trPr/>
        <w:tc>
          <w:tcPr>
            <w:tcW w:w="15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pPr>
            <w:r>
              <w:rPr/>
              <w:t>Asset</w:t>
            </w:r>
          </w:p>
          <w:p>
            <w:pPr>
              <w:pStyle w:val="TableContents"/>
              <w:spacing w:before="0" w:after="0"/>
              <w:jc w:val="center"/>
              <w:rPr/>
            </w:pPr>
            <w:r>
              <w:rPr/>
              <w:t>Fair</w:t>
            </w:r>
          </w:p>
          <w:p>
            <w:pPr>
              <w:pStyle w:val="TableContents"/>
              <w:spacing w:before="0" w:after="0"/>
              <w:jc w:val="center"/>
              <w:rPr/>
            </w:pPr>
            <w:r>
              <w:rPr/>
              <w:t>Value</w:t>
            </w:r>
          </w:p>
        </w:tc>
        <w:tc>
          <w:tcPr>
            <w:tcW w:w="60" w:type="dxa"/>
            <w:tcBorders/>
            <w:shd w:fill="auto" w:val="clear"/>
            <w:vAlign w:val="bottom"/>
          </w:tcPr>
          <w:p>
            <w:pPr>
              <w:pStyle w:val="TableContents"/>
              <w:spacing w:before="0" w:after="283"/>
              <w:rPr/>
            </w:pPr>
            <w:r>
              <w:rPr/>
              <w:t> </w:t>
            </w:r>
          </w:p>
        </w:tc>
        <w:tc>
          <w:tcPr>
            <w:tcW w:w="1863" w:type="dxa"/>
            <w:tcBorders>
              <w:bottom w:val="single" w:sz="12" w:space="0" w:color="000000"/>
            </w:tcBorders>
            <w:shd w:fill="auto" w:val="clear"/>
            <w:tcMar>
              <w:bottom w:w="28" w:type="dxa"/>
            </w:tcMar>
            <w:vAlign w:val="bottom"/>
          </w:tcPr>
          <w:p>
            <w:pPr>
              <w:pStyle w:val="TableContents"/>
              <w:spacing w:before="0" w:after="0"/>
              <w:jc w:val="center"/>
              <w:rPr/>
            </w:pPr>
            <w:r>
              <w:rPr/>
              <w:t>Valuation</w:t>
            </w:r>
          </w:p>
          <w:p>
            <w:pPr>
              <w:pStyle w:val="TableContents"/>
              <w:spacing w:before="0" w:after="0"/>
              <w:jc w:val="center"/>
              <w:rPr/>
            </w:pPr>
            <w:r>
              <w:rPr/>
              <w:t>Technique</w:t>
            </w:r>
          </w:p>
        </w:tc>
        <w:tc>
          <w:tcPr>
            <w:tcW w:w="60" w:type="dxa"/>
            <w:tcBorders/>
            <w:shd w:fill="auto" w:val="clear"/>
            <w:vAlign w:val="bottom"/>
          </w:tcPr>
          <w:p>
            <w:pPr>
              <w:pStyle w:val="TableContents"/>
              <w:spacing w:before="0" w:after="283"/>
              <w:rPr/>
            </w:pPr>
            <w:r>
              <w:rPr/>
              <w:t> </w:t>
            </w:r>
          </w:p>
        </w:tc>
        <w:tc>
          <w:tcPr>
            <w:tcW w:w="3353" w:type="dxa"/>
            <w:tcBorders>
              <w:bottom w:val="single" w:sz="12" w:space="0" w:color="000000"/>
            </w:tcBorders>
            <w:shd w:fill="auto" w:val="clear"/>
            <w:tcMar>
              <w:bottom w:w="28" w:type="dxa"/>
            </w:tcMar>
            <w:vAlign w:val="bottom"/>
          </w:tcPr>
          <w:p>
            <w:pPr>
              <w:pStyle w:val="TableContents"/>
              <w:spacing w:before="0" w:after="0"/>
              <w:jc w:val="center"/>
              <w:rPr/>
            </w:pPr>
            <w:r>
              <w:rPr/>
              <w:t>Unobservable</w:t>
            </w:r>
          </w:p>
          <w:p>
            <w:pPr>
              <w:pStyle w:val="TableContents"/>
              <w:spacing w:before="0" w:after="0"/>
              <w:jc w:val="center"/>
              <w:rPr/>
            </w:pPr>
            <w:r>
              <w:rPr/>
              <w:t>Inputs</w:t>
            </w:r>
          </w:p>
        </w:tc>
        <w:tc>
          <w:tcPr>
            <w:tcW w:w="60" w:type="dxa"/>
            <w:tcBorders/>
            <w:shd w:fill="auto" w:val="clear"/>
            <w:vAlign w:val="bottom"/>
          </w:tcPr>
          <w:p>
            <w:pPr>
              <w:pStyle w:val="TableContents"/>
              <w:spacing w:before="0" w:after="283"/>
              <w:rPr/>
            </w:pPr>
            <w:r>
              <w:rPr/>
              <w:t> </w:t>
            </w:r>
          </w:p>
        </w:tc>
        <w:tc>
          <w:tcPr>
            <w:tcW w:w="1098" w:type="dxa"/>
            <w:tcBorders>
              <w:bottom w:val="single" w:sz="12" w:space="0" w:color="000000"/>
            </w:tcBorders>
            <w:shd w:fill="auto" w:val="clear"/>
            <w:tcMar>
              <w:bottom w:w="28" w:type="dxa"/>
            </w:tcMar>
            <w:vAlign w:val="bottom"/>
          </w:tcPr>
          <w:p>
            <w:pPr>
              <w:pStyle w:val="TableContents"/>
              <w:spacing w:before="0" w:after="0"/>
              <w:jc w:val="center"/>
              <w:rPr/>
            </w:pPr>
            <w:r>
              <w:rPr/>
              <w:t>Range</w:t>
            </w:r>
          </w:p>
        </w:tc>
        <w:tc>
          <w:tcPr>
            <w:tcW w:w="215" w:type="dxa"/>
            <w:tcBorders/>
            <w:shd w:fill="auto" w:val="clear"/>
            <w:vAlign w:val="bottom"/>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bottom"/>
          </w:tcPr>
          <w:p>
            <w:pPr>
              <w:pStyle w:val="TableContents"/>
              <w:spacing w:before="0" w:after="0"/>
              <w:jc w:val="center"/>
              <w:rPr/>
            </w:pPr>
            <w:r>
              <w:rPr/>
              <w:t>Weighted</w:t>
            </w:r>
          </w:p>
          <w:p>
            <w:pPr>
              <w:pStyle w:val="TableContents"/>
              <w:spacing w:before="0" w:after="0"/>
              <w:jc w:val="center"/>
              <w:rPr/>
            </w:pPr>
            <w:r>
              <w:rPr/>
              <w:t>Average</w:t>
            </w:r>
          </w:p>
        </w:tc>
        <w:tc>
          <w:tcPr>
            <w:tcW w:w="292" w:type="dxa"/>
            <w:tcBorders/>
            <w:shd w:fill="auto" w:val="clear"/>
            <w:vAlign w:val="bottom"/>
          </w:tcPr>
          <w:p>
            <w:pPr>
              <w:pStyle w:val="TableContents"/>
              <w:spacing w:before="0" w:after="283"/>
              <w:rPr/>
            </w:pPr>
            <w:r>
              <w:rPr/>
              <w:t> </w:t>
            </w:r>
          </w:p>
        </w:tc>
      </w:tr>
      <w:tr>
        <w:trPr/>
        <w:tc>
          <w:tcPr>
            <w:tcW w:w="15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3" w:type="dxa"/>
            <w:gridSpan w:val="4"/>
            <w:tcBorders/>
            <w:shd w:fill="auto" w:val="clear"/>
            <w:vAlign w:val="bottom"/>
          </w:tcPr>
          <w:p>
            <w:pPr>
              <w:pStyle w:val="TableContents"/>
              <w:spacing w:before="0" w:after="0"/>
              <w:rPr/>
            </w:pPr>
            <w:r>
              <w:rPr/>
              <w:t>(In thousands)</w:t>
            </w:r>
          </w:p>
        </w:tc>
        <w:tc>
          <w:tcPr>
            <w:tcW w:w="60" w:type="dxa"/>
            <w:tcBorders/>
            <w:shd w:fill="auto" w:val="clear"/>
            <w:vAlign w:val="bottom"/>
          </w:tcPr>
          <w:p>
            <w:pPr>
              <w:pStyle w:val="TableContents"/>
              <w:spacing w:before="0" w:after="283"/>
              <w:rPr/>
            </w:pPr>
            <w:r>
              <w:rPr/>
              <w:t> </w:t>
            </w:r>
          </w:p>
        </w:tc>
        <w:tc>
          <w:tcPr>
            <w:tcW w:w="33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r>
      <w:tr>
        <w:trPr/>
        <w:tc>
          <w:tcPr>
            <w:tcW w:w="1509" w:type="dxa"/>
            <w:tcBorders/>
            <w:shd w:fill="auto" w:val="clear"/>
            <w:vAlign w:val="bottom"/>
          </w:tcPr>
          <w:p>
            <w:pPr>
              <w:pStyle w:val="TableContents"/>
              <w:spacing w:before="0" w:after="0"/>
              <w:ind w:left="180" w:right="0" w:hanging="180"/>
              <w:rPr>
                <w:color w:val="000000"/>
              </w:rPr>
            </w:pPr>
            <w:r>
              <w:rPr>
                <w:color w:val="000000"/>
              </w:rPr>
              <w:t>June 30, 2019</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r>
      <w:tr>
        <w:trPr/>
        <w:tc>
          <w:tcPr>
            <w:tcW w:w="1509" w:type="dxa"/>
            <w:tcBorders/>
            <w:shd w:fill="auto" w:val="clear"/>
            <w:vAlign w:val="bottom"/>
          </w:tcPr>
          <w:p>
            <w:pPr>
              <w:pStyle w:val="TableContents"/>
              <w:spacing w:before="0" w:after="0"/>
              <w:ind w:left="360" w:right="0" w:hanging="180"/>
              <w:rPr/>
            </w:pPr>
            <w:r>
              <w:rPr/>
              <w:t>Impaired loans</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3" w:type="dxa"/>
            <w:tcBorders/>
            <w:shd w:fill="auto" w:val="clear"/>
            <w:vAlign w:val="bottom"/>
          </w:tcPr>
          <w:p>
            <w:pPr>
              <w:pStyle w:val="TableContents"/>
              <w:spacing w:before="0" w:after="283"/>
              <w:ind w:left="180" w:right="0" w:hanging="180"/>
              <w:rPr/>
            </w:pPr>
            <w:r>
              <w:rPr/>
              <w:t> </w:t>
            </w:r>
          </w:p>
        </w:tc>
        <w:tc>
          <w:tcPr>
            <w:tcW w:w="60" w:type="dxa"/>
            <w:tcBorders/>
            <w:shd w:fill="auto" w:val="clear"/>
            <w:vAlign w:val="bottom"/>
          </w:tcPr>
          <w:p>
            <w:pPr>
              <w:pStyle w:val="TableContents"/>
              <w:spacing w:before="0" w:after="283"/>
              <w:ind w:left="180" w:right="0" w:hanging="180"/>
              <w:rPr/>
            </w:pPr>
            <w:r>
              <w:rPr/>
              <w:t> </w:t>
            </w:r>
          </w:p>
        </w:tc>
        <w:tc>
          <w:tcPr>
            <w:tcW w:w="33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r>
      <w:tr>
        <w:trPr/>
        <w:tc>
          <w:tcPr>
            <w:tcW w:w="1509" w:type="dxa"/>
            <w:tcBorders/>
            <w:shd w:fill="CCEEFF" w:val="clear"/>
            <w:vAlign w:val="bottom"/>
          </w:tcPr>
          <w:p>
            <w:pPr>
              <w:pStyle w:val="TableContents"/>
              <w:spacing w:before="0" w:after="0"/>
              <w:ind w:left="540" w:right="0" w:hanging="180"/>
              <w:rPr>
                <w:color w:val="000000"/>
              </w:rPr>
            </w:pPr>
            <w:r>
              <w:rPr>
                <w:color w:val="000000"/>
              </w:rPr>
              <w:t>Commercial(1)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1,420</w:t>
            </w:r>
          </w:p>
        </w:tc>
        <w:tc>
          <w:tcPr>
            <w:tcW w:w="60" w:type="dxa"/>
            <w:tcBorders/>
            <w:shd w:fill="CCEEFF" w:val="clear"/>
            <w:vAlign w:val="bottom"/>
          </w:tcPr>
          <w:p>
            <w:pPr>
              <w:pStyle w:val="TableContents"/>
              <w:spacing w:before="0" w:after="283"/>
              <w:rPr/>
            </w:pPr>
            <w:r>
              <w:rPr/>
              <w:t> </w:t>
            </w:r>
          </w:p>
        </w:tc>
        <w:tc>
          <w:tcPr>
            <w:tcW w:w="1863" w:type="dxa"/>
            <w:tcBorders/>
            <w:shd w:fill="CCEEFF" w:val="clear"/>
            <w:vAlign w:val="bottom"/>
          </w:tcPr>
          <w:p>
            <w:pPr>
              <w:pStyle w:val="TableContents"/>
              <w:spacing w:before="0" w:after="0"/>
              <w:ind w:left="180" w:right="0" w:hanging="180"/>
              <w:rPr/>
            </w:pPr>
            <w:r>
              <w:rPr/>
              <w:t>Sales comparison approach</w:t>
            </w:r>
          </w:p>
        </w:tc>
        <w:tc>
          <w:tcPr>
            <w:tcW w:w="60" w:type="dxa"/>
            <w:tcBorders/>
            <w:shd w:fill="CCEEFF" w:val="clear"/>
            <w:vAlign w:val="bottom"/>
          </w:tcPr>
          <w:p>
            <w:pPr>
              <w:pStyle w:val="TableContents"/>
              <w:spacing w:before="0" w:after="283"/>
              <w:rPr/>
            </w:pPr>
            <w:r>
              <w:rPr/>
              <w:t> </w:t>
            </w:r>
          </w:p>
        </w:tc>
        <w:tc>
          <w:tcPr>
            <w:tcW w:w="3353" w:type="dxa"/>
            <w:tcBorders/>
            <w:shd w:fill="CCEEFF" w:val="clear"/>
            <w:vAlign w:val="bottom"/>
          </w:tcPr>
          <w:p>
            <w:pPr>
              <w:pStyle w:val="TableContents"/>
              <w:spacing w:before="0" w:after="0"/>
              <w:ind w:left="180" w:right="0" w:hanging="180"/>
              <w:rPr/>
            </w:pPr>
            <w:r>
              <w:rPr/>
              <w:t>Adjustment for differences between comparable sales</w:t>
            </w:r>
          </w:p>
        </w:tc>
        <w:tc>
          <w:tcPr>
            <w:tcW w:w="6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0"/>
              <w:jc w:val="right"/>
              <w:rPr/>
            </w:pPr>
            <w:r>
              <w:rPr/>
              <w:t>(48.0)% to 40.0</w:t>
            </w:r>
          </w:p>
        </w:tc>
        <w:tc>
          <w:tcPr>
            <w:tcW w:w="215" w:type="dxa"/>
            <w:tcBorders/>
            <w:shd w:fill="CCEEFF" w:val="clear"/>
            <w:vAlign w:val="bottom"/>
          </w:tcPr>
          <w:p>
            <w:pPr>
              <w:pStyle w:val="TableContents"/>
              <w:spacing w:before="0" w:after="0"/>
              <w:rPr/>
            </w:pPr>
            <w:r>
              <w:rPr/>
              <w:t>%</w:t>
            </w:r>
          </w:p>
        </w:tc>
        <w:tc>
          <w:tcPr>
            <w:tcW w:w="11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0"/>
              <w:jc w:val="right"/>
              <w:rPr/>
            </w:pPr>
            <w:r>
              <w:rPr/>
              <w:t>(6.0</w:t>
            </w:r>
          </w:p>
        </w:tc>
        <w:tc>
          <w:tcPr>
            <w:tcW w:w="292" w:type="dxa"/>
            <w:tcBorders/>
            <w:shd w:fill="CCEEFF" w:val="clear"/>
            <w:vAlign w:val="bottom"/>
          </w:tcPr>
          <w:p>
            <w:pPr>
              <w:pStyle w:val="TableContents"/>
              <w:spacing w:before="0" w:after="0"/>
              <w:ind w:left="180" w:right="0" w:hanging="180"/>
              <w:rPr/>
            </w:pPr>
            <w:r>
              <w:rPr/>
              <w:t>)%</w:t>
            </w:r>
          </w:p>
        </w:tc>
      </w:tr>
      <w:tr>
        <w:trPr/>
        <w:tc>
          <w:tcPr>
            <w:tcW w:w="1509"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ind w:left="180" w:right="0" w:hanging="180"/>
              <w:rPr/>
            </w:pPr>
            <w:r>
              <w:rPr/>
              <w:t> </w:t>
            </w:r>
          </w:p>
        </w:tc>
        <w:tc>
          <w:tcPr>
            <w:tcW w:w="1863" w:type="dxa"/>
            <w:tcBorders/>
            <w:shd w:fill="FFFFFF" w:val="clear"/>
            <w:vAlign w:val="bottom"/>
          </w:tcPr>
          <w:p>
            <w:pPr>
              <w:pStyle w:val="TableContents"/>
              <w:spacing w:before="0" w:after="283"/>
              <w:ind w:left="180" w:right="0" w:hanging="180"/>
              <w:rPr/>
            </w:pPr>
            <w:r>
              <w:rPr/>
              <w:t> </w:t>
            </w:r>
          </w:p>
        </w:tc>
        <w:tc>
          <w:tcPr>
            <w:tcW w:w="60" w:type="dxa"/>
            <w:tcBorders/>
            <w:shd w:fill="FFFFFF" w:val="clear"/>
            <w:vAlign w:val="bottom"/>
          </w:tcPr>
          <w:p>
            <w:pPr>
              <w:pStyle w:val="TableContents"/>
              <w:spacing w:before="0" w:after="283"/>
              <w:ind w:left="180" w:right="0" w:hanging="180"/>
              <w:rPr/>
            </w:pPr>
            <w:r>
              <w:rPr/>
              <w:t> </w:t>
            </w:r>
          </w:p>
        </w:tc>
        <w:tc>
          <w:tcPr>
            <w:tcW w:w="335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8"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rPr/>
            </w:pPr>
            <w:r>
              <w:rPr/>
              <w:t> </w:t>
            </w:r>
          </w:p>
        </w:tc>
        <w:tc>
          <w:tcPr>
            <w:tcW w:w="823" w:type="dxa"/>
            <w:tcBorders/>
            <w:shd w:fill="FFFFFF" w:val="clear"/>
            <w:vAlign w:val="bottom"/>
          </w:tcPr>
          <w:p>
            <w:pPr>
              <w:pStyle w:val="TableContents"/>
              <w:spacing w:before="0" w:after="283"/>
              <w:jc w:val="right"/>
              <w:rPr/>
            </w:pPr>
            <w:r>
              <w:rPr/>
              <w:t> </w:t>
            </w:r>
          </w:p>
        </w:tc>
        <w:tc>
          <w:tcPr>
            <w:tcW w:w="292" w:type="dxa"/>
            <w:tcBorders/>
            <w:shd w:fill="FFFFFF" w:val="clear"/>
            <w:vAlign w:val="bottom"/>
          </w:tcPr>
          <w:p>
            <w:pPr>
              <w:pStyle w:val="TableContents"/>
              <w:spacing w:before="0" w:after="283"/>
              <w:rPr/>
            </w:pPr>
            <w:r>
              <w:rPr/>
              <w:t> </w:t>
            </w:r>
          </w:p>
        </w:tc>
      </w:tr>
      <w:tr>
        <w:trPr/>
        <w:tc>
          <w:tcPr>
            <w:tcW w:w="1509" w:type="dxa"/>
            <w:tcBorders/>
            <w:shd w:fill="CCEEFF" w:val="clear"/>
            <w:vAlign w:val="bottom"/>
          </w:tcPr>
          <w:p>
            <w:pPr>
              <w:pStyle w:val="TableContents"/>
              <w:spacing w:before="0" w:after="0"/>
              <w:ind w:left="540" w:right="0" w:hanging="180"/>
              <w:rPr>
                <w:color w:val="000000"/>
              </w:rPr>
            </w:pPr>
            <w:r>
              <w:rPr>
                <w:color w:val="000000"/>
              </w:rPr>
              <w:t>Mortgage and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ind w:left="180" w:right="0" w:hanging="180"/>
              <w:rPr/>
            </w:pPr>
            <w:r>
              <w:rPr/>
              <w:t> </w:t>
            </w:r>
          </w:p>
        </w:tc>
        <w:tc>
          <w:tcPr>
            <w:tcW w:w="1863" w:type="dxa"/>
            <w:tcBorders/>
            <w:shd w:fill="CCEEFF" w:val="clear"/>
            <w:vAlign w:val="bottom"/>
          </w:tcPr>
          <w:p>
            <w:pPr>
              <w:pStyle w:val="TableContents"/>
              <w:spacing w:before="0" w:after="283"/>
              <w:ind w:left="180" w:right="0" w:hanging="180"/>
              <w:rPr/>
            </w:pPr>
            <w:r>
              <w:rPr/>
              <w:t> </w:t>
            </w:r>
          </w:p>
        </w:tc>
        <w:tc>
          <w:tcPr>
            <w:tcW w:w="60" w:type="dxa"/>
            <w:tcBorders/>
            <w:shd w:fill="CCEEFF" w:val="clear"/>
            <w:vAlign w:val="bottom"/>
          </w:tcPr>
          <w:p>
            <w:pPr>
              <w:pStyle w:val="TableContents"/>
              <w:spacing w:before="0" w:after="283"/>
              <w:ind w:left="180" w:right="0" w:hanging="180"/>
              <w:rPr/>
            </w:pPr>
            <w:r>
              <w:rPr/>
              <w:t> </w:t>
            </w:r>
          </w:p>
        </w:tc>
        <w:tc>
          <w:tcPr>
            <w:tcW w:w="33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 </w:t>
            </w:r>
          </w:p>
        </w:tc>
        <w:tc>
          <w:tcPr>
            <w:tcW w:w="292" w:type="dxa"/>
            <w:tcBorders/>
            <w:shd w:fill="CCEEFF" w:val="clear"/>
            <w:vAlign w:val="bottom"/>
          </w:tcPr>
          <w:p>
            <w:pPr>
              <w:pStyle w:val="TableContents"/>
              <w:spacing w:before="0" w:after="283"/>
              <w:rPr/>
            </w:pPr>
            <w:r>
              <w:rPr/>
              <w:t> </w:t>
            </w:r>
          </w:p>
        </w:tc>
      </w:tr>
      <w:tr>
        <w:trPr/>
        <w:tc>
          <w:tcPr>
            <w:tcW w:w="1509" w:type="dxa"/>
            <w:tcBorders/>
            <w:shd w:fill="FFFFFF" w:val="clear"/>
            <w:vAlign w:val="bottom"/>
          </w:tcPr>
          <w:p>
            <w:pPr>
              <w:pStyle w:val="TableContents"/>
              <w:spacing w:before="0" w:after="0"/>
              <w:ind w:left="720" w:right="0" w:hanging="180"/>
              <w:rPr>
                <w:color w:val="000000"/>
              </w:rPr>
            </w:pPr>
            <w:r>
              <w:rPr>
                <w:color w:val="000000"/>
              </w:rPr>
              <w:t>Installment(2)</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1,574</w:t>
            </w:r>
          </w:p>
        </w:tc>
        <w:tc>
          <w:tcPr>
            <w:tcW w:w="60" w:type="dxa"/>
            <w:tcBorders/>
            <w:shd w:fill="FFFFFF" w:val="clear"/>
            <w:vAlign w:val="bottom"/>
          </w:tcPr>
          <w:p>
            <w:pPr>
              <w:pStyle w:val="TableContents"/>
              <w:spacing w:before="0" w:after="283"/>
              <w:rPr/>
            </w:pPr>
            <w:r>
              <w:rPr/>
              <w:t> </w:t>
            </w:r>
          </w:p>
        </w:tc>
        <w:tc>
          <w:tcPr>
            <w:tcW w:w="1863" w:type="dxa"/>
            <w:tcBorders/>
            <w:shd w:fill="FFFFFF" w:val="clear"/>
            <w:vAlign w:val="bottom"/>
          </w:tcPr>
          <w:p>
            <w:pPr>
              <w:pStyle w:val="TableContents"/>
              <w:spacing w:before="0" w:after="0"/>
              <w:ind w:left="180" w:right="0" w:hanging="180"/>
              <w:rPr/>
            </w:pPr>
            <w:r>
              <w:rPr/>
              <w:t>Sales comparison approach</w:t>
            </w:r>
          </w:p>
        </w:tc>
        <w:tc>
          <w:tcPr>
            <w:tcW w:w="60" w:type="dxa"/>
            <w:tcBorders/>
            <w:shd w:fill="FFFFFF" w:val="clear"/>
            <w:vAlign w:val="bottom"/>
          </w:tcPr>
          <w:p>
            <w:pPr>
              <w:pStyle w:val="TableContents"/>
              <w:spacing w:before="0" w:after="283"/>
              <w:rPr/>
            </w:pPr>
            <w:r>
              <w:rPr/>
              <w:t> </w:t>
            </w:r>
          </w:p>
        </w:tc>
        <w:tc>
          <w:tcPr>
            <w:tcW w:w="3353" w:type="dxa"/>
            <w:tcBorders/>
            <w:shd w:fill="FFFFFF" w:val="clear"/>
            <w:vAlign w:val="bottom"/>
          </w:tcPr>
          <w:p>
            <w:pPr>
              <w:pStyle w:val="TableContents"/>
              <w:spacing w:before="0" w:after="0"/>
              <w:ind w:left="180" w:right="0" w:hanging="180"/>
              <w:rPr/>
            </w:pPr>
            <w:r>
              <w:rPr/>
              <w:t>Adjustment for  differences between comparable sales</w:t>
            </w:r>
          </w:p>
        </w:tc>
        <w:tc>
          <w:tcPr>
            <w:tcW w:w="60" w:type="dxa"/>
            <w:tcBorders/>
            <w:shd w:fill="FFFFFF" w:val="clear"/>
            <w:vAlign w:val="bottom"/>
          </w:tcPr>
          <w:p>
            <w:pPr>
              <w:pStyle w:val="TableContents"/>
              <w:spacing w:before="0" w:after="283"/>
              <w:rPr/>
            </w:pPr>
            <w:r>
              <w:rPr/>
              <w:t> </w:t>
            </w:r>
          </w:p>
        </w:tc>
        <w:tc>
          <w:tcPr>
            <w:tcW w:w="1098" w:type="dxa"/>
            <w:tcBorders/>
            <w:shd w:fill="FFFFFF" w:val="clear"/>
            <w:vAlign w:val="bottom"/>
          </w:tcPr>
          <w:p>
            <w:pPr>
              <w:pStyle w:val="TableContents"/>
              <w:spacing w:before="0" w:after="0"/>
              <w:jc w:val="right"/>
              <w:rPr/>
            </w:pPr>
            <w:r>
              <w:rPr/>
              <w:t>(40.1) to 56.7</w:t>
            </w:r>
          </w:p>
        </w:tc>
        <w:tc>
          <w:tcPr>
            <w:tcW w:w="215"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rPr/>
            </w:pPr>
            <w:r>
              <w:rPr/>
              <w:t> </w:t>
            </w:r>
          </w:p>
        </w:tc>
        <w:tc>
          <w:tcPr>
            <w:tcW w:w="823" w:type="dxa"/>
            <w:tcBorders/>
            <w:shd w:fill="FFFFFF" w:val="clear"/>
            <w:vAlign w:val="bottom"/>
          </w:tcPr>
          <w:p>
            <w:pPr>
              <w:pStyle w:val="TableContents"/>
              <w:spacing w:before="0" w:after="0"/>
              <w:jc w:val="right"/>
              <w:rPr/>
            </w:pPr>
            <w:r>
              <w:rPr/>
              <w:t>(2.6</w:t>
            </w:r>
          </w:p>
        </w:tc>
        <w:tc>
          <w:tcPr>
            <w:tcW w:w="292" w:type="dxa"/>
            <w:tcBorders/>
            <w:shd w:fill="FFFFFF" w:val="clear"/>
            <w:vAlign w:val="bottom"/>
          </w:tcPr>
          <w:p>
            <w:pPr>
              <w:pStyle w:val="TableContents"/>
              <w:spacing w:before="0" w:after="0"/>
              <w:ind w:left="180" w:right="0" w:hanging="180"/>
              <w:rPr/>
            </w:pPr>
            <w:r>
              <w:rPr/>
              <w:t>)</w:t>
            </w:r>
          </w:p>
        </w:tc>
      </w:tr>
      <w:tr>
        <w:trPr/>
        <w:tc>
          <w:tcPr>
            <w:tcW w:w="150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ind w:left="180" w:right="0" w:hanging="180"/>
              <w:rPr/>
            </w:pPr>
            <w:r>
              <w:rPr/>
              <w:t> </w:t>
            </w:r>
          </w:p>
        </w:tc>
        <w:tc>
          <w:tcPr>
            <w:tcW w:w="1863" w:type="dxa"/>
            <w:tcBorders/>
            <w:shd w:fill="CCEEFF" w:val="clear"/>
            <w:vAlign w:val="bottom"/>
          </w:tcPr>
          <w:p>
            <w:pPr>
              <w:pStyle w:val="TableContents"/>
              <w:spacing w:before="0" w:after="283"/>
              <w:ind w:left="180" w:right="0" w:hanging="180"/>
              <w:rPr/>
            </w:pPr>
            <w:r>
              <w:rPr/>
              <w:t> </w:t>
            </w:r>
          </w:p>
        </w:tc>
        <w:tc>
          <w:tcPr>
            <w:tcW w:w="60" w:type="dxa"/>
            <w:tcBorders/>
            <w:shd w:fill="CCEEFF" w:val="clear"/>
            <w:vAlign w:val="bottom"/>
          </w:tcPr>
          <w:p>
            <w:pPr>
              <w:pStyle w:val="TableContents"/>
              <w:spacing w:before="0" w:after="283"/>
              <w:ind w:left="180" w:right="0" w:hanging="180"/>
              <w:rPr/>
            </w:pPr>
            <w:r>
              <w:rPr/>
              <w:t> </w:t>
            </w:r>
          </w:p>
        </w:tc>
        <w:tc>
          <w:tcPr>
            <w:tcW w:w="33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 </w:t>
            </w:r>
          </w:p>
        </w:tc>
        <w:tc>
          <w:tcPr>
            <w:tcW w:w="292" w:type="dxa"/>
            <w:tcBorders/>
            <w:shd w:fill="CCEEFF" w:val="clear"/>
            <w:vAlign w:val="bottom"/>
          </w:tcPr>
          <w:p>
            <w:pPr>
              <w:pStyle w:val="TableContents"/>
              <w:spacing w:before="0" w:after="283"/>
              <w:rPr/>
            </w:pPr>
            <w:r>
              <w:rPr/>
              <w:t> </w:t>
            </w:r>
          </w:p>
        </w:tc>
      </w:tr>
      <w:tr>
        <w:trPr/>
        <w:tc>
          <w:tcPr>
            <w:tcW w:w="1509" w:type="dxa"/>
            <w:tcBorders/>
            <w:shd w:fill="FFFFFF" w:val="clear"/>
            <w:vAlign w:val="bottom"/>
          </w:tcPr>
          <w:p>
            <w:pPr>
              <w:pStyle w:val="TableContents"/>
              <w:spacing w:before="0" w:after="0"/>
              <w:ind w:left="360" w:right="0" w:hanging="180"/>
              <w:rPr>
                <w:color w:val="000000"/>
              </w:rPr>
            </w:pPr>
            <w:r>
              <w:rPr>
                <w:color w:val="000000"/>
              </w:rPr>
              <w:t>Other real estate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ind w:left="180" w:right="0" w:hanging="180"/>
              <w:rPr/>
            </w:pPr>
            <w:r>
              <w:rPr/>
              <w:t> </w:t>
            </w:r>
          </w:p>
        </w:tc>
        <w:tc>
          <w:tcPr>
            <w:tcW w:w="1863" w:type="dxa"/>
            <w:tcBorders/>
            <w:shd w:fill="FFFFFF" w:val="clear"/>
            <w:vAlign w:val="bottom"/>
          </w:tcPr>
          <w:p>
            <w:pPr>
              <w:pStyle w:val="TableContents"/>
              <w:spacing w:before="0" w:after="283"/>
              <w:ind w:left="180" w:right="0" w:hanging="180"/>
              <w:rPr/>
            </w:pPr>
            <w:r>
              <w:rPr/>
              <w:t> </w:t>
            </w:r>
          </w:p>
        </w:tc>
        <w:tc>
          <w:tcPr>
            <w:tcW w:w="60" w:type="dxa"/>
            <w:tcBorders/>
            <w:shd w:fill="FFFFFF" w:val="clear"/>
            <w:vAlign w:val="bottom"/>
          </w:tcPr>
          <w:p>
            <w:pPr>
              <w:pStyle w:val="TableContents"/>
              <w:spacing w:before="0" w:after="283"/>
              <w:ind w:left="180" w:right="0" w:hanging="180"/>
              <w:rPr/>
            </w:pPr>
            <w:r>
              <w:rPr/>
              <w:t> </w:t>
            </w:r>
          </w:p>
        </w:tc>
        <w:tc>
          <w:tcPr>
            <w:tcW w:w="335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8"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rPr/>
            </w:pPr>
            <w:r>
              <w:rPr/>
              <w:t> </w:t>
            </w:r>
          </w:p>
        </w:tc>
        <w:tc>
          <w:tcPr>
            <w:tcW w:w="823" w:type="dxa"/>
            <w:tcBorders/>
            <w:shd w:fill="FFFFFF" w:val="clear"/>
            <w:vAlign w:val="bottom"/>
          </w:tcPr>
          <w:p>
            <w:pPr>
              <w:pStyle w:val="TableContents"/>
              <w:spacing w:before="0" w:after="283"/>
              <w:jc w:val="right"/>
              <w:rPr/>
            </w:pPr>
            <w:r>
              <w:rPr/>
              <w:t> </w:t>
            </w:r>
          </w:p>
        </w:tc>
        <w:tc>
          <w:tcPr>
            <w:tcW w:w="292" w:type="dxa"/>
            <w:tcBorders/>
            <w:shd w:fill="FFFFFF" w:val="clear"/>
            <w:vAlign w:val="bottom"/>
          </w:tcPr>
          <w:p>
            <w:pPr>
              <w:pStyle w:val="TableContents"/>
              <w:spacing w:before="0" w:after="283"/>
              <w:rPr/>
            </w:pPr>
            <w:r>
              <w:rPr/>
              <w:t> </w:t>
            </w:r>
          </w:p>
        </w:tc>
      </w:tr>
      <w:tr>
        <w:trPr/>
        <w:tc>
          <w:tcPr>
            <w:tcW w:w="1509" w:type="dxa"/>
            <w:tcBorders/>
            <w:shd w:fill="CCEEFF" w:val="clear"/>
            <w:vAlign w:val="bottom"/>
          </w:tcPr>
          <w:p>
            <w:pPr>
              <w:pStyle w:val="TableContents"/>
              <w:spacing w:before="0" w:after="0"/>
              <w:ind w:left="540" w:right="0" w:hanging="180"/>
              <w:rPr>
                <w:color w:val="000000"/>
              </w:rPr>
            </w:pPr>
            <w:r>
              <w:rPr>
                <w:color w:val="000000"/>
              </w:rPr>
              <w:t>Mortgage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67</w:t>
            </w:r>
          </w:p>
        </w:tc>
        <w:tc>
          <w:tcPr>
            <w:tcW w:w="60" w:type="dxa"/>
            <w:tcBorders/>
            <w:shd w:fill="CCEEFF" w:val="clear"/>
            <w:vAlign w:val="bottom"/>
          </w:tcPr>
          <w:p>
            <w:pPr>
              <w:pStyle w:val="TableContents"/>
              <w:spacing w:before="0" w:after="283"/>
              <w:rPr/>
            </w:pPr>
            <w:r>
              <w:rPr/>
              <w:t> </w:t>
            </w:r>
          </w:p>
        </w:tc>
        <w:tc>
          <w:tcPr>
            <w:tcW w:w="1863" w:type="dxa"/>
            <w:tcBorders/>
            <w:shd w:fill="CCEEFF" w:val="clear"/>
            <w:vAlign w:val="bottom"/>
          </w:tcPr>
          <w:p>
            <w:pPr>
              <w:pStyle w:val="TableContents"/>
              <w:spacing w:before="0" w:after="0"/>
              <w:ind w:left="180" w:right="0" w:hanging="180"/>
              <w:rPr/>
            </w:pPr>
            <w:r>
              <w:rPr/>
              <w:t>Sales comparison approach</w:t>
            </w:r>
          </w:p>
        </w:tc>
        <w:tc>
          <w:tcPr>
            <w:tcW w:w="60" w:type="dxa"/>
            <w:tcBorders/>
            <w:shd w:fill="CCEEFF" w:val="clear"/>
            <w:vAlign w:val="bottom"/>
          </w:tcPr>
          <w:p>
            <w:pPr>
              <w:pStyle w:val="TableContents"/>
              <w:spacing w:before="0" w:after="283"/>
              <w:rPr/>
            </w:pPr>
            <w:r>
              <w:rPr/>
              <w:t> </w:t>
            </w:r>
          </w:p>
        </w:tc>
        <w:tc>
          <w:tcPr>
            <w:tcW w:w="3353" w:type="dxa"/>
            <w:tcBorders/>
            <w:shd w:fill="CCEEFF" w:val="clear"/>
            <w:vAlign w:val="bottom"/>
          </w:tcPr>
          <w:p>
            <w:pPr>
              <w:pStyle w:val="TableContents"/>
              <w:spacing w:before="0" w:after="0"/>
              <w:ind w:left="180" w:right="0" w:hanging="180"/>
              <w:rPr/>
            </w:pPr>
            <w:r>
              <w:rPr/>
              <w:t>Adjustment for differences between comparable sales</w:t>
            </w:r>
          </w:p>
        </w:tc>
        <w:tc>
          <w:tcPr>
            <w:tcW w:w="6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0"/>
              <w:jc w:val="right"/>
              <w:rPr/>
            </w:pPr>
            <w:r>
              <w:rPr/>
              <w:t>(0.0) to 10.2</w:t>
            </w:r>
          </w:p>
        </w:tc>
        <w:tc>
          <w:tcPr>
            <w:tcW w:w="21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0"/>
              <w:jc w:val="right"/>
              <w:rPr/>
            </w:pPr>
            <w:r>
              <w:rPr/>
              <w:t>4.1</w:t>
            </w:r>
          </w:p>
        </w:tc>
        <w:tc>
          <w:tcPr>
            <w:tcW w:w="292" w:type="dxa"/>
            <w:tcBorders/>
            <w:shd w:fill="CCEEFF" w:val="clear"/>
            <w:vAlign w:val="bottom"/>
          </w:tcPr>
          <w:p>
            <w:pPr>
              <w:pStyle w:val="TableContents"/>
              <w:spacing w:before="0" w:after="283"/>
              <w:ind w:left="180" w:right="0" w:hanging="180"/>
              <w:rPr/>
            </w:pPr>
            <w:r>
              <w:rPr/>
              <w:t> </w:t>
            </w:r>
          </w:p>
        </w:tc>
      </w:tr>
      <w:tr>
        <w:trPr/>
        <w:tc>
          <w:tcPr>
            <w:tcW w:w="1509"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ind w:left="180" w:right="0" w:hanging="180"/>
              <w:rPr/>
            </w:pPr>
            <w:r>
              <w:rPr/>
              <w:t> </w:t>
            </w:r>
          </w:p>
        </w:tc>
        <w:tc>
          <w:tcPr>
            <w:tcW w:w="1863" w:type="dxa"/>
            <w:tcBorders/>
            <w:shd w:fill="FFFFFF" w:val="clear"/>
            <w:vAlign w:val="bottom"/>
          </w:tcPr>
          <w:p>
            <w:pPr>
              <w:pStyle w:val="TableContents"/>
              <w:spacing w:before="0" w:after="283"/>
              <w:ind w:left="180" w:right="0" w:hanging="180"/>
              <w:rPr/>
            </w:pPr>
            <w:r>
              <w:rPr/>
              <w:t> </w:t>
            </w:r>
          </w:p>
        </w:tc>
        <w:tc>
          <w:tcPr>
            <w:tcW w:w="60" w:type="dxa"/>
            <w:tcBorders/>
            <w:shd w:fill="FFFFFF" w:val="clear"/>
            <w:vAlign w:val="bottom"/>
          </w:tcPr>
          <w:p>
            <w:pPr>
              <w:pStyle w:val="TableContents"/>
              <w:spacing w:before="0" w:after="283"/>
              <w:ind w:left="180" w:right="0" w:hanging="180"/>
              <w:rPr/>
            </w:pPr>
            <w:r>
              <w:rPr/>
              <w:t> </w:t>
            </w:r>
          </w:p>
        </w:tc>
        <w:tc>
          <w:tcPr>
            <w:tcW w:w="335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8"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rPr/>
            </w:pPr>
            <w:r>
              <w:rPr/>
              <w:t> </w:t>
            </w:r>
          </w:p>
        </w:tc>
        <w:tc>
          <w:tcPr>
            <w:tcW w:w="823" w:type="dxa"/>
            <w:tcBorders/>
            <w:shd w:fill="FFFFFF" w:val="clear"/>
            <w:vAlign w:val="bottom"/>
          </w:tcPr>
          <w:p>
            <w:pPr>
              <w:pStyle w:val="TableContents"/>
              <w:spacing w:before="0" w:after="283"/>
              <w:jc w:val="right"/>
              <w:rPr/>
            </w:pPr>
            <w:r>
              <w:rPr/>
              <w:t> </w:t>
            </w:r>
          </w:p>
        </w:tc>
        <w:tc>
          <w:tcPr>
            <w:tcW w:w="292" w:type="dxa"/>
            <w:tcBorders/>
            <w:shd w:fill="FFFFFF" w:val="clear"/>
            <w:vAlign w:val="bottom"/>
          </w:tcPr>
          <w:p>
            <w:pPr>
              <w:pStyle w:val="TableContents"/>
              <w:spacing w:before="0" w:after="283"/>
              <w:rPr/>
            </w:pPr>
            <w:r>
              <w:rPr/>
              <w:t> </w:t>
            </w:r>
          </w:p>
        </w:tc>
      </w:tr>
      <w:tr>
        <w:trPr/>
        <w:tc>
          <w:tcPr>
            <w:tcW w:w="1509" w:type="dxa"/>
            <w:tcBorders/>
            <w:shd w:fill="CCEEFF" w:val="clear"/>
            <w:vAlign w:val="bottom"/>
          </w:tcPr>
          <w:p>
            <w:pPr>
              <w:pStyle w:val="TableContents"/>
              <w:spacing w:before="0" w:after="0"/>
              <w:ind w:left="180" w:right="0" w:hanging="180"/>
              <w:rPr>
                <w:color w:val="000000"/>
              </w:rPr>
            </w:pPr>
            <w:r>
              <w:rPr>
                <w:color w:val="000000"/>
              </w:rPr>
              <w:t>December 31, 2018</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ind w:left="180" w:right="0" w:hanging="180"/>
              <w:rPr/>
            </w:pPr>
            <w:r>
              <w:rPr/>
              <w:t> </w:t>
            </w:r>
          </w:p>
        </w:tc>
        <w:tc>
          <w:tcPr>
            <w:tcW w:w="1863" w:type="dxa"/>
            <w:tcBorders/>
            <w:shd w:fill="CCEEFF" w:val="clear"/>
            <w:vAlign w:val="bottom"/>
          </w:tcPr>
          <w:p>
            <w:pPr>
              <w:pStyle w:val="TableContents"/>
              <w:spacing w:before="0" w:after="283"/>
              <w:ind w:left="180" w:right="0" w:hanging="180"/>
              <w:rPr/>
            </w:pPr>
            <w:r>
              <w:rPr/>
              <w:t> </w:t>
            </w:r>
          </w:p>
        </w:tc>
        <w:tc>
          <w:tcPr>
            <w:tcW w:w="60" w:type="dxa"/>
            <w:tcBorders/>
            <w:shd w:fill="CCEEFF" w:val="clear"/>
            <w:vAlign w:val="bottom"/>
          </w:tcPr>
          <w:p>
            <w:pPr>
              <w:pStyle w:val="TableContents"/>
              <w:spacing w:before="0" w:after="283"/>
              <w:ind w:left="180" w:right="0" w:hanging="180"/>
              <w:rPr/>
            </w:pPr>
            <w:r>
              <w:rPr/>
              <w:t> </w:t>
            </w:r>
          </w:p>
        </w:tc>
        <w:tc>
          <w:tcPr>
            <w:tcW w:w="33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 </w:t>
            </w:r>
          </w:p>
        </w:tc>
        <w:tc>
          <w:tcPr>
            <w:tcW w:w="292" w:type="dxa"/>
            <w:tcBorders/>
            <w:shd w:fill="CCEEFF" w:val="clear"/>
            <w:vAlign w:val="bottom"/>
          </w:tcPr>
          <w:p>
            <w:pPr>
              <w:pStyle w:val="TableContents"/>
              <w:spacing w:before="0" w:after="283"/>
              <w:rPr/>
            </w:pPr>
            <w:r>
              <w:rPr/>
              <w:t> </w:t>
            </w:r>
          </w:p>
        </w:tc>
      </w:tr>
      <w:tr>
        <w:trPr/>
        <w:tc>
          <w:tcPr>
            <w:tcW w:w="1509" w:type="dxa"/>
            <w:tcBorders/>
            <w:shd w:fill="FFFFFF" w:val="clear"/>
            <w:vAlign w:val="bottom"/>
          </w:tcPr>
          <w:p>
            <w:pPr>
              <w:pStyle w:val="TableContents"/>
              <w:spacing w:before="0" w:after="0"/>
              <w:ind w:left="360" w:right="0" w:hanging="180"/>
              <w:rPr/>
            </w:pPr>
            <w:r>
              <w:rPr/>
              <w:t>Impaired loans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ind w:left="180" w:right="0" w:hanging="180"/>
              <w:rPr/>
            </w:pPr>
            <w:r>
              <w:rPr/>
              <w:t> </w:t>
            </w:r>
          </w:p>
        </w:tc>
        <w:tc>
          <w:tcPr>
            <w:tcW w:w="1863" w:type="dxa"/>
            <w:tcBorders/>
            <w:shd w:fill="FFFFFF" w:val="clear"/>
            <w:vAlign w:val="bottom"/>
          </w:tcPr>
          <w:p>
            <w:pPr>
              <w:pStyle w:val="TableContents"/>
              <w:spacing w:before="0" w:after="283"/>
              <w:ind w:left="180" w:right="0" w:hanging="180"/>
              <w:rPr/>
            </w:pPr>
            <w:r>
              <w:rPr/>
              <w:t> </w:t>
            </w:r>
          </w:p>
        </w:tc>
        <w:tc>
          <w:tcPr>
            <w:tcW w:w="60" w:type="dxa"/>
            <w:tcBorders/>
            <w:shd w:fill="FFFFFF" w:val="clear"/>
            <w:vAlign w:val="bottom"/>
          </w:tcPr>
          <w:p>
            <w:pPr>
              <w:pStyle w:val="TableContents"/>
              <w:spacing w:before="0" w:after="283"/>
              <w:ind w:left="180" w:right="0" w:hanging="180"/>
              <w:rPr/>
            </w:pPr>
            <w:r>
              <w:rPr/>
              <w:t> </w:t>
            </w:r>
          </w:p>
        </w:tc>
        <w:tc>
          <w:tcPr>
            <w:tcW w:w="335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8"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rPr/>
            </w:pPr>
            <w:r>
              <w:rPr/>
              <w:t> </w:t>
            </w:r>
          </w:p>
        </w:tc>
        <w:tc>
          <w:tcPr>
            <w:tcW w:w="823" w:type="dxa"/>
            <w:tcBorders/>
            <w:shd w:fill="FFFFFF" w:val="clear"/>
            <w:vAlign w:val="bottom"/>
          </w:tcPr>
          <w:p>
            <w:pPr>
              <w:pStyle w:val="TableContents"/>
              <w:spacing w:before="0" w:after="283"/>
              <w:jc w:val="right"/>
              <w:rPr/>
            </w:pPr>
            <w:r>
              <w:rPr/>
              <w:t> </w:t>
            </w:r>
          </w:p>
        </w:tc>
        <w:tc>
          <w:tcPr>
            <w:tcW w:w="292" w:type="dxa"/>
            <w:tcBorders/>
            <w:shd w:fill="FFFFFF" w:val="clear"/>
            <w:vAlign w:val="bottom"/>
          </w:tcPr>
          <w:p>
            <w:pPr>
              <w:pStyle w:val="TableContents"/>
              <w:spacing w:before="0" w:after="283"/>
              <w:rPr/>
            </w:pPr>
            <w:r>
              <w:rPr/>
              <w:t> </w:t>
            </w:r>
          </w:p>
        </w:tc>
      </w:tr>
      <w:tr>
        <w:trPr/>
        <w:tc>
          <w:tcPr>
            <w:tcW w:w="1509" w:type="dxa"/>
            <w:tcBorders/>
            <w:shd w:fill="CCEEFF" w:val="clear"/>
            <w:vAlign w:val="bottom"/>
          </w:tcPr>
          <w:p>
            <w:pPr>
              <w:pStyle w:val="TableContents"/>
              <w:spacing w:before="0" w:after="0"/>
              <w:ind w:left="540" w:right="0" w:hanging="180"/>
              <w:rPr>
                <w:color w:val="000000"/>
              </w:rPr>
            </w:pPr>
            <w:r>
              <w:rPr>
                <w:color w:val="000000"/>
              </w:rPr>
              <w:t>Commercial(1)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560" w:type="dxa"/>
            <w:tcBorders/>
            <w:shd w:fill="CCEEFF" w:val="clear"/>
            <w:vAlign w:val="bottom"/>
          </w:tcPr>
          <w:p>
            <w:pPr>
              <w:pStyle w:val="TableContents"/>
              <w:spacing w:before="0" w:after="0"/>
              <w:jc w:val="right"/>
              <w:rPr/>
            </w:pPr>
            <w:r>
              <w:rPr/>
              <w:t>2,566</w:t>
            </w:r>
          </w:p>
        </w:tc>
        <w:tc>
          <w:tcPr>
            <w:tcW w:w="60" w:type="dxa"/>
            <w:tcBorders/>
            <w:shd w:fill="CCEEFF" w:val="clear"/>
            <w:vAlign w:val="bottom"/>
          </w:tcPr>
          <w:p>
            <w:pPr>
              <w:pStyle w:val="TableContents"/>
              <w:spacing w:before="0" w:after="283"/>
              <w:rPr/>
            </w:pPr>
            <w:r>
              <w:rPr/>
              <w:t> </w:t>
            </w:r>
          </w:p>
        </w:tc>
        <w:tc>
          <w:tcPr>
            <w:tcW w:w="1863" w:type="dxa"/>
            <w:tcBorders/>
            <w:shd w:fill="CCEEFF" w:val="clear"/>
            <w:vAlign w:val="bottom"/>
          </w:tcPr>
          <w:p>
            <w:pPr>
              <w:pStyle w:val="TableContents"/>
              <w:spacing w:before="0" w:after="0"/>
              <w:ind w:left="180" w:right="0" w:hanging="180"/>
              <w:rPr/>
            </w:pPr>
            <w:r>
              <w:rPr/>
              <w:t>Sales comparison approach</w:t>
            </w:r>
          </w:p>
        </w:tc>
        <w:tc>
          <w:tcPr>
            <w:tcW w:w="60" w:type="dxa"/>
            <w:tcBorders/>
            <w:shd w:fill="CCEEFF" w:val="clear"/>
            <w:vAlign w:val="bottom"/>
          </w:tcPr>
          <w:p>
            <w:pPr>
              <w:pStyle w:val="TableContents"/>
              <w:spacing w:before="0" w:after="283"/>
              <w:rPr/>
            </w:pPr>
            <w:r>
              <w:rPr/>
              <w:t> </w:t>
            </w:r>
          </w:p>
        </w:tc>
        <w:tc>
          <w:tcPr>
            <w:tcW w:w="3353" w:type="dxa"/>
            <w:tcBorders/>
            <w:shd w:fill="CCEEFF" w:val="clear"/>
            <w:vAlign w:val="bottom"/>
          </w:tcPr>
          <w:p>
            <w:pPr>
              <w:pStyle w:val="TableContents"/>
              <w:spacing w:before="0" w:after="0"/>
              <w:ind w:left="180" w:right="0" w:hanging="180"/>
              <w:rPr/>
            </w:pPr>
            <w:r>
              <w:rPr/>
              <w:t>Adjustment for differences between comparable sales</w:t>
            </w:r>
          </w:p>
        </w:tc>
        <w:tc>
          <w:tcPr>
            <w:tcW w:w="6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0"/>
              <w:jc w:val="right"/>
              <w:rPr/>
            </w:pPr>
            <w:r>
              <w:rPr/>
              <w:t>(32.5)% to 60.0</w:t>
            </w:r>
          </w:p>
        </w:tc>
        <w:tc>
          <w:tcPr>
            <w:tcW w:w="215" w:type="dxa"/>
            <w:tcBorders/>
            <w:shd w:fill="CCEEFF" w:val="clear"/>
            <w:vAlign w:val="bottom"/>
          </w:tcPr>
          <w:p>
            <w:pPr>
              <w:pStyle w:val="TableContents"/>
              <w:spacing w:before="0" w:after="0"/>
              <w:rPr/>
            </w:pPr>
            <w:r>
              <w:rPr/>
              <w:t>%</w:t>
            </w:r>
          </w:p>
        </w:tc>
        <w:tc>
          <w:tcPr>
            <w:tcW w:w="11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0"/>
              <w:jc w:val="right"/>
              <w:rPr/>
            </w:pPr>
            <w:r>
              <w:rPr/>
              <w:t>(1.9</w:t>
            </w:r>
          </w:p>
        </w:tc>
        <w:tc>
          <w:tcPr>
            <w:tcW w:w="292" w:type="dxa"/>
            <w:tcBorders/>
            <w:shd w:fill="CCEEFF" w:val="clear"/>
            <w:vAlign w:val="bottom"/>
          </w:tcPr>
          <w:p>
            <w:pPr>
              <w:pStyle w:val="TableContents"/>
              <w:spacing w:before="0" w:after="0"/>
              <w:ind w:left="180" w:right="0" w:hanging="180"/>
              <w:rPr/>
            </w:pPr>
            <w:r>
              <w:rPr/>
              <w:t>)%</w:t>
            </w:r>
          </w:p>
        </w:tc>
      </w:tr>
      <w:tr>
        <w:trPr/>
        <w:tc>
          <w:tcPr>
            <w:tcW w:w="1509"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ind w:left="180" w:right="0" w:hanging="180"/>
              <w:rPr/>
            </w:pPr>
            <w:r>
              <w:rPr/>
              <w:t> </w:t>
            </w:r>
          </w:p>
        </w:tc>
        <w:tc>
          <w:tcPr>
            <w:tcW w:w="1863" w:type="dxa"/>
            <w:tcBorders/>
            <w:shd w:fill="FFFFFF" w:val="clear"/>
            <w:vAlign w:val="bottom"/>
          </w:tcPr>
          <w:p>
            <w:pPr>
              <w:pStyle w:val="TableContents"/>
              <w:spacing w:before="0" w:after="283"/>
              <w:ind w:left="180" w:right="0" w:hanging="180"/>
              <w:rPr/>
            </w:pPr>
            <w:r>
              <w:rPr/>
              <w:t> </w:t>
            </w:r>
          </w:p>
        </w:tc>
        <w:tc>
          <w:tcPr>
            <w:tcW w:w="60" w:type="dxa"/>
            <w:tcBorders/>
            <w:shd w:fill="FFFFFF" w:val="clear"/>
            <w:vAlign w:val="bottom"/>
          </w:tcPr>
          <w:p>
            <w:pPr>
              <w:pStyle w:val="TableContents"/>
              <w:spacing w:before="0" w:after="283"/>
              <w:ind w:left="180" w:right="0" w:hanging="180"/>
              <w:rPr/>
            </w:pPr>
            <w:r>
              <w:rPr/>
              <w:t> </w:t>
            </w:r>
          </w:p>
        </w:tc>
        <w:tc>
          <w:tcPr>
            <w:tcW w:w="335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8"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rPr/>
            </w:pPr>
            <w:r>
              <w:rPr/>
              <w:t> </w:t>
            </w:r>
          </w:p>
        </w:tc>
        <w:tc>
          <w:tcPr>
            <w:tcW w:w="823" w:type="dxa"/>
            <w:tcBorders/>
            <w:shd w:fill="FFFFFF" w:val="clear"/>
            <w:vAlign w:val="bottom"/>
          </w:tcPr>
          <w:p>
            <w:pPr>
              <w:pStyle w:val="TableContents"/>
              <w:spacing w:before="0" w:after="283"/>
              <w:jc w:val="right"/>
              <w:rPr/>
            </w:pPr>
            <w:r>
              <w:rPr/>
              <w:t> </w:t>
            </w:r>
          </w:p>
        </w:tc>
        <w:tc>
          <w:tcPr>
            <w:tcW w:w="292" w:type="dxa"/>
            <w:tcBorders/>
            <w:shd w:fill="FFFFFF" w:val="clear"/>
            <w:vAlign w:val="bottom"/>
          </w:tcPr>
          <w:p>
            <w:pPr>
              <w:pStyle w:val="TableContents"/>
              <w:spacing w:before="0" w:after="283"/>
              <w:rPr/>
            </w:pPr>
            <w:r>
              <w:rPr/>
              <w:t> </w:t>
            </w:r>
          </w:p>
        </w:tc>
      </w:tr>
      <w:tr>
        <w:trPr/>
        <w:tc>
          <w:tcPr>
            <w:tcW w:w="1509" w:type="dxa"/>
            <w:tcBorders/>
            <w:shd w:fill="CCEEFF" w:val="clear"/>
            <w:vAlign w:val="bottom"/>
          </w:tcPr>
          <w:p>
            <w:pPr>
              <w:pStyle w:val="TableContents"/>
              <w:spacing w:before="0" w:after="0"/>
              <w:ind w:left="540" w:right="0" w:hanging="180"/>
              <w:rPr>
                <w:color w:val="000000"/>
              </w:rPr>
            </w:pPr>
            <w:r>
              <w:rPr>
                <w:color w:val="000000"/>
              </w:rPr>
              <w:t>Mortgage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905</w:t>
            </w:r>
          </w:p>
        </w:tc>
        <w:tc>
          <w:tcPr>
            <w:tcW w:w="60" w:type="dxa"/>
            <w:tcBorders/>
            <w:shd w:fill="CCEEFF" w:val="clear"/>
            <w:vAlign w:val="bottom"/>
          </w:tcPr>
          <w:p>
            <w:pPr>
              <w:pStyle w:val="TableContents"/>
              <w:spacing w:before="0" w:after="283"/>
              <w:rPr/>
            </w:pPr>
            <w:r>
              <w:rPr/>
              <w:t> </w:t>
            </w:r>
          </w:p>
        </w:tc>
        <w:tc>
          <w:tcPr>
            <w:tcW w:w="1863" w:type="dxa"/>
            <w:tcBorders/>
            <w:shd w:fill="CCEEFF" w:val="clear"/>
            <w:vAlign w:val="bottom"/>
          </w:tcPr>
          <w:p>
            <w:pPr>
              <w:pStyle w:val="TableContents"/>
              <w:spacing w:before="0" w:after="0"/>
              <w:ind w:left="180" w:right="0" w:hanging="180"/>
              <w:rPr/>
            </w:pPr>
            <w:r>
              <w:rPr/>
              <w:t>Sales comparison approach</w:t>
            </w:r>
          </w:p>
        </w:tc>
        <w:tc>
          <w:tcPr>
            <w:tcW w:w="60" w:type="dxa"/>
            <w:tcBorders/>
            <w:shd w:fill="CCEEFF" w:val="clear"/>
            <w:vAlign w:val="bottom"/>
          </w:tcPr>
          <w:p>
            <w:pPr>
              <w:pStyle w:val="TableContents"/>
              <w:spacing w:before="0" w:after="283"/>
              <w:rPr/>
            </w:pPr>
            <w:r>
              <w:rPr/>
              <w:t> </w:t>
            </w:r>
          </w:p>
        </w:tc>
        <w:tc>
          <w:tcPr>
            <w:tcW w:w="3353" w:type="dxa"/>
            <w:tcBorders/>
            <w:shd w:fill="CCEEFF" w:val="clear"/>
            <w:vAlign w:val="bottom"/>
          </w:tcPr>
          <w:p>
            <w:pPr>
              <w:pStyle w:val="TableContents"/>
              <w:spacing w:before="0" w:after="0"/>
              <w:ind w:left="180" w:right="0" w:hanging="180"/>
              <w:rPr/>
            </w:pPr>
            <w:r>
              <w:rPr/>
              <w:t>Adjustment for differences between comparable sales</w:t>
            </w:r>
          </w:p>
        </w:tc>
        <w:tc>
          <w:tcPr>
            <w:tcW w:w="6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0"/>
              <w:jc w:val="right"/>
              <w:rPr/>
            </w:pPr>
            <w:r>
              <w:rPr/>
              <w:t>(40.1) to 25.6</w:t>
            </w:r>
          </w:p>
        </w:tc>
        <w:tc>
          <w:tcPr>
            <w:tcW w:w="21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0"/>
              <w:jc w:val="right"/>
              <w:rPr/>
            </w:pPr>
            <w:r>
              <w:rPr/>
              <w:t>0.7</w:t>
            </w:r>
          </w:p>
        </w:tc>
        <w:tc>
          <w:tcPr>
            <w:tcW w:w="292" w:type="dxa"/>
            <w:tcBorders/>
            <w:shd w:fill="CCEEFF" w:val="clear"/>
            <w:vAlign w:val="bottom"/>
          </w:tcPr>
          <w:p>
            <w:pPr>
              <w:pStyle w:val="TableContents"/>
              <w:spacing w:before="0" w:after="283"/>
              <w:rPr/>
            </w:pPr>
            <w:r>
              <w:rPr/>
              <w:t> </w:t>
            </w:r>
          </w:p>
        </w:tc>
      </w:tr>
      <w:tr>
        <w:trPr/>
        <w:tc>
          <w:tcPr>
            <w:tcW w:w="1509"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186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353"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098"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rPr/>
            </w:pPr>
            <w:r>
              <w:rPr/>
              <w:t> </w:t>
            </w:r>
          </w:p>
        </w:tc>
        <w:tc>
          <w:tcPr>
            <w:tcW w:w="823" w:type="dxa"/>
            <w:tcBorders/>
            <w:shd w:fill="FFFFFF" w:val="clear"/>
            <w:vAlign w:val="bottom"/>
          </w:tcPr>
          <w:p>
            <w:pPr>
              <w:pStyle w:val="TableContents"/>
              <w:spacing w:before="0" w:after="283"/>
              <w:jc w:val="right"/>
              <w:rPr/>
            </w:pPr>
            <w:r>
              <w:rPr/>
              <w:t> </w:t>
            </w:r>
          </w:p>
        </w:tc>
        <w:tc>
          <w:tcPr>
            <w:tcW w:w="292" w:type="dxa"/>
            <w:tcBorders/>
            <w:shd w:fill="FFFFFF" w:val="clear"/>
            <w:vAlign w:val="bottom"/>
          </w:tcPr>
          <w:p>
            <w:pPr>
              <w:pStyle w:val="TableContents"/>
              <w:spacing w:before="0" w:after="283"/>
              <w:rPr/>
            </w:pPr>
            <w:r>
              <w:rPr/>
              <w:t> </w:t>
            </w:r>
          </w:p>
        </w:tc>
      </w:tr>
      <w:tr>
        <w:trPr/>
        <w:tc>
          <w:tcPr>
            <w:tcW w:w="1509" w:type="dxa"/>
            <w:tcBorders/>
            <w:shd w:fill="CCEEFF" w:val="clear"/>
            <w:vAlign w:val="bottom"/>
          </w:tcPr>
          <w:p>
            <w:pPr>
              <w:pStyle w:val="TableContents"/>
              <w:spacing w:before="0" w:after="0"/>
              <w:ind w:left="360" w:right="0" w:hanging="180"/>
              <w:rPr>
                <w:color w:val="000000"/>
              </w:rPr>
            </w:pPr>
            <w:r>
              <w:rPr>
                <w:color w:val="000000"/>
              </w:rPr>
              <w:t>Other real estate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ind w:left="180" w:right="0" w:hanging="180"/>
              <w:rPr/>
            </w:pPr>
            <w:r>
              <w:rPr/>
              <w:t> </w:t>
            </w:r>
          </w:p>
        </w:tc>
        <w:tc>
          <w:tcPr>
            <w:tcW w:w="1863" w:type="dxa"/>
            <w:tcBorders/>
            <w:shd w:fill="CCEEFF" w:val="clear"/>
            <w:vAlign w:val="bottom"/>
          </w:tcPr>
          <w:p>
            <w:pPr>
              <w:pStyle w:val="TableContents"/>
              <w:spacing w:before="0" w:after="283"/>
              <w:ind w:left="180" w:right="0" w:hanging="180"/>
              <w:rPr/>
            </w:pPr>
            <w:r>
              <w:rPr/>
              <w:t> </w:t>
            </w:r>
          </w:p>
        </w:tc>
        <w:tc>
          <w:tcPr>
            <w:tcW w:w="60" w:type="dxa"/>
            <w:tcBorders/>
            <w:shd w:fill="CCEEFF" w:val="clear"/>
            <w:vAlign w:val="bottom"/>
          </w:tcPr>
          <w:p>
            <w:pPr>
              <w:pStyle w:val="TableContents"/>
              <w:spacing w:before="0" w:after="283"/>
              <w:ind w:left="180" w:right="0" w:hanging="180"/>
              <w:rPr/>
            </w:pPr>
            <w:r>
              <w:rPr/>
              <w:t> </w:t>
            </w:r>
          </w:p>
        </w:tc>
        <w:tc>
          <w:tcPr>
            <w:tcW w:w="335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 </w:t>
            </w:r>
          </w:p>
        </w:tc>
        <w:tc>
          <w:tcPr>
            <w:tcW w:w="292" w:type="dxa"/>
            <w:tcBorders/>
            <w:shd w:fill="CCEEFF" w:val="clear"/>
            <w:vAlign w:val="bottom"/>
          </w:tcPr>
          <w:p>
            <w:pPr>
              <w:pStyle w:val="TableContents"/>
              <w:spacing w:before="0" w:after="283"/>
              <w:ind w:left="180" w:right="0" w:hanging="180"/>
              <w:rPr/>
            </w:pPr>
            <w:r>
              <w:rPr/>
              <w:t> </w:t>
            </w:r>
          </w:p>
        </w:tc>
      </w:tr>
      <w:tr>
        <w:trPr/>
        <w:tc>
          <w:tcPr>
            <w:tcW w:w="1509" w:type="dxa"/>
            <w:tcBorders/>
            <w:shd w:fill="FFFFFF" w:val="clear"/>
            <w:vAlign w:val="bottom"/>
          </w:tcPr>
          <w:p>
            <w:pPr>
              <w:pStyle w:val="TableContents"/>
              <w:spacing w:before="0" w:after="0"/>
              <w:ind w:left="720" w:right="0" w:hanging="180"/>
              <w:rPr>
                <w:color w:val="000000"/>
              </w:rPr>
            </w:pPr>
            <w:r>
              <w:rPr>
                <w:color w:val="000000"/>
              </w:rPr>
              <w:t>Mortgage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pPr>
            <w:r>
              <w:rPr/>
              <w:t>154</w:t>
            </w:r>
          </w:p>
        </w:tc>
        <w:tc>
          <w:tcPr>
            <w:tcW w:w="60" w:type="dxa"/>
            <w:tcBorders/>
            <w:shd w:fill="FFFFFF" w:val="clear"/>
            <w:vAlign w:val="bottom"/>
          </w:tcPr>
          <w:p>
            <w:pPr>
              <w:pStyle w:val="TableContents"/>
              <w:spacing w:before="0" w:after="283"/>
              <w:rPr/>
            </w:pPr>
            <w:r>
              <w:rPr/>
              <w:t> </w:t>
            </w:r>
          </w:p>
        </w:tc>
        <w:tc>
          <w:tcPr>
            <w:tcW w:w="1863" w:type="dxa"/>
            <w:tcBorders/>
            <w:shd w:fill="FFFFFF" w:val="clear"/>
            <w:vAlign w:val="bottom"/>
          </w:tcPr>
          <w:p>
            <w:pPr>
              <w:pStyle w:val="TableContents"/>
              <w:spacing w:before="0" w:after="0"/>
              <w:ind w:left="180" w:right="0" w:hanging="180"/>
              <w:rPr/>
            </w:pPr>
            <w:r>
              <w:rPr/>
              <w:t>Sales comparison approach</w:t>
            </w:r>
          </w:p>
        </w:tc>
        <w:tc>
          <w:tcPr>
            <w:tcW w:w="60" w:type="dxa"/>
            <w:tcBorders/>
            <w:shd w:fill="FFFFFF" w:val="clear"/>
            <w:vAlign w:val="bottom"/>
          </w:tcPr>
          <w:p>
            <w:pPr>
              <w:pStyle w:val="TableContents"/>
              <w:spacing w:before="0" w:after="283"/>
              <w:rPr/>
            </w:pPr>
            <w:r>
              <w:rPr/>
              <w:t> </w:t>
            </w:r>
          </w:p>
        </w:tc>
        <w:tc>
          <w:tcPr>
            <w:tcW w:w="3353" w:type="dxa"/>
            <w:tcBorders/>
            <w:shd w:fill="FFFFFF" w:val="clear"/>
            <w:vAlign w:val="bottom"/>
          </w:tcPr>
          <w:p>
            <w:pPr>
              <w:pStyle w:val="TableContents"/>
              <w:spacing w:before="0" w:after="0"/>
              <w:ind w:left="180" w:right="0" w:hanging="180"/>
              <w:rPr/>
            </w:pPr>
            <w:r>
              <w:rPr/>
              <w:t>Adjustment for  differences between comparable sales</w:t>
            </w:r>
          </w:p>
        </w:tc>
        <w:tc>
          <w:tcPr>
            <w:tcW w:w="60" w:type="dxa"/>
            <w:tcBorders/>
            <w:shd w:fill="FFFFFF" w:val="clear"/>
            <w:vAlign w:val="bottom"/>
          </w:tcPr>
          <w:p>
            <w:pPr>
              <w:pStyle w:val="TableContents"/>
              <w:spacing w:before="0" w:after="283"/>
              <w:rPr/>
            </w:pPr>
            <w:r>
              <w:rPr/>
              <w:t> </w:t>
            </w:r>
          </w:p>
        </w:tc>
        <w:tc>
          <w:tcPr>
            <w:tcW w:w="1098" w:type="dxa"/>
            <w:tcBorders/>
            <w:shd w:fill="FFFFFF" w:val="clear"/>
            <w:vAlign w:val="bottom"/>
          </w:tcPr>
          <w:p>
            <w:pPr>
              <w:pStyle w:val="TableContents"/>
              <w:spacing w:before="0" w:after="0"/>
              <w:jc w:val="right"/>
              <w:rPr/>
            </w:pPr>
            <w:r>
              <w:rPr/>
              <w:t>0.0 to 34.1</w:t>
            </w:r>
          </w:p>
        </w:tc>
        <w:tc>
          <w:tcPr>
            <w:tcW w:w="215" w:type="dxa"/>
            <w:tcBorders/>
            <w:shd w:fill="FFFFFF" w:val="clear"/>
            <w:vAlign w:val="bottom"/>
          </w:tcPr>
          <w:p>
            <w:pPr>
              <w:pStyle w:val="TableContents"/>
              <w:spacing w:before="0" w:after="283"/>
              <w:rPr/>
            </w:pPr>
            <w:r>
              <w:rPr/>
              <w:t> </w:t>
            </w:r>
          </w:p>
        </w:tc>
        <w:tc>
          <w:tcPr>
            <w:tcW w:w="112" w:type="dxa"/>
            <w:tcBorders/>
            <w:shd w:fill="FFFFFF" w:val="clear"/>
            <w:vAlign w:val="bottom"/>
          </w:tcPr>
          <w:p>
            <w:pPr>
              <w:pStyle w:val="TableContents"/>
              <w:spacing w:before="0" w:after="283"/>
              <w:rPr/>
            </w:pPr>
            <w:r>
              <w:rPr/>
              <w:t> </w:t>
            </w:r>
          </w:p>
        </w:tc>
        <w:tc>
          <w:tcPr>
            <w:tcW w:w="823" w:type="dxa"/>
            <w:tcBorders/>
            <w:shd w:fill="FFFFFF" w:val="clear"/>
            <w:vAlign w:val="bottom"/>
          </w:tcPr>
          <w:p>
            <w:pPr>
              <w:pStyle w:val="TableContents"/>
              <w:spacing w:before="0" w:after="0"/>
              <w:jc w:val="right"/>
              <w:rPr/>
            </w:pPr>
            <w:r>
              <w:rPr/>
              <w:t>11.2</w:t>
            </w:r>
          </w:p>
        </w:tc>
        <w:tc>
          <w:tcPr>
            <w:tcW w:w="292" w:type="dxa"/>
            <w:tcBorders/>
            <w:shd w:fill="FFFF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520" w:name="zbba9b4e3406c47f9a263fa73f7f7fc00"/>
      <w:bookmarkStart w:id="521" w:name="zbba9b4e3406c47f9a263fa73f7f7fc00"/>
      <w:bookmarkEnd w:id="521"/>
    </w:p>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rPr/>
            </w:pPr>
            <w:r>
              <w:rPr/>
              <w:t>(1)</w:t>
            </w:r>
          </w:p>
        </w:tc>
        <w:tc>
          <w:tcPr>
            <w:tcW w:w="9966" w:type="dxa"/>
            <w:tcBorders/>
            <w:shd w:fill="auto" w:val="clear"/>
            <w:vAlign w:val="center"/>
          </w:tcPr>
          <w:p>
            <w:pPr>
              <w:pStyle w:val="TableContents"/>
              <w:spacing w:before="0" w:after="0"/>
              <w:jc w:val="both"/>
              <w:rPr/>
            </w:pPr>
            <w:r>
              <w:rPr/>
              <w:t>In addition to the valuation techniques and unobservable inputs discussed above, at June 30, 2019 and December 31, 2018, we had an impaired collateral dependent commercial relationship that totaled $0.5 million and $0.7 million, respectively that was secured by collateral other than real estate. Collateral securing this relationship primarily included accounts receivable, inventory and cash at June 30, 2019 and December 31, 2018. Valuation techniques at June 30, 2019 and December 31, 2018, included discounting financial statement values for each particular asset type. Discount rates used ranged from 5% to 97% of stated values at June 30, 2019 and 20% to 80% of stated values at December 31, 2018.</w:t>
            </w:r>
          </w:p>
        </w:tc>
      </w:tr>
    </w:tbl>
    <w:p>
      <w:pPr>
        <w:pStyle w:val="Normal"/>
        <w:spacing w:before="0" w:after="0"/>
        <w:rPr>
          <w:sz w:val="4"/>
          <w:szCs w:val="4"/>
        </w:rPr>
      </w:pPr>
      <w:r>
        <w:rPr>
          <w:sz w:val="4"/>
          <w:szCs w:val="4"/>
        </w:rPr>
      </w:r>
      <w:bookmarkStart w:id="522" w:name="z4abc765845754c6191706808b298276f"/>
      <w:bookmarkStart w:id="523" w:name="z4abc765845754c6191706808b298276f"/>
      <w:bookmarkEnd w:id="523"/>
    </w:p>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rPr/>
            </w:pPr>
            <w:r>
              <w:rPr/>
              <w:t>(2)</w:t>
            </w:r>
          </w:p>
        </w:tc>
        <w:tc>
          <w:tcPr>
            <w:tcW w:w="9954" w:type="dxa"/>
            <w:tcBorders/>
            <w:shd w:fill="auto" w:val="clear"/>
            <w:vAlign w:val="center"/>
          </w:tcPr>
          <w:p>
            <w:pPr>
              <w:pStyle w:val="TableContents"/>
              <w:spacing w:before="0" w:after="0"/>
              <w:jc w:val="both"/>
              <w:rPr/>
            </w:pPr>
            <w:r>
              <w:rPr/>
              <w:t>In addition to the valuation techniques and unobservable inputs discussed above, at June 30, 2019 certain impaired collateral dependent installment loans totaling approximately $0.1 million are secured by collateral other than real estate.  For the majority of these loans, we apply internal discount rates to industry valuation guides.</w:t>
            </w:r>
          </w:p>
        </w:tc>
      </w:tr>
    </w:tbl>
    <w:p>
      <w:pPr>
        <w:pStyle w:val="TextBody"/>
        <w:spacing w:before="0" w:after="0"/>
        <w:rPr/>
      </w:pPr>
      <w:r>
        <w:rPr/>
      </w:r>
    </w:p>
    <w:p>
      <w:pPr>
        <w:pStyle w:val="TextBody"/>
        <w:spacing w:before="0" w:after="0"/>
        <w:jc w:val="both"/>
        <w:rPr/>
      </w:pPr>
      <w:r>
        <w:rPr/>
        <w:t>The following table reflects the difference between the aggregate fair value and the aggregate remaining contractual principal balance outstanding for loans held for sale for which the fair value option has been elected for the periods presented.</w:t>
      </w:r>
    </w:p>
    <w:p>
      <w:pPr>
        <w:pStyle w:val="TextBody"/>
        <w:spacing w:before="0" w:after="0"/>
        <w:rPr/>
      </w:pPr>
      <w:r>
        <w:rPr/>
      </w:r>
    </w:p>
    <w:p>
      <w:pPr>
        <w:pStyle w:val="Normal"/>
        <w:spacing w:before="0" w:after="0"/>
        <w:rPr>
          <w:sz w:val="4"/>
          <w:szCs w:val="4"/>
        </w:rPr>
      </w:pPr>
      <w:r>
        <w:rPr>
          <w:sz w:val="4"/>
          <w:szCs w:val="4"/>
        </w:rPr>
      </w:r>
      <w:bookmarkStart w:id="524" w:name="z3287cdac3d0c40ff92823d259aa89a59"/>
      <w:bookmarkStart w:id="525" w:name="z3287cdac3d0c40ff92823d259aa89a59"/>
      <w:bookmarkEnd w:id="525"/>
    </w:p>
    <w:tbl>
      <w:tblPr>
        <w:tblW w:w="5450" w:type="dxa"/>
        <w:jc w:val="left"/>
        <w:tblInd w:w="0" w:type="dxa"/>
        <w:tblCellMar>
          <w:top w:w="0" w:type="dxa"/>
          <w:left w:w="0" w:type="dxa"/>
          <w:bottom w:w="0" w:type="dxa"/>
          <w:right w:w="0" w:type="dxa"/>
        </w:tblCellMar>
      </w:tblPr>
      <w:tblGrid>
        <w:gridCol w:w="1910"/>
        <w:gridCol w:w="60"/>
        <w:gridCol w:w="175"/>
        <w:gridCol w:w="850"/>
        <w:gridCol w:w="60"/>
        <w:gridCol w:w="60"/>
        <w:gridCol w:w="205"/>
        <w:gridCol w:w="820"/>
        <w:gridCol w:w="60"/>
        <w:gridCol w:w="60"/>
        <w:gridCol w:w="190"/>
        <w:gridCol w:w="925"/>
        <w:gridCol w:w="75"/>
      </w:tblGrid>
      <w:tr>
        <w:trPr/>
        <w:tc>
          <w:tcPr>
            <w:tcW w:w="19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bottom"/>
          </w:tcPr>
          <w:p>
            <w:pPr>
              <w:pStyle w:val="TableContents"/>
              <w:spacing w:before="0" w:after="0"/>
              <w:jc w:val="center"/>
              <w:rPr/>
            </w:pPr>
            <w:r>
              <w:rPr/>
              <w:t>Aggregate</w:t>
            </w:r>
          </w:p>
          <w:p>
            <w:pPr>
              <w:pStyle w:val="TableContents"/>
              <w:spacing w:before="0" w:after="0"/>
              <w:jc w:val="center"/>
              <w:rPr/>
            </w:pPr>
            <w:r>
              <w:rPr/>
              <w:t>Fair Value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bottom"/>
          </w:tcPr>
          <w:p>
            <w:pPr>
              <w:pStyle w:val="TableContents"/>
              <w:spacing w:before="0" w:after="0"/>
              <w:jc w:val="center"/>
              <w:rPr/>
            </w:pPr>
            <w:r>
              <w:rPr/>
              <w:t>Difference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bottom"/>
          </w:tcPr>
          <w:p>
            <w:pPr>
              <w:pStyle w:val="TableContents"/>
              <w:spacing w:before="0" w:after="0"/>
              <w:jc w:val="center"/>
              <w:rPr/>
            </w:pPr>
            <w:r>
              <w:rPr/>
              <w:t>Contractual</w:t>
            </w:r>
          </w:p>
          <w:p>
            <w:pPr>
              <w:pStyle w:val="TableContents"/>
              <w:spacing w:before="0" w:after="0"/>
              <w:jc w:val="center"/>
              <w:rPr/>
            </w:pPr>
            <w:r>
              <w:rPr/>
              <w:t>Principal</w:t>
            </w:r>
          </w:p>
        </w:tc>
        <w:tc>
          <w:tcPr>
            <w:tcW w:w="75" w:type="dxa"/>
            <w:tcBorders/>
            <w:shd w:fill="auto" w:val="clear"/>
            <w:vAlign w:val="bottom"/>
          </w:tcPr>
          <w:p>
            <w:pPr>
              <w:pStyle w:val="TableContents"/>
              <w:spacing w:before="0" w:after="283"/>
              <w:rPr/>
            </w:pPr>
            <w:r>
              <w:rPr/>
              <w:t> </w:t>
            </w:r>
          </w:p>
        </w:tc>
      </w:tr>
      <w:tr>
        <w:trPr/>
        <w:tc>
          <w:tcPr>
            <w:tcW w:w="19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05" w:type="dxa"/>
            <w:gridSpan w:val="10"/>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1910" w:type="dxa"/>
            <w:tcBorders/>
            <w:shd w:fill="auto" w:val="clear"/>
            <w:vAlign w:val="bottom"/>
          </w:tcPr>
          <w:p>
            <w:pPr>
              <w:pStyle w:val="TableContents"/>
              <w:spacing w:before="0" w:after="0"/>
              <w:ind w:left="144" w:right="0" w:hanging="144"/>
              <w:rPr/>
            </w:pPr>
            <w:r>
              <w:rPr/>
              <w:t>Loans held for sale</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1910" w:type="dxa"/>
            <w:tcBorders/>
            <w:shd w:fill="CCEEFF" w:val="clear"/>
            <w:vAlign w:val="bottom"/>
          </w:tcPr>
          <w:p>
            <w:pPr>
              <w:pStyle w:val="TableContents"/>
              <w:spacing w:before="0" w:after="0"/>
              <w:ind w:left="324" w:right="0" w:hanging="144"/>
              <w:rPr/>
            </w:pPr>
            <w:r>
              <w:rPr/>
              <w:t>June 30, 2019</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pPr>
            <w:r>
              <w:rPr/>
              <w:t>$</w:t>
            </w:r>
          </w:p>
        </w:tc>
        <w:tc>
          <w:tcPr>
            <w:tcW w:w="850" w:type="dxa"/>
            <w:tcBorders/>
            <w:shd w:fill="CCEEFF" w:val="clear"/>
            <w:vAlign w:val="bottom"/>
          </w:tcPr>
          <w:p>
            <w:pPr>
              <w:pStyle w:val="TableContents"/>
              <w:spacing w:before="0" w:after="0"/>
              <w:jc w:val="right"/>
              <w:rPr/>
            </w:pPr>
            <w:r>
              <w:rPr/>
              <w:t>62,883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0"/>
              <w:rPr/>
            </w:pPr>
            <w:r>
              <w:rPr/>
              <w:t>$</w:t>
            </w:r>
          </w:p>
        </w:tc>
        <w:tc>
          <w:tcPr>
            <w:tcW w:w="820" w:type="dxa"/>
            <w:tcBorders/>
            <w:shd w:fill="CCEEFF" w:val="clear"/>
            <w:vAlign w:val="bottom"/>
          </w:tcPr>
          <w:p>
            <w:pPr>
              <w:pStyle w:val="TableContents"/>
              <w:spacing w:before="0" w:after="0"/>
              <w:jc w:val="right"/>
              <w:rPr/>
            </w:pPr>
            <w:r>
              <w:rPr/>
              <w:t>1,834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0"/>
              <w:rPr/>
            </w:pPr>
            <w:r>
              <w:rPr/>
              <w:t>$</w:t>
            </w:r>
          </w:p>
        </w:tc>
        <w:tc>
          <w:tcPr>
            <w:tcW w:w="925" w:type="dxa"/>
            <w:tcBorders/>
            <w:shd w:fill="CCEEFF" w:val="clear"/>
            <w:vAlign w:val="bottom"/>
          </w:tcPr>
          <w:p>
            <w:pPr>
              <w:pStyle w:val="TableContents"/>
              <w:spacing w:before="0" w:after="0"/>
              <w:jc w:val="right"/>
              <w:rPr/>
            </w:pPr>
            <w:r>
              <w:rPr/>
              <w:t>61,049</w:t>
            </w:r>
          </w:p>
        </w:tc>
        <w:tc>
          <w:tcPr>
            <w:tcW w:w="75" w:type="dxa"/>
            <w:tcBorders/>
            <w:shd w:fill="CCEEFF" w:val="clear"/>
            <w:vAlign w:val="bottom"/>
          </w:tcPr>
          <w:p>
            <w:pPr>
              <w:pStyle w:val="TableContents"/>
              <w:spacing w:before="0" w:after="283"/>
              <w:rPr/>
            </w:pPr>
            <w:r>
              <w:rPr/>
              <w:t> </w:t>
            </w:r>
          </w:p>
        </w:tc>
      </w:tr>
      <w:tr>
        <w:trPr/>
        <w:tc>
          <w:tcPr>
            <w:tcW w:w="1910" w:type="dxa"/>
            <w:tcBorders/>
            <w:shd w:fill="FFFFFF" w:val="clear"/>
            <w:vAlign w:val="bottom"/>
          </w:tcPr>
          <w:p>
            <w:pPr>
              <w:pStyle w:val="TableContents"/>
              <w:spacing w:before="0" w:after="0"/>
              <w:ind w:left="324" w:right="0" w:hanging="144"/>
              <w:rPr/>
            </w:pPr>
            <w:r>
              <w:rPr/>
              <w:t>December 31, 2018</w:t>
            </w:r>
          </w:p>
        </w:tc>
        <w:tc>
          <w:tcPr>
            <w:tcW w:w="60" w:type="dxa"/>
            <w:tcBorders/>
            <w:shd w:fill="FFFFFF" w:val="clear"/>
            <w:vAlign w:val="bottom"/>
          </w:tcPr>
          <w:p>
            <w:pPr>
              <w:pStyle w:val="TableContents"/>
              <w:spacing w:before="0" w:after="283"/>
              <w:rPr/>
            </w:pPr>
            <w:r>
              <w:rPr/>
              <w:t> </w:t>
            </w:r>
          </w:p>
        </w:tc>
        <w:tc>
          <w:tcPr>
            <w:tcW w:w="175" w:type="dxa"/>
            <w:tcBorders/>
            <w:shd w:fill="FFFFFF" w:val="clear"/>
            <w:vAlign w:val="bottom"/>
          </w:tcPr>
          <w:p>
            <w:pPr>
              <w:pStyle w:val="TableContents"/>
              <w:spacing w:before="0" w:after="283"/>
              <w:rPr/>
            </w:pPr>
            <w:r>
              <w:rPr/>
              <w:t> </w:t>
            </w:r>
          </w:p>
        </w:tc>
        <w:tc>
          <w:tcPr>
            <w:tcW w:w="850" w:type="dxa"/>
            <w:tcBorders/>
            <w:shd w:fill="FFFFFF" w:val="clear"/>
            <w:vAlign w:val="bottom"/>
          </w:tcPr>
          <w:p>
            <w:pPr>
              <w:pStyle w:val="TableContents"/>
              <w:spacing w:before="0" w:after="0"/>
              <w:jc w:val="right"/>
              <w:rPr/>
            </w:pPr>
            <w:r>
              <w:rPr/>
              <w:t>44,753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820" w:type="dxa"/>
            <w:tcBorders/>
            <w:shd w:fill="FFFFFF" w:val="clear"/>
            <w:vAlign w:val="bottom"/>
          </w:tcPr>
          <w:p>
            <w:pPr>
              <w:pStyle w:val="TableContents"/>
              <w:spacing w:before="0" w:after="0"/>
              <w:jc w:val="right"/>
              <w:rPr/>
            </w:pPr>
            <w:r>
              <w:rPr/>
              <w:t>1,257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925" w:type="dxa"/>
            <w:tcBorders/>
            <w:shd w:fill="FFFFFF" w:val="clear"/>
            <w:vAlign w:val="bottom"/>
          </w:tcPr>
          <w:p>
            <w:pPr>
              <w:pStyle w:val="TableContents"/>
              <w:spacing w:before="0" w:after="0"/>
              <w:jc w:val="right"/>
              <w:rPr/>
            </w:pPr>
            <w:r>
              <w:rPr/>
              <w:t>43,496</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26" w:name="DSPFPageBreakArea49"/>
      <w:bookmarkStart w:id="527" w:name="DSPFPageBreakArea49"/>
      <w:bookmarkEnd w:id="5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28" w:name="DSPFPageNumber49"/>
      <w:bookmarkStart w:id="529" w:name="DSPFPageNumberArea48"/>
      <w:bookmarkEnd w:id="528"/>
      <w:bookmarkEnd w:id="529"/>
      <w:r>
        <w:rPr>
          <w:b w:val="false"/>
          <w:i w:val="false"/>
          <w:caps w:val="false"/>
          <w:smallCaps w:val="false"/>
          <w:sz w:val="13"/>
        </w:rPr>
        <w:t>50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30" w:name="DSPFPageBreak49"/>
      <w:bookmarkStart w:id="531" w:name="DSPFPageBreak49"/>
      <w:bookmarkEnd w:id="5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32" w:name="DSPFPageHeader48"/>
        <w:bookmarkEnd w:id="532"/>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 xml:space="preserve">12.  </w:t>
      </w:r>
      <w:r>
        <w:rPr>
          <w:u w:val="single"/>
        </w:rPr>
        <w:t>Fair Values of Financial Instruments</w:t>
      </w:r>
    </w:p>
    <w:p>
      <w:pPr>
        <w:pStyle w:val="TextBody"/>
        <w:spacing w:before="0" w:after="0"/>
        <w:rPr/>
      </w:pPr>
      <w:r>
        <w:rPr/>
      </w:r>
    </w:p>
    <w:p>
      <w:pPr>
        <w:pStyle w:val="TextBody"/>
        <w:spacing w:before="0" w:after="0"/>
        <w:jc w:val="both"/>
        <w:rPr/>
      </w:pPr>
      <w:r>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pStyle w:val="TextBody"/>
        <w:spacing w:before="0" w:after="0"/>
        <w:rPr/>
      </w:pPr>
      <w:r>
        <w:rPr/>
      </w:r>
    </w:p>
    <w:p>
      <w:pPr>
        <w:pStyle w:val="TextBody"/>
        <w:spacing w:before="0" w:after="0"/>
        <w:jc w:val="both"/>
        <w:rPr/>
      </w:pPr>
      <w:r>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33" w:name="DSPFPageBreakArea50"/>
      <w:bookmarkStart w:id="534" w:name="DSPFPageBreakArea50"/>
      <w:bookmarkEnd w:id="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35" w:name="DSPFPageNumber50"/>
      <w:bookmarkStart w:id="536" w:name="DSPFPageNumberArea49"/>
      <w:bookmarkEnd w:id="535"/>
      <w:bookmarkEnd w:id="536"/>
      <w:r>
        <w:rPr>
          <w:b w:val="false"/>
          <w:i w:val="false"/>
          <w:caps w:val="false"/>
          <w:smallCaps w:val="false"/>
          <w:sz w:val="13"/>
        </w:rPr>
        <w:t>51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37" w:name="DSPFPageBreak50"/>
      <w:bookmarkStart w:id="538" w:name="DSPFPageBreak50"/>
      <w:bookmarkEnd w:id="5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39" w:name="DSPFPageHeader49"/>
        <w:bookmarkEnd w:id="539"/>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pPr>
      <w:r>
        <w:rPr/>
        <w:t>The estimated recorded book balances and fair values follow:</w:t>
      </w:r>
    </w:p>
    <w:p>
      <w:pPr>
        <w:pStyle w:val="TextBody"/>
        <w:spacing w:before="0" w:after="0"/>
        <w:rPr/>
      </w:pPr>
      <w:r>
        <w:rPr/>
      </w:r>
    </w:p>
    <w:p>
      <w:pPr>
        <w:pStyle w:val="Normal"/>
        <w:spacing w:before="0" w:after="0"/>
        <w:rPr>
          <w:sz w:val="4"/>
          <w:szCs w:val="4"/>
        </w:rPr>
      </w:pPr>
      <w:r>
        <w:rPr>
          <w:sz w:val="4"/>
          <w:szCs w:val="4"/>
        </w:rPr>
      </w:r>
      <w:bookmarkStart w:id="540" w:name="z15f01ee56ae54ed2b0cae3ea94d5a80f"/>
      <w:bookmarkStart w:id="541" w:name="z15f01ee56ae54ed2b0cae3ea94d5a80f"/>
      <w:bookmarkEnd w:id="541"/>
    </w:p>
    <w:tbl>
      <w:tblPr>
        <w:tblW w:w="10205" w:type="dxa"/>
        <w:jc w:val="left"/>
        <w:tblInd w:w="0" w:type="dxa"/>
        <w:tblCellMar>
          <w:top w:w="0" w:type="dxa"/>
          <w:left w:w="0" w:type="dxa"/>
          <w:bottom w:w="0" w:type="dxa"/>
          <w:right w:w="0" w:type="dxa"/>
        </w:tblCellMar>
      </w:tblPr>
      <w:tblGrid>
        <w:gridCol w:w="4010"/>
        <w:gridCol w:w="60"/>
        <w:gridCol w:w="140"/>
        <w:gridCol w:w="980"/>
        <w:gridCol w:w="60"/>
        <w:gridCol w:w="60"/>
        <w:gridCol w:w="140"/>
        <w:gridCol w:w="980"/>
        <w:gridCol w:w="60"/>
        <w:gridCol w:w="60"/>
        <w:gridCol w:w="140"/>
        <w:gridCol w:w="980"/>
        <w:gridCol w:w="60"/>
        <w:gridCol w:w="60"/>
        <w:gridCol w:w="163"/>
        <w:gridCol w:w="937"/>
        <w:gridCol w:w="60"/>
        <w:gridCol w:w="60"/>
        <w:gridCol w:w="140"/>
        <w:gridCol w:w="980"/>
        <w:gridCol w:w="75"/>
      </w:tblGrid>
      <w:tr>
        <w:trPr/>
        <w:tc>
          <w:tcPr>
            <w:tcW w:w="4010"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80" w:type="dxa"/>
            <w:gridSpan w:val="10"/>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Fair Value Using</w:t>
            </w:r>
          </w:p>
        </w:tc>
        <w:tc>
          <w:tcPr>
            <w:tcW w:w="75" w:type="dxa"/>
            <w:tcBorders/>
            <w:shd w:fill="auto" w:val="clear"/>
            <w:vAlign w:val="bottom"/>
          </w:tcPr>
          <w:p>
            <w:pPr>
              <w:pStyle w:val="TableContents"/>
              <w:spacing w:before="0" w:after="283"/>
              <w:rPr/>
            </w:pPr>
            <w:r>
              <w:rPr/>
              <w:t> </w:t>
            </w:r>
          </w:p>
        </w:tc>
      </w:tr>
      <w:tr>
        <w:trPr/>
        <w:tc>
          <w:tcPr>
            <w:tcW w:w="4010"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Recorded</w:t>
            </w:r>
          </w:p>
          <w:p>
            <w:pPr>
              <w:pStyle w:val="TableContents"/>
              <w:spacing w:before="0" w:after="0"/>
              <w:jc w:val="center"/>
              <w:rPr>
                <w:color w:val="000000"/>
              </w:rPr>
            </w:pPr>
            <w:r>
              <w:rPr>
                <w:color w:val="000000"/>
              </w:rPr>
              <w:t>Book</w:t>
            </w:r>
          </w:p>
          <w:p>
            <w:pPr>
              <w:pStyle w:val="TableContents"/>
              <w:spacing w:before="0" w:after="0"/>
              <w:jc w:val="center"/>
              <w:rPr>
                <w:color w:val="000000"/>
              </w:rPr>
            </w:pPr>
            <w:r>
              <w:rPr>
                <w:color w:val="000000"/>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Fair Value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Quoted</w:t>
            </w:r>
          </w:p>
          <w:p>
            <w:pPr>
              <w:pStyle w:val="TableContents"/>
              <w:spacing w:before="0" w:after="0"/>
              <w:jc w:val="center"/>
              <w:rPr>
                <w:color w:val="000000"/>
              </w:rPr>
            </w:pPr>
            <w:r>
              <w:rPr>
                <w:color w:val="000000"/>
              </w:rPr>
              <w:t>Prices</w:t>
            </w:r>
          </w:p>
          <w:p>
            <w:pPr>
              <w:pStyle w:val="TableContents"/>
              <w:spacing w:before="0" w:after="0"/>
              <w:jc w:val="center"/>
              <w:rPr>
                <w:color w:val="000000"/>
              </w:rPr>
            </w:pPr>
            <w:r>
              <w:rPr>
                <w:color w:val="000000"/>
              </w:rPr>
              <w:t>in Active</w:t>
            </w:r>
          </w:p>
          <w:p>
            <w:pPr>
              <w:pStyle w:val="TableContents"/>
              <w:spacing w:before="0" w:after="0"/>
              <w:jc w:val="center"/>
              <w:rPr>
                <w:color w:val="000000"/>
              </w:rPr>
            </w:pPr>
            <w:r>
              <w:rPr>
                <w:color w:val="000000"/>
              </w:rPr>
              <w:t>Markets</w:t>
            </w:r>
          </w:p>
          <w:p>
            <w:pPr>
              <w:pStyle w:val="TableContents"/>
              <w:spacing w:before="0" w:after="0"/>
              <w:jc w:val="center"/>
              <w:rPr>
                <w:color w:val="000000"/>
              </w:rPr>
            </w:pPr>
            <w:r>
              <w:rPr>
                <w:color w:val="000000"/>
              </w:rPr>
              <w:t>for</w:t>
            </w:r>
          </w:p>
          <w:p>
            <w:pPr>
              <w:pStyle w:val="TableContents"/>
              <w:spacing w:before="0" w:after="0"/>
              <w:jc w:val="center"/>
              <w:rPr>
                <w:color w:val="000000"/>
              </w:rPr>
            </w:pPr>
            <w:r>
              <w:rPr>
                <w:color w:val="000000"/>
              </w:rPr>
              <w:t>Identical</w:t>
            </w:r>
          </w:p>
          <w:p>
            <w:pPr>
              <w:pStyle w:val="TableContents"/>
              <w:spacing w:before="0" w:after="0"/>
              <w:jc w:val="center"/>
              <w:rPr>
                <w:color w:val="000000"/>
              </w:rPr>
            </w:pPr>
            <w:r>
              <w:rPr>
                <w:color w:val="000000"/>
              </w:rPr>
              <w:t>Assets</w:t>
            </w:r>
          </w:p>
          <w:p>
            <w:pPr>
              <w:pStyle w:val="TableContents"/>
              <w:spacing w:before="0" w:after="0"/>
              <w:jc w:val="center"/>
              <w:rPr>
                <w:color w:val="000000"/>
              </w:rPr>
            </w:pPr>
            <w:r>
              <w:rPr>
                <w:color w:val="000000"/>
              </w:rPr>
              <w:t>(Level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Significant</w:t>
            </w:r>
          </w:p>
          <w:p>
            <w:pPr>
              <w:pStyle w:val="TableContents"/>
              <w:spacing w:before="0" w:after="0"/>
              <w:jc w:val="center"/>
              <w:rPr>
                <w:color w:val="000000"/>
              </w:rPr>
            </w:pPr>
            <w:r>
              <w:rPr>
                <w:color w:val="000000"/>
              </w:rPr>
              <w:t>Other</w:t>
            </w:r>
          </w:p>
          <w:p>
            <w:pPr>
              <w:pStyle w:val="TableContents"/>
              <w:spacing w:before="0" w:after="0"/>
              <w:jc w:val="center"/>
              <w:rPr>
                <w:color w:val="000000"/>
              </w:rPr>
            </w:pPr>
            <w:r>
              <w:rPr>
                <w:color w:val="000000"/>
              </w:rPr>
              <w:t>Observable</w:t>
            </w:r>
          </w:p>
          <w:p>
            <w:pPr>
              <w:pStyle w:val="TableContents"/>
              <w:spacing w:before="0" w:after="0"/>
              <w:jc w:val="center"/>
              <w:rPr>
                <w:color w:val="000000"/>
              </w:rPr>
            </w:pPr>
            <w:r>
              <w:rPr>
                <w:color w:val="000000"/>
              </w:rPr>
              <w:t>Inputs</w:t>
            </w:r>
          </w:p>
          <w:p>
            <w:pPr>
              <w:pStyle w:val="TableContents"/>
              <w:spacing w:before="0" w:after="0"/>
              <w:jc w:val="center"/>
              <w:rPr>
                <w:color w:val="000000"/>
              </w:rPr>
            </w:pPr>
            <w:r>
              <w:rPr>
                <w:color w:val="000000"/>
              </w:rPr>
              <w:t>(Level 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Significant</w:t>
            </w:r>
          </w:p>
          <w:p>
            <w:pPr>
              <w:pStyle w:val="TableContents"/>
              <w:spacing w:before="0" w:after="0"/>
              <w:jc w:val="center"/>
              <w:rPr>
                <w:color w:val="000000"/>
              </w:rPr>
            </w:pPr>
            <w:r>
              <w:rPr>
                <w:color w:val="000000"/>
              </w:rPr>
              <w:t>Un-</w:t>
            </w:r>
          </w:p>
          <w:p>
            <w:pPr>
              <w:pStyle w:val="TableContents"/>
              <w:spacing w:before="0" w:after="0"/>
              <w:jc w:val="center"/>
              <w:rPr>
                <w:color w:val="000000"/>
              </w:rPr>
            </w:pPr>
            <w:r>
              <w:rPr>
                <w:color w:val="000000"/>
              </w:rPr>
              <w:t>observable</w:t>
            </w:r>
          </w:p>
          <w:p>
            <w:pPr>
              <w:pStyle w:val="TableContents"/>
              <w:spacing w:before="0" w:after="0"/>
              <w:jc w:val="center"/>
              <w:rPr>
                <w:color w:val="000000"/>
              </w:rPr>
            </w:pPr>
            <w:r>
              <w:rPr>
                <w:color w:val="000000"/>
              </w:rPr>
              <w:t>Inputs</w:t>
            </w:r>
          </w:p>
          <w:p>
            <w:pPr>
              <w:pStyle w:val="TableContents"/>
              <w:spacing w:before="0" w:after="0"/>
              <w:jc w:val="center"/>
              <w:rPr>
                <w:color w:val="000000"/>
              </w:rPr>
            </w:pPr>
            <w:r>
              <w:rPr>
                <w:color w:val="000000"/>
              </w:rPr>
              <w:t>(Level 3)</w:t>
            </w:r>
          </w:p>
        </w:tc>
        <w:tc>
          <w:tcPr>
            <w:tcW w:w="75" w:type="dxa"/>
            <w:tcBorders/>
            <w:shd w:fill="auto" w:val="clear"/>
            <w:vAlign w:val="bottom"/>
          </w:tcPr>
          <w:p>
            <w:pPr>
              <w:pStyle w:val="TableContents"/>
              <w:spacing w:before="0" w:after="283"/>
              <w:rPr/>
            </w:pPr>
            <w:r>
              <w:rPr/>
              <w:t> </w:t>
            </w:r>
          </w:p>
        </w:tc>
      </w:tr>
      <w:tr>
        <w:trPr/>
        <w:tc>
          <w:tcPr>
            <w:tcW w:w="4010" w:type="dxa"/>
            <w:tcBorders/>
            <w:shd w:fill="auto" w:val="clear"/>
            <w:vAlign w:val="bottom"/>
          </w:tcPr>
          <w:p>
            <w:pPr>
              <w:pStyle w:val="TableContents"/>
              <w:spacing w:before="0" w:after="0"/>
              <w:ind w:left="180" w:right="0" w:hanging="18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6060" w:type="dxa"/>
            <w:gridSpan w:val="18"/>
            <w:tcBorders/>
            <w:shd w:fill="auto" w:val="clear"/>
            <w:vAlign w:val="bottom"/>
          </w:tcPr>
          <w:p>
            <w:pPr>
              <w:pStyle w:val="TableContents"/>
              <w:spacing w:before="0" w:after="0"/>
              <w:jc w:val="center"/>
              <w:rPr>
                <w:color w:val="000000"/>
              </w:rPr>
            </w:pPr>
            <w:r>
              <w:rPr>
                <w:color w:val="000000"/>
              </w:rPr>
              <w:t>(In thousands)</w:t>
            </w:r>
          </w:p>
        </w:tc>
        <w:tc>
          <w:tcPr>
            <w:tcW w:w="75" w:type="dxa"/>
            <w:tcBorders/>
            <w:shd w:fill="auto" w:val="clear"/>
            <w:vAlign w:val="bottom"/>
          </w:tcPr>
          <w:p>
            <w:pPr>
              <w:pStyle w:val="TableContents"/>
              <w:spacing w:before="0" w:after="283"/>
              <w:rPr/>
            </w:pPr>
            <w:r>
              <w:rPr/>
              <w:t> </w:t>
            </w:r>
          </w:p>
        </w:tc>
      </w:tr>
      <w:tr>
        <w:trPr/>
        <w:tc>
          <w:tcPr>
            <w:tcW w:w="4010" w:type="dxa"/>
            <w:tcBorders/>
            <w:shd w:fill="auto" w:val="clear"/>
            <w:vAlign w:val="bottom"/>
          </w:tcPr>
          <w:p>
            <w:pPr>
              <w:pStyle w:val="TableContents"/>
              <w:spacing w:before="0" w:after="0"/>
              <w:ind w:left="180" w:right="0" w:hanging="180"/>
              <w:rPr>
                <w:color w:val="000000"/>
              </w:rPr>
            </w:pPr>
            <w:r>
              <w:rPr>
                <w:color w:val="000000"/>
              </w:rPr>
              <w:t>June 30, 2019</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010" w:type="dxa"/>
            <w:tcBorders/>
            <w:shd w:fill="auto" w:val="clear"/>
            <w:vAlign w:val="bottom"/>
          </w:tcPr>
          <w:p>
            <w:pPr>
              <w:pStyle w:val="TableContents"/>
              <w:spacing w:before="0" w:after="0"/>
              <w:ind w:left="360" w:right="0" w:hanging="180"/>
              <w:rPr>
                <w:color w:val="000000"/>
              </w:rPr>
            </w:pPr>
            <w:r>
              <w:rPr>
                <w:color w:val="000000"/>
              </w:rPr>
              <w:t>Assets</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Cash and due from banks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34,461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34,461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34,461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color w:val="000000"/>
              </w:rPr>
            </w:pPr>
            <w:r>
              <w:rPr>
                <w:color w:val="000000"/>
              </w:rPr>
              <w:t>$</w:t>
            </w:r>
          </w:p>
        </w:tc>
        <w:tc>
          <w:tcPr>
            <w:tcW w:w="9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Interest bearing deposits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20,676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20,676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20,676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Interest bearing deposits - time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498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498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color w:val="000000"/>
              </w:rPr>
            </w:pPr>
            <w:r>
              <w:rPr>
                <w:color w:val="000000"/>
              </w:rPr>
              <w:t>498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Securities available for sale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430,305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430,305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430,305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Federal Home Loan Bank and Federal Reserve Bank Stock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18,359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0" w:type="dxa"/>
            <w:gridSpan w:val="2"/>
            <w:tcBorders/>
            <w:shd w:fill="CCEEFF" w:val="clear"/>
            <w:vAlign w:val="bottom"/>
          </w:tcPr>
          <w:p>
            <w:pPr>
              <w:pStyle w:val="TableContents"/>
              <w:spacing w:before="0" w:after="0"/>
              <w:jc w:val="right"/>
              <w:rPr>
                <w:color w:val="000000"/>
              </w:rPr>
            </w:pPr>
            <w:r>
              <w:rPr>
                <w:color w:val="000000"/>
              </w:rPr>
              <w:t>NA</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right"/>
              <w:rPr/>
            </w:pPr>
            <w:r>
              <w:rPr/>
              <w:t> </w:t>
            </w:r>
          </w:p>
        </w:tc>
        <w:tc>
          <w:tcPr>
            <w:tcW w:w="1120" w:type="dxa"/>
            <w:gridSpan w:val="2"/>
            <w:tcBorders/>
            <w:shd w:fill="CCEEFF" w:val="clear"/>
            <w:vAlign w:val="bottom"/>
          </w:tcPr>
          <w:p>
            <w:pPr>
              <w:pStyle w:val="TableContents"/>
              <w:spacing w:before="0" w:after="0"/>
              <w:jc w:val="right"/>
              <w:rPr>
                <w:color w:val="000000"/>
              </w:rPr>
            </w:pPr>
            <w:r>
              <w:rPr>
                <w:color w:val="000000"/>
              </w:rPr>
              <w:t>NA</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right"/>
              <w:rPr/>
            </w:pPr>
            <w:r>
              <w:rPr/>
              <w:t> </w:t>
            </w:r>
          </w:p>
        </w:tc>
        <w:tc>
          <w:tcPr>
            <w:tcW w:w="1100" w:type="dxa"/>
            <w:gridSpan w:val="2"/>
            <w:tcBorders/>
            <w:shd w:fill="CCEEFF" w:val="clear"/>
            <w:vAlign w:val="bottom"/>
          </w:tcPr>
          <w:p>
            <w:pPr>
              <w:pStyle w:val="TableContents"/>
              <w:spacing w:before="0" w:after="0"/>
              <w:jc w:val="right"/>
              <w:rPr>
                <w:color w:val="000000"/>
              </w:rPr>
            </w:pPr>
            <w:r>
              <w:rPr>
                <w:color w:val="000000"/>
              </w:rPr>
              <w:t>NA</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right"/>
              <w:rPr/>
            </w:pPr>
            <w:r>
              <w:rPr/>
              <w:t> </w:t>
            </w:r>
          </w:p>
        </w:tc>
        <w:tc>
          <w:tcPr>
            <w:tcW w:w="1120" w:type="dxa"/>
            <w:gridSpan w:val="2"/>
            <w:tcBorders/>
            <w:shd w:fill="CCEEFF" w:val="clear"/>
            <w:vAlign w:val="bottom"/>
          </w:tcPr>
          <w:p>
            <w:pPr>
              <w:pStyle w:val="TableContents"/>
              <w:spacing w:before="0" w:after="0"/>
              <w:jc w:val="right"/>
              <w:rPr>
                <w:color w:val="000000"/>
              </w:rPr>
            </w:pPr>
            <w:r>
              <w:rPr>
                <w:color w:val="000000"/>
              </w:rPr>
              <w:t>NA</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Net loans and loans held for sale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2,743,506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2,747,828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62,883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2,684,945</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Accrued interest receivable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10,816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10,816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color w:val="000000"/>
              </w:rPr>
            </w:pPr>
            <w:r>
              <w:rPr>
                <w:color w:val="000000"/>
              </w:rPr>
              <w:t>1,634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9,181</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Derivative financial instruments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6,233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6,233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6,233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360" w:right="0" w:hanging="180"/>
              <w:rPr>
                <w:color w:val="000000"/>
              </w:rPr>
            </w:pPr>
            <w:r>
              <w:rPr>
                <w:color w:val="000000"/>
              </w:rPr>
              <w:t>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Deposits with no stated maturity (1)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2,294,255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2,294,255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2,294,255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color w:val="000000"/>
              </w:rPr>
            </w:pPr>
            <w:r>
              <w:rPr>
                <w:color w:val="000000"/>
              </w:rPr>
              <w:t>$</w:t>
            </w:r>
          </w:p>
        </w:tc>
        <w:tc>
          <w:tcPr>
            <w:tcW w:w="9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Deposits with stated maturity (1)</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684,630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683,547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683,547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Other borrowings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41,144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41,271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color w:val="000000"/>
              </w:rPr>
            </w:pPr>
            <w:r>
              <w:rPr>
                <w:color w:val="000000"/>
              </w:rPr>
              <w:t>41,271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Subordinated debentures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39,422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33,214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33,214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Accrued interest payable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1,668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1,668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color w:val="000000"/>
              </w:rPr>
            </w:pPr>
            <w:r>
              <w:rPr>
                <w:color w:val="000000"/>
              </w:rPr>
              <w:t>1,540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Derivative financial instruments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4,217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4,217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4,217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180" w:right="0" w:hanging="180"/>
              <w:rPr>
                <w:color w:val="000000"/>
              </w:rPr>
            </w:pPr>
            <w:r>
              <w:rPr>
                <w:color w:val="000000"/>
              </w:rPr>
              <w:t>December 31, 2018</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360" w:right="0" w:hanging="180"/>
              <w:rPr>
                <w:color w:val="000000"/>
              </w:rPr>
            </w:pPr>
            <w:r>
              <w:rPr>
                <w:color w:val="000000"/>
              </w:rPr>
              <w:t>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Cash and due from banks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color w:val="000000"/>
              </w:rPr>
            </w:pPr>
            <w:r>
              <w:rPr>
                <w:color w:val="000000"/>
              </w:rPr>
              <w:t>$</w:t>
            </w:r>
          </w:p>
        </w:tc>
        <w:tc>
          <w:tcPr>
            <w:tcW w:w="980" w:type="dxa"/>
            <w:tcBorders/>
            <w:shd w:fill="FFFFFF" w:val="clear"/>
            <w:vAlign w:val="bottom"/>
          </w:tcPr>
          <w:p>
            <w:pPr>
              <w:pStyle w:val="TableContents"/>
              <w:spacing w:before="0" w:after="0"/>
              <w:jc w:val="right"/>
              <w:rPr>
                <w:color w:val="000000"/>
              </w:rPr>
            </w:pPr>
            <w:r>
              <w:rPr>
                <w:color w:val="000000"/>
              </w:rPr>
              <w:t>23,350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color w:val="000000"/>
              </w:rPr>
            </w:pPr>
            <w:r>
              <w:rPr>
                <w:color w:val="000000"/>
              </w:rPr>
              <w:t>$</w:t>
            </w:r>
          </w:p>
        </w:tc>
        <w:tc>
          <w:tcPr>
            <w:tcW w:w="980" w:type="dxa"/>
            <w:tcBorders/>
            <w:shd w:fill="FFFFFF" w:val="clear"/>
            <w:vAlign w:val="bottom"/>
          </w:tcPr>
          <w:p>
            <w:pPr>
              <w:pStyle w:val="TableContents"/>
              <w:spacing w:before="0" w:after="0"/>
              <w:jc w:val="right"/>
              <w:rPr>
                <w:color w:val="000000"/>
              </w:rPr>
            </w:pPr>
            <w:r>
              <w:rPr>
                <w:color w:val="000000"/>
              </w:rPr>
              <w:t>23,350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color w:val="000000"/>
              </w:rPr>
            </w:pPr>
            <w:r>
              <w:rPr>
                <w:color w:val="000000"/>
              </w:rPr>
              <w:t>$</w:t>
            </w:r>
          </w:p>
        </w:tc>
        <w:tc>
          <w:tcPr>
            <w:tcW w:w="980" w:type="dxa"/>
            <w:tcBorders/>
            <w:shd w:fill="FFFFFF" w:val="clear"/>
            <w:vAlign w:val="bottom"/>
          </w:tcPr>
          <w:p>
            <w:pPr>
              <w:pStyle w:val="TableContents"/>
              <w:spacing w:before="0" w:after="0"/>
              <w:jc w:val="right"/>
              <w:rPr>
                <w:color w:val="000000"/>
              </w:rPr>
            </w:pPr>
            <w:r>
              <w:rPr>
                <w:color w:val="000000"/>
              </w:rPr>
              <w:t>23,350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0"/>
              <w:rPr>
                <w:color w:val="000000"/>
              </w:rPr>
            </w:pPr>
            <w:r>
              <w:rPr>
                <w:color w:val="000000"/>
              </w:rPr>
              <w:t>$</w:t>
            </w:r>
          </w:p>
        </w:tc>
        <w:tc>
          <w:tcPr>
            <w:tcW w:w="93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color w:val="000000"/>
              </w:rPr>
            </w:pPr>
            <w:r>
              <w:rPr>
                <w:color w:val="000000"/>
              </w:rPr>
              <w:t>$</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Interest bearing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46,894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46,894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46,894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Interest bearing deposits - time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595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594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594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Equity securities at fair value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393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393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393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Securities available for sale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427,926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427,926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427,926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Federal Home Loan Bank and Federal Reserve Bank Stock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18,359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20" w:type="dxa"/>
            <w:gridSpan w:val="2"/>
            <w:tcBorders/>
            <w:shd w:fill="CCEEFF" w:val="clear"/>
            <w:vAlign w:val="bottom"/>
          </w:tcPr>
          <w:p>
            <w:pPr>
              <w:pStyle w:val="TableContents"/>
              <w:spacing w:before="0" w:after="0"/>
              <w:jc w:val="right"/>
              <w:rPr>
                <w:color w:val="000000"/>
              </w:rPr>
            </w:pPr>
            <w:r>
              <w:rPr>
                <w:color w:val="000000"/>
              </w:rPr>
              <w:t>NA</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right"/>
              <w:rPr/>
            </w:pPr>
            <w:r>
              <w:rPr/>
              <w:t> </w:t>
            </w:r>
          </w:p>
        </w:tc>
        <w:tc>
          <w:tcPr>
            <w:tcW w:w="1120" w:type="dxa"/>
            <w:gridSpan w:val="2"/>
            <w:tcBorders/>
            <w:shd w:fill="CCEEFF" w:val="clear"/>
            <w:vAlign w:val="bottom"/>
          </w:tcPr>
          <w:p>
            <w:pPr>
              <w:pStyle w:val="TableContents"/>
              <w:spacing w:before="0" w:after="0"/>
              <w:jc w:val="right"/>
              <w:rPr>
                <w:color w:val="000000"/>
              </w:rPr>
            </w:pPr>
            <w:r>
              <w:rPr>
                <w:color w:val="000000"/>
              </w:rPr>
              <w:t>NA</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right"/>
              <w:rPr/>
            </w:pPr>
            <w:r>
              <w:rPr/>
              <w:t> </w:t>
            </w:r>
          </w:p>
        </w:tc>
        <w:tc>
          <w:tcPr>
            <w:tcW w:w="1100" w:type="dxa"/>
            <w:gridSpan w:val="2"/>
            <w:tcBorders/>
            <w:shd w:fill="CCEEFF" w:val="clear"/>
            <w:vAlign w:val="bottom"/>
          </w:tcPr>
          <w:p>
            <w:pPr>
              <w:pStyle w:val="TableContents"/>
              <w:spacing w:before="0" w:after="0"/>
              <w:jc w:val="right"/>
              <w:rPr>
                <w:color w:val="000000"/>
              </w:rPr>
            </w:pPr>
            <w:r>
              <w:rPr>
                <w:color w:val="000000"/>
              </w:rPr>
              <w:t>NA</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right"/>
              <w:rPr/>
            </w:pPr>
            <w:r>
              <w:rPr/>
              <w:t> </w:t>
            </w:r>
          </w:p>
        </w:tc>
        <w:tc>
          <w:tcPr>
            <w:tcW w:w="1120" w:type="dxa"/>
            <w:gridSpan w:val="2"/>
            <w:tcBorders/>
            <w:shd w:fill="CCEEFF" w:val="clear"/>
            <w:vAlign w:val="bottom"/>
          </w:tcPr>
          <w:p>
            <w:pPr>
              <w:pStyle w:val="TableContents"/>
              <w:spacing w:before="0" w:after="0"/>
              <w:jc w:val="right"/>
              <w:rPr>
                <w:color w:val="000000"/>
              </w:rPr>
            </w:pPr>
            <w:r>
              <w:rPr>
                <w:color w:val="000000"/>
              </w:rPr>
              <w:t>NA</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Net loans and loans held for sale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2,643,856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2,606,256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41,471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44,753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2,520,032</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Accrued interest receivable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10,164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10,164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color w:val="000000"/>
              </w:rPr>
            </w:pPr>
            <w:r>
              <w:rPr>
                <w:color w:val="000000"/>
              </w:rPr>
              <w:t>1,789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8,353</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Derivative financial instruments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5,155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5,155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5,155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360" w:right="0" w:hanging="180"/>
              <w:rPr>
                <w:color w:val="000000"/>
              </w:rPr>
            </w:pPr>
            <w:r>
              <w:rPr>
                <w:color w:val="000000"/>
              </w:rPr>
              <w:t>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Deposits with no stated maturity (1)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2,197,494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2,197,494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2,197,494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color w:val="000000"/>
              </w:rPr>
            </w:pPr>
            <w:r>
              <w:rPr>
                <w:color w:val="000000"/>
              </w:rPr>
              <w:t>$</w:t>
            </w:r>
          </w:p>
        </w:tc>
        <w:tc>
          <w:tcPr>
            <w:tcW w:w="93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Deposits with stated maturity (1)</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715,934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711,312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711,312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Other borrowings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25,700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25,706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color w:val="000000"/>
              </w:rPr>
            </w:pPr>
            <w:r>
              <w:rPr>
                <w:color w:val="000000"/>
              </w:rPr>
              <w:t>25,706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Subordinated debentures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39,388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35,021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35,021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r>
        <w:trPr/>
        <w:tc>
          <w:tcPr>
            <w:tcW w:w="4010" w:type="dxa"/>
            <w:tcBorders/>
            <w:shd w:fill="CCEEFF" w:val="clear"/>
            <w:vAlign w:val="bottom"/>
          </w:tcPr>
          <w:p>
            <w:pPr>
              <w:pStyle w:val="TableContents"/>
              <w:spacing w:before="0" w:after="0"/>
              <w:ind w:left="540" w:right="0" w:hanging="180"/>
              <w:rPr>
                <w:color w:val="000000"/>
              </w:rPr>
            </w:pPr>
            <w:r>
              <w:rPr>
                <w:color w:val="000000"/>
              </w:rPr>
              <w:t>Accrued interest payable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1,646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1,646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color w:val="000000"/>
              </w:rPr>
            </w:pPr>
            <w:r>
              <w:rPr>
                <w:color w:val="000000"/>
              </w:rPr>
              <w:t>1,532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4010" w:type="dxa"/>
            <w:tcBorders/>
            <w:shd w:fill="FFFFFF" w:val="clear"/>
            <w:vAlign w:val="bottom"/>
          </w:tcPr>
          <w:p>
            <w:pPr>
              <w:pStyle w:val="TableContents"/>
              <w:spacing w:before="0" w:after="0"/>
              <w:ind w:left="540" w:right="0" w:hanging="180"/>
              <w:rPr>
                <w:color w:val="000000"/>
              </w:rPr>
            </w:pPr>
            <w:r>
              <w:rPr>
                <w:color w:val="000000"/>
              </w:rPr>
              <w:t>Derivative financial instruments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2,326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2,326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0"/>
              <w:jc w:val="right"/>
              <w:rPr>
                <w:color w:val="000000"/>
              </w:rPr>
            </w:pPr>
            <w:r>
              <w:rPr>
                <w:color w:val="000000"/>
              </w:rPr>
              <w:t>2,326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color w:val="000000"/>
              </w:rPr>
            </w:pPr>
            <w:r>
              <w:rPr>
                <w:color w:val="000000"/>
              </w:rPr>
              <w:t>-</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542" w:name="z2f742ef33f91423d9ca8216ed81b7349"/>
      <w:bookmarkStart w:id="543" w:name="z2f742ef33f91423d9ca8216ed81b7349"/>
      <w:bookmarkEnd w:id="543"/>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0"/>
              <w:jc w:val="both"/>
              <w:rPr>
                <w:color w:val="231F20"/>
              </w:rPr>
            </w:pPr>
            <w:r>
              <w:rPr>
                <w:color w:val="231F20"/>
              </w:rPr>
              <w:t>(1)</w:t>
            </w:r>
          </w:p>
        </w:tc>
        <w:tc>
          <w:tcPr>
            <w:tcW w:w="9956" w:type="dxa"/>
            <w:tcBorders/>
            <w:shd w:fill="auto" w:val="clear"/>
            <w:vAlign w:val="center"/>
          </w:tcPr>
          <w:p>
            <w:pPr>
              <w:pStyle w:val="TableContents"/>
              <w:spacing w:before="0" w:after="0"/>
              <w:jc w:val="both"/>
              <w:rPr/>
            </w:pPr>
            <w:r>
              <w:rPr>
                <w:color w:val="231F20"/>
              </w:rPr>
              <w:t xml:space="preserve">Deposits with no stated maturity include reciprocal deposits with a recorded book balance of $270.864 million and </w:t>
            </w:r>
            <w:r>
              <w:rPr/>
              <w:t>$123.080 million at June 30, 2019 and December 31, 2018, respectively. Deposits with a stated maturity include reciprocal deposits with a recorded book balance of</w:t>
            </w:r>
            <w:r>
              <w:rPr>
                <w:color w:val="231F20"/>
              </w:rPr>
              <w:t xml:space="preserve"> $</w:t>
            </w:r>
            <w:r>
              <w:rPr/>
              <w:t>55.462</w:t>
            </w:r>
            <w:r>
              <w:rPr>
                <w:color w:val="231F20"/>
              </w:rPr>
              <w:t xml:space="preserve"> million and $58.992 million at June 30, 2019 and December 31, 2018, respectively.</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44" w:name="DSPFPageBreakArea51"/>
      <w:bookmarkStart w:id="545" w:name="DSPFPageBreakArea51"/>
      <w:bookmarkEnd w:id="5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46" w:name="DSPFPageNumber51"/>
      <w:bookmarkStart w:id="547" w:name="DSPFPageNumberArea50"/>
      <w:bookmarkEnd w:id="546"/>
      <w:bookmarkEnd w:id="547"/>
      <w:r>
        <w:rPr>
          <w:b w:val="false"/>
          <w:i w:val="false"/>
          <w:caps w:val="false"/>
          <w:smallCaps w:val="false"/>
          <w:sz w:val="13"/>
        </w:rPr>
        <w:t>52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48" w:name="DSPFPageBreak51"/>
      <w:bookmarkStart w:id="549" w:name="DSPFPageBreak51"/>
      <w:bookmarkEnd w:id="5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50" w:name="DSPFPageHeader50"/>
        <w:bookmarkEnd w:id="550"/>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The fair values for commitments to extend credit and standby letters of credit are estimated to approximate their aggregate book balance, which is nominal and therefore are not disclosed.</w:t>
      </w:r>
    </w:p>
    <w:p>
      <w:pPr>
        <w:pStyle w:val="TextBody"/>
        <w:spacing w:before="0" w:after="0"/>
        <w:rPr/>
      </w:pPr>
      <w:r>
        <w:rPr/>
      </w:r>
    </w:p>
    <w:p>
      <w:pPr>
        <w:pStyle w:val="TextBody"/>
        <w:spacing w:before="0" w:after="0"/>
        <w:jc w:val="both"/>
        <w:rPr/>
      </w:pPr>
      <w:r>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pStyle w:val="TextBody"/>
        <w:spacing w:before="0" w:after="0"/>
        <w:rPr/>
      </w:pPr>
      <w:r>
        <w:rPr/>
      </w:r>
    </w:p>
    <w:p>
      <w:pPr>
        <w:pStyle w:val="TextBody"/>
        <w:spacing w:before="0" w:after="0"/>
        <w:jc w:val="both"/>
        <w:rPr/>
      </w:pPr>
      <w:r>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pStyle w:val="TextBody"/>
        <w:spacing w:before="0" w:after="0"/>
        <w:rPr/>
      </w:pPr>
      <w:r>
        <w:rPr/>
      </w:r>
    </w:p>
    <w:p>
      <w:pPr>
        <w:pStyle w:val="TextBody"/>
        <w:spacing w:before="0" w:after="0"/>
        <w:jc w:val="both"/>
        <w:rPr/>
      </w:pPr>
      <w:r>
        <w:rPr/>
        <w:t>Fair value estimates for deposit accounts do not include the value of the core deposit intangible asset resulting from the low-cost funding provided by the deposit liabilities compared to the cost of borrowing funds in the market.</w:t>
      </w:r>
    </w:p>
    <w:p>
      <w:pPr>
        <w:pStyle w:val="TextBody"/>
        <w:spacing w:before="0" w:after="0"/>
        <w:rPr/>
      </w:pPr>
      <w:r>
        <w:rPr/>
      </w:r>
    </w:p>
    <w:p>
      <w:pPr>
        <w:pStyle w:val="TextBody"/>
        <w:spacing w:before="0" w:after="0"/>
        <w:jc w:val="both"/>
        <w:rPr/>
      </w:pPr>
      <w:r>
        <w:rPr/>
        <w:t xml:space="preserve">13. </w:t>
      </w:r>
      <w:r>
        <w:rPr>
          <w:u w:val="single"/>
        </w:rPr>
        <w:t>Contingencies</w:t>
      </w:r>
    </w:p>
    <w:p>
      <w:pPr>
        <w:pStyle w:val="TextBody"/>
        <w:spacing w:before="0" w:after="0"/>
        <w:rPr/>
      </w:pPr>
      <w:r>
        <w:rPr/>
      </w:r>
    </w:p>
    <w:p>
      <w:pPr>
        <w:pStyle w:val="TextBody"/>
        <w:spacing w:before="0" w:after="0"/>
        <w:jc w:val="both"/>
        <w:rPr/>
      </w:pPr>
      <w:r>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pStyle w:val="TextBody"/>
        <w:spacing w:before="0" w:after="0"/>
        <w:rPr/>
      </w:pPr>
      <w:r>
        <w:rPr/>
      </w:r>
    </w:p>
    <w:p>
      <w:pPr>
        <w:pStyle w:val="TextBody"/>
        <w:jc w:val="both"/>
        <w:rPr/>
      </w:pPr>
      <w:r>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51" w:name="DSPFPageBreakArea52"/>
      <w:bookmarkStart w:id="552" w:name="DSPFPageBreakArea52"/>
      <w:bookmarkEnd w:id="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53" w:name="DSPFPageNumber52"/>
      <w:bookmarkStart w:id="554" w:name="DSPFPageNumberArea51"/>
      <w:bookmarkEnd w:id="553"/>
      <w:bookmarkEnd w:id="554"/>
      <w:r>
        <w:rPr>
          <w:b w:val="false"/>
          <w:i w:val="false"/>
          <w:caps w:val="false"/>
          <w:smallCaps w:val="false"/>
          <w:sz w:val="13"/>
        </w:rPr>
        <w:t>53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5" w:name="DSPFPageBreak52"/>
      <w:bookmarkStart w:id="556" w:name="DSPFPageBreak52"/>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57" w:name="DSPFPageHeader51"/>
        <w:bookmarkEnd w:id="557"/>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The provision for loss reimbursement on sold loans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provision for loss reimbursement on sold loans was an expense of $0.03 million and $0.02 million for the three month periods ended June 30, 2019 and 2018 and an expense of $0.15 million and $0.03 million for the six month periods ended June 30, 2019 and 2018, respectively. The reserve for loss reimbursements on sold mortgage loans totaled $0.83 million and $0.78 million at June 30, 2019 and December 31, 2018,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pStyle w:val="TextBody"/>
        <w:spacing w:lineRule="auto" w:line="256"/>
        <w:jc w:val="both"/>
        <w:rPr/>
      </w:pPr>
      <w:r>
        <w:rPr/>
        <w:b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have elected to value these shares at zero. However, given the current conversion ratio of 1.6298 to Class A shares and the closing price of VISA Class A shares on July 30, 2019 of $181.53 per share, our 12,566 Class B shares would have a current “value” of approximately $3.7 million. We continue to monitor Class B trading activity and the status of the resolution of certain litigation matters at VISA that would trigger the conversion of Class B common shares into Class A common shares that would have no trading restrictions.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58" w:name="DSPFPageBreakArea53"/>
      <w:bookmarkStart w:id="559" w:name="DSPFPageBreakArea53"/>
      <w:bookmarkEnd w:id="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60" w:name="DSPFPageNumber53"/>
      <w:bookmarkStart w:id="561" w:name="DSPFPageNumberArea52"/>
      <w:bookmarkEnd w:id="560"/>
      <w:bookmarkEnd w:id="561"/>
      <w:r>
        <w:rPr>
          <w:b w:val="false"/>
          <w:i w:val="false"/>
          <w:caps w:val="false"/>
          <w:smallCaps w:val="false"/>
          <w:sz w:val="13"/>
        </w:rPr>
        <w:t>54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62" w:name="DSPFPageBreak53"/>
      <w:bookmarkStart w:id="563" w:name="DSPFPageBreak53"/>
      <w:bookmarkEnd w:id="5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64" w:name="DSPFPageHeader52"/>
        <w:bookmarkEnd w:id="56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 xml:space="preserve">14.  </w:t>
      </w:r>
      <w:r>
        <w:rPr>
          <w:u w:val="single"/>
        </w:rPr>
        <w:t>Accumulated Other Comprehensive Loss (“AOCL”)</w:t>
      </w:r>
    </w:p>
    <w:p>
      <w:pPr>
        <w:pStyle w:val="TextBody"/>
        <w:spacing w:before="0" w:after="0"/>
        <w:rPr/>
      </w:pPr>
      <w:r>
        <w:rPr/>
      </w:r>
    </w:p>
    <w:p>
      <w:pPr>
        <w:pStyle w:val="TextBody"/>
        <w:spacing w:before="0" w:after="0"/>
        <w:jc w:val="both"/>
        <w:rPr/>
      </w:pPr>
      <w:r>
        <w:rPr/>
        <w:t>A summary of changes in AOCL follows:</w:t>
      </w:r>
    </w:p>
    <w:p>
      <w:pPr>
        <w:pStyle w:val="TextBody"/>
        <w:spacing w:before="0" w:after="0"/>
        <w:rPr/>
      </w:pPr>
      <w:r>
        <w:rPr/>
      </w:r>
    </w:p>
    <w:p>
      <w:pPr>
        <w:pStyle w:val="Normal"/>
        <w:spacing w:before="0" w:after="0"/>
        <w:rPr>
          <w:sz w:val="4"/>
          <w:szCs w:val="4"/>
        </w:rPr>
      </w:pPr>
      <w:r>
        <w:rPr>
          <w:sz w:val="4"/>
          <w:szCs w:val="4"/>
        </w:rPr>
      </w:r>
      <w:bookmarkStart w:id="565" w:name="z8fe2a7e4c3044005ac90c60e15e7208e"/>
      <w:bookmarkStart w:id="566" w:name="z8fe2a7e4c3044005ac90c60e15e7208e"/>
      <w:bookmarkEnd w:id="566"/>
    </w:p>
    <w:tbl>
      <w:tblPr>
        <w:tblW w:w="10205" w:type="dxa"/>
        <w:jc w:val="left"/>
        <w:tblInd w:w="0" w:type="dxa"/>
        <w:tblCellMar>
          <w:top w:w="0" w:type="dxa"/>
          <w:left w:w="0" w:type="dxa"/>
          <w:bottom w:w="0" w:type="dxa"/>
          <w:right w:w="0" w:type="dxa"/>
        </w:tblCellMar>
      </w:tblPr>
      <w:tblGrid>
        <w:gridCol w:w="5330"/>
        <w:gridCol w:w="60"/>
        <w:gridCol w:w="201"/>
        <w:gridCol w:w="914"/>
        <w:gridCol w:w="95"/>
        <w:gridCol w:w="60"/>
        <w:gridCol w:w="201"/>
        <w:gridCol w:w="914"/>
        <w:gridCol w:w="95"/>
        <w:gridCol w:w="60"/>
        <w:gridCol w:w="201"/>
        <w:gridCol w:w="914"/>
        <w:gridCol w:w="95"/>
        <w:gridCol w:w="60"/>
        <w:gridCol w:w="140"/>
        <w:gridCol w:w="755"/>
        <w:gridCol w:w="110"/>
      </w:tblGrid>
      <w:tr>
        <w:trPr/>
        <w:tc>
          <w:tcPr>
            <w:tcW w:w="53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bottom"/>
          </w:tcPr>
          <w:p>
            <w:pPr>
              <w:pStyle w:val="TableContents"/>
              <w:spacing w:before="0" w:after="0"/>
              <w:jc w:val="center"/>
              <w:rPr/>
            </w:pPr>
            <w:r>
              <w:rPr/>
              <w:t>Unrealized</w:t>
            </w:r>
          </w:p>
          <w:p>
            <w:pPr>
              <w:pStyle w:val="TableContents"/>
              <w:spacing w:before="0" w:after="0"/>
              <w:jc w:val="center"/>
              <w:rPr/>
            </w:pPr>
            <w:r>
              <w:rPr/>
              <w:t>Gains</w:t>
            </w:r>
          </w:p>
          <w:p>
            <w:pPr>
              <w:pStyle w:val="TableContents"/>
              <w:spacing w:before="0" w:after="0"/>
              <w:jc w:val="center"/>
              <w:rPr/>
            </w:pPr>
            <w:r>
              <w:rPr/>
              <w:t>(Losses) on</w:t>
            </w:r>
          </w:p>
          <w:p>
            <w:pPr>
              <w:pStyle w:val="TableContents"/>
              <w:spacing w:before="0" w:after="0"/>
              <w:jc w:val="center"/>
              <w:rPr/>
            </w:pPr>
            <w:r>
              <w:rPr/>
              <w:t>Securities</w:t>
            </w:r>
          </w:p>
          <w:p>
            <w:pPr>
              <w:pStyle w:val="TableContents"/>
              <w:spacing w:before="0" w:after="0"/>
              <w:jc w:val="center"/>
              <w:rPr/>
            </w:pPr>
            <w:r>
              <w:rPr/>
              <w:t>Available</w:t>
            </w:r>
          </w:p>
          <w:p>
            <w:pPr>
              <w:pStyle w:val="TableContents"/>
              <w:spacing w:before="0" w:after="0"/>
              <w:jc w:val="center"/>
              <w:rPr/>
            </w:pPr>
            <w:r>
              <w:rPr/>
              <w:t>for Sale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bottom"/>
          </w:tcPr>
          <w:p>
            <w:pPr>
              <w:pStyle w:val="TableContents"/>
              <w:spacing w:before="0" w:after="0"/>
              <w:jc w:val="center"/>
              <w:rPr/>
            </w:pPr>
            <w:r>
              <w:rPr/>
              <w:t>Dispropor-</w:t>
            </w:r>
          </w:p>
          <w:p>
            <w:pPr>
              <w:pStyle w:val="TableContents"/>
              <w:spacing w:before="0" w:after="0"/>
              <w:jc w:val="center"/>
              <w:rPr/>
            </w:pPr>
            <w:r>
              <w:rPr/>
              <w:t>tionate</w:t>
            </w:r>
          </w:p>
          <w:p>
            <w:pPr>
              <w:pStyle w:val="TableContents"/>
              <w:spacing w:before="0" w:after="0"/>
              <w:jc w:val="center"/>
              <w:rPr/>
            </w:pPr>
            <w:r>
              <w:rPr/>
              <w:t>Tax Effects</w:t>
            </w:r>
          </w:p>
          <w:p>
            <w:pPr>
              <w:pStyle w:val="TableContents"/>
              <w:spacing w:before="0" w:after="0"/>
              <w:jc w:val="center"/>
              <w:rPr/>
            </w:pPr>
            <w:r>
              <w:rPr/>
              <w:t>from</w:t>
            </w:r>
          </w:p>
          <w:p>
            <w:pPr>
              <w:pStyle w:val="TableContents"/>
              <w:spacing w:before="0" w:after="0"/>
              <w:jc w:val="center"/>
              <w:rPr/>
            </w:pPr>
            <w:r>
              <w:rPr/>
              <w:t>Securities</w:t>
            </w:r>
          </w:p>
          <w:p>
            <w:pPr>
              <w:pStyle w:val="TableContents"/>
              <w:spacing w:before="0" w:after="0"/>
              <w:jc w:val="center"/>
              <w:rPr/>
            </w:pPr>
            <w:r>
              <w:rPr/>
              <w:t>Available</w:t>
            </w:r>
          </w:p>
          <w:p>
            <w:pPr>
              <w:pStyle w:val="TableContents"/>
              <w:spacing w:before="0" w:after="0"/>
              <w:jc w:val="center"/>
              <w:rPr/>
            </w:pPr>
            <w:r>
              <w:rPr/>
              <w:t>for Sale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bottom"/>
          </w:tcPr>
          <w:p>
            <w:pPr>
              <w:pStyle w:val="TableContents"/>
              <w:spacing w:before="0" w:after="0"/>
              <w:jc w:val="center"/>
              <w:rPr/>
            </w:pPr>
            <w:r>
              <w:rPr/>
              <w:t>Unrealized</w:t>
            </w:r>
          </w:p>
          <w:p>
            <w:pPr>
              <w:pStyle w:val="TableContents"/>
              <w:spacing w:before="0" w:after="0"/>
              <w:jc w:val="center"/>
              <w:rPr/>
            </w:pPr>
            <w:r>
              <w:rPr/>
              <w:t>Gains</w:t>
            </w:r>
          </w:p>
          <w:p>
            <w:pPr>
              <w:pStyle w:val="TableContents"/>
              <w:spacing w:before="0" w:after="0"/>
              <w:jc w:val="center"/>
              <w:rPr/>
            </w:pPr>
            <w:r>
              <w:rPr/>
              <w:t>(Losses) on</w:t>
            </w:r>
          </w:p>
          <w:p>
            <w:pPr>
              <w:pStyle w:val="TableContents"/>
              <w:spacing w:before="0" w:after="0"/>
              <w:jc w:val="center"/>
              <w:rPr/>
            </w:pPr>
            <w:r>
              <w:rPr/>
              <w:t>Cash Flow</w:t>
            </w:r>
          </w:p>
          <w:p>
            <w:pPr>
              <w:pStyle w:val="TableContents"/>
              <w:spacing w:before="0" w:after="0"/>
              <w:jc w:val="center"/>
              <w:rPr/>
            </w:pPr>
            <w:r>
              <w:rPr/>
              <w:t>Hedges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110" w:type="dxa"/>
            <w:tcBorders/>
            <w:shd w:fill="auto" w:val="clear"/>
            <w:vAlign w:val="bottom"/>
          </w:tcPr>
          <w:p>
            <w:pPr>
              <w:pStyle w:val="TableContents"/>
              <w:spacing w:before="0" w:after="283"/>
              <w:ind w:left="180" w:right="0" w:hanging="180"/>
              <w:rPr/>
            </w:pPr>
            <w:r>
              <w:rPr/>
              <w:t> </w:t>
            </w:r>
          </w:p>
        </w:tc>
      </w:tr>
      <w:tr>
        <w:trPr/>
        <w:tc>
          <w:tcPr>
            <w:tcW w:w="53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05" w:type="dxa"/>
            <w:gridSpan w:val="14"/>
            <w:tcBorders/>
            <w:shd w:fill="auto" w:val="clear"/>
            <w:vAlign w:val="bottom"/>
          </w:tcPr>
          <w:p>
            <w:pPr>
              <w:pStyle w:val="TableContents"/>
              <w:spacing w:before="0" w:after="0"/>
              <w:jc w:val="center"/>
              <w:rPr/>
            </w:pPr>
            <w:r>
              <w:rPr/>
              <w:t>(In thousands)</w:t>
            </w:r>
          </w:p>
        </w:tc>
        <w:tc>
          <w:tcPr>
            <w:tcW w:w="110" w:type="dxa"/>
            <w:tcBorders/>
            <w:shd w:fill="auto" w:val="clear"/>
            <w:vAlign w:val="bottom"/>
          </w:tcPr>
          <w:p>
            <w:pPr>
              <w:pStyle w:val="TableContents"/>
              <w:spacing w:before="0" w:after="283"/>
              <w:rPr/>
            </w:pPr>
            <w:r>
              <w:rPr/>
              <w:t> </w:t>
            </w:r>
          </w:p>
        </w:tc>
      </w:tr>
      <w:tr>
        <w:trPr/>
        <w:tc>
          <w:tcPr>
            <w:tcW w:w="5330" w:type="dxa"/>
            <w:tcBorders/>
            <w:shd w:fill="auto" w:val="clear"/>
            <w:vAlign w:val="bottom"/>
          </w:tcPr>
          <w:p>
            <w:pPr>
              <w:pStyle w:val="TableContents"/>
              <w:spacing w:before="0" w:after="0"/>
              <w:ind w:left="180" w:right="0" w:hanging="180"/>
              <w:rPr/>
            </w:pPr>
            <w:r>
              <w:rPr/>
              <w:t>For the three months ended June 30,</w:t>
            </w:r>
          </w:p>
        </w:tc>
        <w:tc>
          <w:tcPr>
            <w:tcW w:w="6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5330" w:type="dxa"/>
            <w:tcBorders/>
            <w:shd w:fill="auto" w:val="clear"/>
            <w:vAlign w:val="bottom"/>
          </w:tcPr>
          <w:p>
            <w:pPr>
              <w:pStyle w:val="TableContents"/>
              <w:spacing w:before="0" w:after="0"/>
              <w:ind w:left="180" w:right="0" w:hanging="0"/>
              <w:rPr/>
            </w:pPr>
            <w:r>
              <w:rPr/>
              <w:t>2019</w:t>
            </w:r>
          </w:p>
        </w:tc>
        <w:tc>
          <w:tcPr>
            <w:tcW w:w="6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0"/>
              <w:ind w:left="540" w:right="0" w:hanging="180"/>
              <w:rPr/>
            </w:pPr>
            <w:r>
              <w:rPr/>
              <w:t>Balances at beginning of period</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914" w:type="dxa"/>
            <w:tcBorders/>
            <w:shd w:fill="CCEEFF" w:val="clear"/>
            <w:vAlign w:val="bottom"/>
          </w:tcPr>
          <w:p>
            <w:pPr>
              <w:pStyle w:val="TableContents"/>
              <w:spacing w:before="0" w:after="0"/>
              <w:jc w:val="right"/>
              <w:rPr/>
            </w:pPr>
            <w:r>
              <w:rPr/>
              <w:t>(57</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914" w:type="dxa"/>
            <w:tcBorders/>
            <w:shd w:fill="CCEEFF" w:val="clear"/>
            <w:vAlign w:val="bottom"/>
          </w:tcPr>
          <w:p>
            <w:pPr>
              <w:pStyle w:val="TableContents"/>
              <w:spacing w:before="0" w:after="0"/>
              <w:jc w:val="right"/>
              <w:rPr/>
            </w:pPr>
            <w:r>
              <w:rPr/>
              <w:t>(5,798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914" w:type="dxa"/>
            <w:tcBorders/>
            <w:shd w:fill="CCEEFF" w:val="clear"/>
            <w:vAlign w:val="bottom"/>
          </w:tcPr>
          <w:p>
            <w:pPr>
              <w:pStyle w:val="TableContents"/>
              <w:spacing w:before="0" w:after="0"/>
              <w:jc w:val="right"/>
              <w:rPr/>
            </w:pPr>
            <w:r>
              <w:rPr/>
              <w:t>(962</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755" w:type="dxa"/>
            <w:tcBorders/>
            <w:shd w:fill="CCEEFF" w:val="clear"/>
            <w:vAlign w:val="bottom"/>
          </w:tcPr>
          <w:p>
            <w:pPr>
              <w:pStyle w:val="TableContents"/>
              <w:spacing w:before="0" w:after="0"/>
              <w:jc w:val="right"/>
              <w:rPr/>
            </w:pPr>
            <w:r>
              <w:rPr/>
              <w:t>(6,817</w:t>
            </w:r>
          </w:p>
        </w:tc>
        <w:tc>
          <w:tcPr>
            <w:tcW w:w="110" w:type="dxa"/>
            <w:tcBorders/>
            <w:shd w:fill="CCEEFF" w:val="clear"/>
            <w:vAlign w:val="bottom"/>
          </w:tcPr>
          <w:p>
            <w:pPr>
              <w:pStyle w:val="TableContents"/>
              <w:spacing w:before="0" w:after="0"/>
              <w:rPr/>
            </w:pPr>
            <w:r>
              <w:rPr/>
              <w:t>)</w:t>
            </w:r>
          </w:p>
        </w:tc>
      </w:tr>
      <w:tr>
        <w:trPr/>
        <w:tc>
          <w:tcPr>
            <w:tcW w:w="5330" w:type="dxa"/>
            <w:tcBorders/>
            <w:shd w:fill="FFFFFF" w:val="clear"/>
            <w:vAlign w:val="bottom"/>
          </w:tcPr>
          <w:p>
            <w:pPr>
              <w:pStyle w:val="TableContents"/>
              <w:spacing w:before="0" w:after="0"/>
              <w:ind w:left="720" w:right="0" w:hanging="180"/>
              <w:rPr/>
            </w:pPr>
            <w:r>
              <w:rPr/>
              <w:t>Other comprehensive income (loss) before reclassifications</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0"/>
              <w:jc w:val="right"/>
              <w:rPr/>
            </w:pPr>
            <w:r>
              <w:rPr/>
              <w:t>3,097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0"/>
              <w:jc w:val="right"/>
              <w:rPr/>
            </w:pPr>
            <w:r>
              <w:rPr/>
              <w:t>(599</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755" w:type="dxa"/>
            <w:tcBorders/>
            <w:shd w:fill="FFFFFF" w:val="clear"/>
            <w:vAlign w:val="bottom"/>
          </w:tcPr>
          <w:p>
            <w:pPr>
              <w:pStyle w:val="TableContents"/>
              <w:spacing w:before="0" w:after="0"/>
              <w:jc w:val="right"/>
              <w:rPr/>
            </w:pPr>
            <w:r>
              <w:rPr/>
              <w:t>2,498</w:t>
            </w:r>
          </w:p>
        </w:tc>
        <w:tc>
          <w:tcPr>
            <w:tcW w:w="110" w:type="dxa"/>
            <w:tcBorders/>
            <w:shd w:fill="FFFFFF"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0"/>
              <w:ind w:left="720" w:right="0" w:hanging="180"/>
              <w:rPr/>
            </w:pPr>
            <w:r>
              <w:rPr/>
              <w:t>Amounts reclassified from AOCL</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(112</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5" w:type="dxa"/>
            <w:tcBorders>
              <w:bottom w:val="single" w:sz="12" w:space="0" w:color="000000"/>
            </w:tcBorders>
            <w:shd w:fill="CCEEFF" w:val="clear"/>
            <w:tcMar>
              <w:bottom w:w="28" w:type="dxa"/>
            </w:tcMar>
            <w:vAlign w:val="bottom"/>
          </w:tcPr>
          <w:p>
            <w:pPr>
              <w:pStyle w:val="TableContents"/>
              <w:spacing w:before="0" w:after="0"/>
              <w:jc w:val="right"/>
              <w:rPr/>
            </w:pPr>
            <w:r>
              <w:rPr/>
              <w:t>(112</w:t>
            </w:r>
          </w:p>
        </w:tc>
        <w:tc>
          <w:tcPr>
            <w:tcW w:w="110" w:type="dxa"/>
            <w:tcBorders/>
            <w:shd w:fill="CCEEFF" w:val="clear"/>
            <w:vAlign w:val="bottom"/>
          </w:tcPr>
          <w:p>
            <w:pPr>
              <w:pStyle w:val="TableContents"/>
              <w:spacing w:before="0" w:after="0"/>
              <w:rPr/>
            </w:pPr>
            <w:r>
              <w:rPr/>
              <w:t>)</w:t>
            </w:r>
          </w:p>
        </w:tc>
      </w:tr>
      <w:tr>
        <w:trPr/>
        <w:tc>
          <w:tcPr>
            <w:tcW w:w="5330" w:type="dxa"/>
            <w:tcBorders/>
            <w:shd w:fill="FFFFFF" w:val="clear"/>
            <w:vAlign w:val="bottom"/>
          </w:tcPr>
          <w:p>
            <w:pPr>
              <w:pStyle w:val="TableContents"/>
              <w:spacing w:before="0" w:after="0"/>
              <w:ind w:left="900" w:right="0" w:hanging="180"/>
              <w:rPr/>
            </w:pPr>
            <w:r>
              <w:rPr/>
              <w:t>Net current period other comprehensive income (loss)</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3,097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(711</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5" w:type="dxa"/>
            <w:tcBorders>
              <w:bottom w:val="single" w:sz="12" w:space="0" w:color="000000"/>
            </w:tcBorders>
            <w:shd w:fill="FFFFFF" w:val="clear"/>
            <w:tcMar>
              <w:bottom w:w="28" w:type="dxa"/>
            </w:tcMar>
            <w:vAlign w:val="bottom"/>
          </w:tcPr>
          <w:p>
            <w:pPr>
              <w:pStyle w:val="TableContents"/>
              <w:spacing w:before="0" w:after="0"/>
              <w:jc w:val="right"/>
              <w:rPr/>
            </w:pPr>
            <w:r>
              <w:rPr/>
              <w:t>2,386</w:t>
            </w:r>
          </w:p>
        </w:tc>
        <w:tc>
          <w:tcPr>
            <w:tcW w:w="110" w:type="dxa"/>
            <w:tcBorders/>
            <w:shd w:fill="FFFFFF"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0"/>
              <w:ind w:left="540" w:right="0" w:hanging="180"/>
              <w:rPr/>
            </w:pPr>
            <w:r>
              <w:rPr/>
              <w:t>Balances at end of period</w:t>
            </w:r>
          </w:p>
        </w:tc>
        <w:tc>
          <w:tcPr>
            <w:tcW w:w="60" w:type="dxa"/>
            <w:tcBorders/>
            <w:shd w:fill="CCEEFF" w:val="clear"/>
            <w:vAlign w:val="bottom"/>
          </w:tcPr>
          <w:p>
            <w:pPr>
              <w:pStyle w:val="TableContents"/>
              <w:spacing w:before="0" w:after="283"/>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rPr/>
            </w:pPr>
            <w:r>
              <w:rPr/>
              <w:t>$</w:t>
            </w:r>
          </w:p>
        </w:tc>
        <w:tc>
          <w:tcPr>
            <w:tcW w:w="914" w:type="dxa"/>
            <w:tcBorders>
              <w:bottom w:val="double" w:sz="8" w:space="0" w:color="000000"/>
            </w:tcBorders>
            <w:shd w:fill="CCEEFF" w:val="clear"/>
            <w:tcMar>
              <w:bottom w:w="28" w:type="dxa"/>
            </w:tcMar>
            <w:vAlign w:val="bottom"/>
          </w:tcPr>
          <w:p>
            <w:pPr>
              <w:pStyle w:val="TableContents"/>
              <w:spacing w:before="0" w:after="0"/>
              <w:jc w:val="right"/>
              <w:rPr/>
            </w:pPr>
            <w:r>
              <w:rPr/>
              <w:t>3,040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rPr/>
            </w:pPr>
            <w:r>
              <w:rPr/>
              <w:t>$</w:t>
            </w:r>
          </w:p>
        </w:tc>
        <w:tc>
          <w:tcPr>
            <w:tcW w:w="914" w:type="dxa"/>
            <w:tcBorders>
              <w:bottom w:val="double" w:sz="8" w:space="0" w:color="000000"/>
            </w:tcBorders>
            <w:shd w:fill="CCEEFF" w:val="clear"/>
            <w:tcMar>
              <w:bottom w:w="28" w:type="dxa"/>
            </w:tcMar>
            <w:vAlign w:val="bottom"/>
          </w:tcPr>
          <w:p>
            <w:pPr>
              <w:pStyle w:val="TableContents"/>
              <w:spacing w:before="0" w:after="0"/>
              <w:jc w:val="right"/>
              <w:rPr/>
            </w:pPr>
            <w:r>
              <w:rPr/>
              <w:t>(5,798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rPr/>
            </w:pPr>
            <w:r>
              <w:rPr/>
              <w:t>$</w:t>
            </w:r>
          </w:p>
        </w:tc>
        <w:tc>
          <w:tcPr>
            <w:tcW w:w="914" w:type="dxa"/>
            <w:tcBorders>
              <w:bottom w:val="double" w:sz="8" w:space="0" w:color="000000"/>
            </w:tcBorders>
            <w:shd w:fill="CCEEFF" w:val="clear"/>
            <w:tcMar>
              <w:bottom w:w="28" w:type="dxa"/>
            </w:tcMar>
            <w:vAlign w:val="bottom"/>
          </w:tcPr>
          <w:p>
            <w:pPr>
              <w:pStyle w:val="TableContents"/>
              <w:spacing w:before="0" w:after="0"/>
              <w:jc w:val="right"/>
              <w:rPr/>
            </w:pPr>
            <w:r>
              <w:rPr/>
              <w:t>(1,673</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755" w:type="dxa"/>
            <w:tcBorders>
              <w:bottom w:val="double" w:sz="8" w:space="0" w:color="000000"/>
            </w:tcBorders>
            <w:shd w:fill="CCEEFF" w:val="clear"/>
            <w:tcMar>
              <w:bottom w:w="28" w:type="dxa"/>
            </w:tcMar>
            <w:vAlign w:val="bottom"/>
          </w:tcPr>
          <w:p>
            <w:pPr>
              <w:pStyle w:val="TableContents"/>
              <w:spacing w:before="0" w:after="0"/>
              <w:jc w:val="right"/>
              <w:rPr/>
            </w:pPr>
            <w:r>
              <w:rPr/>
              <w:t>(4,431</w:t>
            </w:r>
          </w:p>
        </w:tc>
        <w:tc>
          <w:tcPr>
            <w:tcW w:w="110" w:type="dxa"/>
            <w:tcBorders/>
            <w:shd w:fill="CCEEFF" w:val="clear"/>
            <w:vAlign w:val="bottom"/>
          </w:tcPr>
          <w:p>
            <w:pPr>
              <w:pStyle w:val="TableContents"/>
              <w:spacing w:before="0" w:after="0"/>
              <w:ind w:left="180" w:right="0" w:hanging="180"/>
              <w:rPr/>
            </w:pPr>
            <w:r>
              <w:rPr/>
              <w:t>)</w:t>
            </w:r>
          </w:p>
        </w:tc>
      </w:tr>
      <w:tr>
        <w:trPr/>
        <w:tc>
          <w:tcPr>
            <w:tcW w:w="533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0"/>
              <w:ind w:left="360" w:right="0" w:hanging="180"/>
              <w:rPr/>
            </w:pPr>
            <w:r>
              <w:rPr/>
              <w:t>2018</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5330" w:type="dxa"/>
            <w:tcBorders/>
            <w:shd w:fill="FFFFFF" w:val="clear"/>
            <w:vAlign w:val="bottom"/>
          </w:tcPr>
          <w:p>
            <w:pPr>
              <w:pStyle w:val="TableContents"/>
              <w:spacing w:before="0" w:after="0"/>
              <w:ind w:left="540" w:right="0" w:hanging="180"/>
              <w:rPr/>
            </w:pPr>
            <w:r>
              <w:rPr/>
              <w:t>Balances at beginning of period</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0"/>
              <w:rPr/>
            </w:pPr>
            <w:r>
              <w:rPr/>
              <w:t>$</w:t>
            </w:r>
          </w:p>
        </w:tc>
        <w:tc>
          <w:tcPr>
            <w:tcW w:w="914" w:type="dxa"/>
            <w:tcBorders/>
            <w:shd w:fill="FFFFFF" w:val="clear"/>
            <w:vAlign w:val="bottom"/>
          </w:tcPr>
          <w:p>
            <w:pPr>
              <w:pStyle w:val="TableContents"/>
              <w:spacing w:before="0" w:after="0"/>
              <w:jc w:val="right"/>
              <w:rPr/>
            </w:pPr>
            <w:r>
              <w:rPr/>
              <w:t>(3,509</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0"/>
              <w:rPr/>
            </w:pPr>
            <w:r>
              <w:rPr/>
              <w:t>$</w:t>
            </w:r>
          </w:p>
        </w:tc>
        <w:tc>
          <w:tcPr>
            <w:tcW w:w="914" w:type="dxa"/>
            <w:tcBorders/>
            <w:shd w:fill="FFFFFF" w:val="clear"/>
            <w:vAlign w:val="bottom"/>
          </w:tcPr>
          <w:p>
            <w:pPr>
              <w:pStyle w:val="TableContents"/>
              <w:spacing w:before="0" w:after="0"/>
              <w:jc w:val="right"/>
              <w:rPr/>
            </w:pPr>
            <w:r>
              <w:rPr/>
              <w:t>(5,798</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0"/>
              <w:rPr/>
            </w:pPr>
            <w:r>
              <w:rPr/>
              <w:t>$</w:t>
            </w:r>
          </w:p>
        </w:tc>
        <w:tc>
          <w:tcPr>
            <w:tcW w:w="914" w:type="dxa"/>
            <w:tcBorders/>
            <w:shd w:fill="FFFFFF" w:val="clear"/>
            <w:vAlign w:val="bottom"/>
          </w:tcPr>
          <w:p>
            <w:pPr>
              <w:pStyle w:val="TableContents"/>
              <w:spacing w:before="0" w:after="0"/>
              <w:jc w:val="right"/>
              <w:rPr/>
            </w:pPr>
            <w:r>
              <w:rPr/>
              <w:t>805</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755" w:type="dxa"/>
            <w:tcBorders/>
            <w:shd w:fill="FFFFFF" w:val="clear"/>
            <w:vAlign w:val="bottom"/>
          </w:tcPr>
          <w:p>
            <w:pPr>
              <w:pStyle w:val="TableContents"/>
              <w:spacing w:before="0" w:after="0"/>
              <w:jc w:val="right"/>
              <w:rPr/>
            </w:pPr>
            <w:r>
              <w:rPr/>
              <w:t>(8,502</w:t>
            </w:r>
          </w:p>
        </w:tc>
        <w:tc>
          <w:tcPr>
            <w:tcW w:w="110" w:type="dxa"/>
            <w:tcBorders/>
            <w:shd w:fill="FFFFFF" w:val="clear"/>
            <w:vAlign w:val="bottom"/>
          </w:tcPr>
          <w:p>
            <w:pPr>
              <w:pStyle w:val="TableContents"/>
              <w:spacing w:before="0" w:after="0"/>
              <w:rPr/>
            </w:pPr>
            <w:r>
              <w:rPr/>
              <w:t>)</w:t>
            </w:r>
          </w:p>
        </w:tc>
      </w:tr>
      <w:tr>
        <w:trPr/>
        <w:tc>
          <w:tcPr>
            <w:tcW w:w="5330" w:type="dxa"/>
            <w:tcBorders/>
            <w:shd w:fill="CCEEFF" w:val="clear"/>
            <w:vAlign w:val="bottom"/>
          </w:tcPr>
          <w:p>
            <w:pPr>
              <w:pStyle w:val="TableContents"/>
              <w:spacing w:before="0" w:after="0"/>
              <w:ind w:left="720" w:right="0" w:hanging="180"/>
              <w:rPr/>
            </w:pPr>
            <w:r>
              <w:rPr/>
              <w:t>Other comprehensive income (loss) before reclassifications</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0"/>
              <w:jc w:val="right"/>
              <w:rPr/>
            </w:pPr>
            <w:r>
              <w:rPr/>
              <w:t>(949</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0"/>
              <w:jc w:val="right"/>
              <w:rPr/>
            </w:pPr>
            <w:r>
              <w:rPr/>
              <w:t>258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0"/>
              <w:jc w:val="right"/>
              <w:rPr/>
            </w:pPr>
            <w:r>
              <w:rPr/>
              <w:t>(691</w:t>
            </w:r>
          </w:p>
        </w:tc>
        <w:tc>
          <w:tcPr>
            <w:tcW w:w="110" w:type="dxa"/>
            <w:tcBorders/>
            <w:shd w:fill="CCEEFF" w:val="clear"/>
            <w:vAlign w:val="bottom"/>
          </w:tcPr>
          <w:p>
            <w:pPr>
              <w:pStyle w:val="TableContents"/>
              <w:spacing w:before="0" w:after="0"/>
              <w:rPr/>
            </w:pPr>
            <w:r>
              <w:rPr/>
              <w:t>)</w:t>
            </w:r>
          </w:p>
        </w:tc>
      </w:tr>
      <w:tr>
        <w:trPr/>
        <w:tc>
          <w:tcPr>
            <w:tcW w:w="5330" w:type="dxa"/>
            <w:tcBorders/>
            <w:shd w:fill="FFFFFF" w:val="clear"/>
            <w:vAlign w:val="bottom"/>
          </w:tcPr>
          <w:p>
            <w:pPr>
              <w:pStyle w:val="TableContents"/>
              <w:spacing w:before="0" w:after="0"/>
              <w:ind w:left="720" w:right="0" w:hanging="180"/>
              <w:rPr/>
            </w:pPr>
            <w:r>
              <w:rPr/>
              <w:t>Amounts reclassified from AOCL</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21</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(42</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5" w:type="dxa"/>
            <w:tcBorders>
              <w:bottom w:val="single" w:sz="12" w:space="0" w:color="000000"/>
            </w:tcBorders>
            <w:shd w:fill="FFFFFF" w:val="clear"/>
            <w:tcMar>
              <w:bottom w:w="28" w:type="dxa"/>
            </w:tcMar>
            <w:vAlign w:val="bottom"/>
          </w:tcPr>
          <w:p>
            <w:pPr>
              <w:pStyle w:val="TableContents"/>
              <w:spacing w:before="0" w:after="0"/>
              <w:jc w:val="right"/>
              <w:rPr/>
            </w:pPr>
            <w:r>
              <w:rPr/>
              <w:t>(21</w:t>
            </w:r>
          </w:p>
        </w:tc>
        <w:tc>
          <w:tcPr>
            <w:tcW w:w="110" w:type="dxa"/>
            <w:tcBorders/>
            <w:shd w:fill="FFFFFF" w:val="clear"/>
            <w:vAlign w:val="bottom"/>
          </w:tcPr>
          <w:p>
            <w:pPr>
              <w:pStyle w:val="TableContents"/>
              <w:spacing w:before="0" w:after="0"/>
              <w:rPr/>
            </w:pPr>
            <w:r>
              <w:rPr/>
              <w:t>)</w:t>
            </w:r>
          </w:p>
        </w:tc>
      </w:tr>
      <w:tr>
        <w:trPr/>
        <w:tc>
          <w:tcPr>
            <w:tcW w:w="5330" w:type="dxa"/>
            <w:tcBorders/>
            <w:shd w:fill="CCEEFF" w:val="clear"/>
            <w:vAlign w:val="bottom"/>
          </w:tcPr>
          <w:p>
            <w:pPr>
              <w:pStyle w:val="TableContents"/>
              <w:spacing w:before="0" w:after="0"/>
              <w:ind w:left="900" w:right="0" w:hanging="180"/>
              <w:rPr/>
            </w:pPr>
            <w:r>
              <w:rPr/>
              <w:t>Net current period other comprehensive income (loss)</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(928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216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5" w:type="dxa"/>
            <w:tcBorders>
              <w:bottom w:val="single" w:sz="12" w:space="0" w:color="000000"/>
            </w:tcBorders>
            <w:shd w:fill="CCEEFF" w:val="clear"/>
            <w:tcMar>
              <w:bottom w:w="28" w:type="dxa"/>
            </w:tcMar>
            <w:vAlign w:val="bottom"/>
          </w:tcPr>
          <w:p>
            <w:pPr>
              <w:pStyle w:val="TableContents"/>
              <w:spacing w:before="0" w:after="0"/>
              <w:jc w:val="right"/>
              <w:rPr/>
            </w:pPr>
            <w:r>
              <w:rPr/>
              <w:t>(712</w:t>
            </w:r>
          </w:p>
        </w:tc>
        <w:tc>
          <w:tcPr>
            <w:tcW w:w="110" w:type="dxa"/>
            <w:tcBorders/>
            <w:shd w:fill="CCEEFF" w:val="clear"/>
            <w:vAlign w:val="bottom"/>
          </w:tcPr>
          <w:p>
            <w:pPr>
              <w:pStyle w:val="TableContents"/>
              <w:spacing w:before="0" w:after="0"/>
              <w:rPr/>
            </w:pPr>
            <w:r>
              <w:rPr/>
              <w:t>)</w:t>
            </w:r>
          </w:p>
        </w:tc>
      </w:tr>
      <w:tr>
        <w:trPr/>
        <w:tc>
          <w:tcPr>
            <w:tcW w:w="5330" w:type="dxa"/>
            <w:tcBorders/>
            <w:shd w:fill="FFFFFF" w:val="clear"/>
            <w:vAlign w:val="bottom"/>
          </w:tcPr>
          <w:p>
            <w:pPr>
              <w:pStyle w:val="TableContents"/>
              <w:spacing w:before="0" w:after="0"/>
              <w:ind w:left="540" w:right="0" w:hanging="180"/>
              <w:rPr/>
            </w:pPr>
            <w:r>
              <w:rPr/>
              <w:t>Balances at end of period</w:t>
            </w:r>
          </w:p>
        </w:tc>
        <w:tc>
          <w:tcPr>
            <w:tcW w:w="60" w:type="dxa"/>
            <w:tcBorders/>
            <w:shd w:fill="FFFFFF" w:val="clear"/>
            <w:vAlign w:val="bottom"/>
          </w:tcPr>
          <w:p>
            <w:pPr>
              <w:pStyle w:val="TableContents"/>
              <w:spacing w:before="0" w:after="283"/>
              <w:rPr/>
            </w:pPr>
            <w:r>
              <w:rPr/>
              <w:t> </w:t>
            </w:r>
          </w:p>
        </w:tc>
        <w:tc>
          <w:tcPr>
            <w:tcW w:w="201" w:type="dxa"/>
            <w:tcBorders>
              <w:bottom w:val="double" w:sz="8" w:space="0" w:color="000000"/>
            </w:tcBorders>
            <w:shd w:fill="FFFFFF" w:val="clear"/>
            <w:tcMar>
              <w:bottom w:w="28" w:type="dxa"/>
            </w:tcMar>
            <w:vAlign w:val="bottom"/>
          </w:tcPr>
          <w:p>
            <w:pPr>
              <w:pStyle w:val="TableContents"/>
              <w:spacing w:before="0" w:after="0"/>
              <w:rPr/>
            </w:pPr>
            <w:r>
              <w:rPr/>
              <w:t>$</w:t>
            </w:r>
          </w:p>
        </w:tc>
        <w:tc>
          <w:tcPr>
            <w:tcW w:w="914" w:type="dxa"/>
            <w:tcBorders>
              <w:bottom w:val="double" w:sz="8" w:space="0" w:color="000000"/>
            </w:tcBorders>
            <w:shd w:fill="FFFFFF" w:val="clear"/>
            <w:tcMar>
              <w:bottom w:w="28" w:type="dxa"/>
            </w:tcMar>
            <w:vAlign w:val="bottom"/>
          </w:tcPr>
          <w:p>
            <w:pPr>
              <w:pStyle w:val="TableContents"/>
              <w:spacing w:before="0" w:after="0"/>
              <w:jc w:val="right"/>
              <w:rPr/>
            </w:pPr>
            <w:r>
              <w:rPr/>
              <w:t>(4,437</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bottom w:val="double" w:sz="8" w:space="0" w:color="000000"/>
            </w:tcBorders>
            <w:shd w:fill="FFFFFF" w:val="clear"/>
            <w:tcMar>
              <w:bottom w:w="28" w:type="dxa"/>
            </w:tcMar>
            <w:vAlign w:val="bottom"/>
          </w:tcPr>
          <w:p>
            <w:pPr>
              <w:pStyle w:val="TableContents"/>
              <w:spacing w:before="0" w:after="0"/>
              <w:rPr/>
            </w:pPr>
            <w:r>
              <w:rPr/>
              <w:t>$</w:t>
            </w:r>
          </w:p>
        </w:tc>
        <w:tc>
          <w:tcPr>
            <w:tcW w:w="914" w:type="dxa"/>
            <w:tcBorders>
              <w:bottom w:val="double" w:sz="8" w:space="0" w:color="000000"/>
            </w:tcBorders>
            <w:shd w:fill="FFFFFF" w:val="clear"/>
            <w:tcMar>
              <w:bottom w:w="28" w:type="dxa"/>
            </w:tcMar>
            <w:vAlign w:val="bottom"/>
          </w:tcPr>
          <w:p>
            <w:pPr>
              <w:pStyle w:val="TableContents"/>
              <w:spacing w:before="0" w:after="0"/>
              <w:jc w:val="right"/>
              <w:rPr/>
            </w:pPr>
            <w:r>
              <w:rPr/>
              <w:t>(5,798</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bottom w:val="double" w:sz="8" w:space="0" w:color="000000"/>
            </w:tcBorders>
            <w:shd w:fill="FFFFFF" w:val="clear"/>
            <w:tcMar>
              <w:bottom w:w="28" w:type="dxa"/>
            </w:tcMar>
            <w:vAlign w:val="bottom"/>
          </w:tcPr>
          <w:p>
            <w:pPr>
              <w:pStyle w:val="TableContents"/>
              <w:spacing w:before="0" w:after="0"/>
              <w:rPr/>
            </w:pPr>
            <w:r>
              <w:rPr/>
              <w:t>$</w:t>
            </w:r>
          </w:p>
        </w:tc>
        <w:tc>
          <w:tcPr>
            <w:tcW w:w="914" w:type="dxa"/>
            <w:tcBorders>
              <w:bottom w:val="double" w:sz="8" w:space="0" w:color="000000"/>
            </w:tcBorders>
            <w:shd w:fill="FFFFFF" w:val="clear"/>
            <w:tcMar>
              <w:bottom w:w="28" w:type="dxa"/>
            </w:tcMar>
            <w:vAlign w:val="bottom"/>
          </w:tcPr>
          <w:p>
            <w:pPr>
              <w:pStyle w:val="TableContents"/>
              <w:spacing w:before="0" w:after="0"/>
              <w:jc w:val="right"/>
              <w:rPr/>
            </w:pPr>
            <w:r>
              <w:rPr/>
              <w:t>1,021</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755" w:type="dxa"/>
            <w:tcBorders>
              <w:bottom w:val="double" w:sz="8" w:space="0" w:color="000000"/>
            </w:tcBorders>
            <w:shd w:fill="FFFFFF" w:val="clear"/>
            <w:tcMar>
              <w:bottom w:w="28" w:type="dxa"/>
            </w:tcMar>
            <w:vAlign w:val="bottom"/>
          </w:tcPr>
          <w:p>
            <w:pPr>
              <w:pStyle w:val="TableContents"/>
              <w:spacing w:before="0" w:after="0"/>
              <w:jc w:val="right"/>
              <w:rPr/>
            </w:pPr>
            <w:r>
              <w:rPr/>
              <w:t>(9,214</w:t>
            </w:r>
          </w:p>
        </w:tc>
        <w:tc>
          <w:tcPr>
            <w:tcW w:w="110" w:type="dxa"/>
            <w:tcBorders/>
            <w:shd w:fill="FFFFFF" w:val="clear"/>
            <w:vAlign w:val="bottom"/>
          </w:tcPr>
          <w:p>
            <w:pPr>
              <w:pStyle w:val="TableContents"/>
              <w:spacing w:before="0" w:after="0"/>
              <w:ind w:left="180" w:right="0" w:hanging="180"/>
              <w:rPr/>
            </w:pPr>
            <w:r>
              <w:rPr/>
              <w:t>)</w:t>
            </w:r>
          </w:p>
        </w:tc>
      </w:tr>
      <w:tr>
        <w:trPr/>
        <w:tc>
          <w:tcPr>
            <w:tcW w:w="53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5330" w:type="dxa"/>
            <w:tcBorders/>
            <w:shd w:fill="FFFFFF" w:val="clear"/>
            <w:vAlign w:val="bottom"/>
          </w:tcPr>
          <w:p>
            <w:pPr>
              <w:pStyle w:val="TableContents"/>
              <w:spacing w:before="0" w:after="0"/>
              <w:ind w:left="180" w:right="0" w:hanging="180"/>
              <w:rPr/>
            </w:pPr>
            <w:r>
              <w:rPr/>
              <w:t>For the six months ended June 30,</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0"/>
              <w:ind w:left="360" w:right="0" w:hanging="180"/>
              <w:rPr/>
            </w:pPr>
            <w:r>
              <w:rPr/>
              <w:t>2019</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5330" w:type="dxa"/>
            <w:tcBorders/>
            <w:shd w:fill="FFFFFF" w:val="clear"/>
            <w:vAlign w:val="bottom"/>
          </w:tcPr>
          <w:p>
            <w:pPr>
              <w:pStyle w:val="TableContents"/>
              <w:spacing w:before="0" w:after="0"/>
              <w:ind w:left="540" w:right="0" w:hanging="180"/>
              <w:rPr/>
            </w:pPr>
            <w:r>
              <w:rPr/>
              <w:t>Balances at beginning of period</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0"/>
              <w:rPr/>
            </w:pPr>
            <w:r>
              <w:rPr/>
              <w:t>$</w:t>
            </w:r>
          </w:p>
        </w:tc>
        <w:tc>
          <w:tcPr>
            <w:tcW w:w="914" w:type="dxa"/>
            <w:tcBorders/>
            <w:shd w:fill="FFFFFF" w:val="clear"/>
            <w:vAlign w:val="bottom"/>
          </w:tcPr>
          <w:p>
            <w:pPr>
              <w:pStyle w:val="TableContents"/>
              <w:spacing w:before="0" w:after="0"/>
              <w:jc w:val="right"/>
              <w:rPr/>
            </w:pPr>
            <w:r>
              <w:rPr/>
              <w:t>(4,185</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0"/>
              <w:rPr/>
            </w:pPr>
            <w:r>
              <w:rPr/>
              <w:t>$</w:t>
            </w:r>
          </w:p>
        </w:tc>
        <w:tc>
          <w:tcPr>
            <w:tcW w:w="914" w:type="dxa"/>
            <w:tcBorders/>
            <w:shd w:fill="FFFFFF" w:val="clear"/>
            <w:vAlign w:val="bottom"/>
          </w:tcPr>
          <w:p>
            <w:pPr>
              <w:pStyle w:val="TableContents"/>
              <w:spacing w:before="0" w:after="0"/>
              <w:jc w:val="right"/>
              <w:rPr/>
            </w:pPr>
            <w:r>
              <w:rPr/>
              <w:t>(5,798</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0"/>
              <w:rPr/>
            </w:pPr>
            <w:r>
              <w:rPr/>
              <w:t>$</w:t>
            </w:r>
          </w:p>
        </w:tc>
        <w:tc>
          <w:tcPr>
            <w:tcW w:w="914" w:type="dxa"/>
            <w:tcBorders/>
            <w:shd w:fill="FFFFFF" w:val="clear"/>
            <w:vAlign w:val="bottom"/>
          </w:tcPr>
          <w:p>
            <w:pPr>
              <w:pStyle w:val="TableContents"/>
              <w:spacing w:before="0" w:after="0"/>
              <w:jc w:val="right"/>
              <w:rPr/>
            </w:pPr>
            <w:r>
              <w:rPr/>
              <w:t>(125</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755" w:type="dxa"/>
            <w:tcBorders/>
            <w:shd w:fill="FFFFFF" w:val="clear"/>
            <w:vAlign w:val="bottom"/>
          </w:tcPr>
          <w:p>
            <w:pPr>
              <w:pStyle w:val="TableContents"/>
              <w:spacing w:before="0" w:after="0"/>
              <w:jc w:val="right"/>
              <w:rPr/>
            </w:pPr>
            <w:r>
              <w:rPr/>
              <w:t>(10,108</w:t>
            </w:r>
          </w:p>
        </w:tc>
        <w:tc>
          <w:tcPr>
            <w:tcW w:w="110" w:type="dxa"/>
            <w:tcBorders/>
            <w:shd w:fill="FFFFFF" w:val="clear"/>
            <w:vAlign w:val="bottom"/>
          </w:tcPr>
          <w:p>
            <w:pPr>
              <w:pStyle w:val="TableContents"/>
              <w:spacing w:before="0" w:after="0"/>
              <w:rPr/>
            </w:pPr>
            <w:r>
              <w:rPr/>
              <w:t>)</w:t>
            </w:r>
          </w:p>
        </w:tc>
      </w:tr>
      <w:tr>
        <w:trPr/>
        <w:tc>
          <w:tcPr>
            <w:tcW w:w="5330" w:type="dxa"/>
            <w:tcBorders/>
            <w:shd w:fill="CCEEFF" w:val="clear"/>
            <w:vAlign w:val="bottom"/>
          </w:tcPr>
          <w:p>
            <w:pPr>
              <w:pStyle w:val="TableContents"/>
              <w:spacing w:before="0" w:after="0"/>
              <w:ind w:left="720" w:right="0" w:hanging="180"/>
              <w:rPr/>
            </w:pPr>
            <w:r>
              <w:rPr/>
              <w:t>Other comprehensive income (loss) before reclassifications</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0"/>
              <w:jc w:val="right"/>
              <w:rPr/>
            </w:pPr>
            <w:r>
              <w:rPr/>
              <w:t>7,333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0"/>
              <w:jc w:val="right"/>
              <w:rPr/>
            </w:pPr>
            <w:r>
              <w:rPr/>
              <w:t>(1,318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0"/>
              <w:jc w:val="right"/>
              <w:rPr/>
            </w:pPr>
            <w:r>
              <w:rPr/>
              <w:t>6,015</w:t>
            </w:r>
          </w:p>
        </w:tc>
        <w:tc>
          <w:tcPr>
            <w:tcW w:w="110" w:type="dxa"/>
            <w:tcBorders/>
            <w:shd w:fill="CCEEFF" w:val="clear"/>
            <w:vAlign w:val="bottom"/>
          </w:tcPr>
          <w:p>
            <w:pPr>
              <w:pStyle w:val="TableContents"/>
              <w:spacing w:before="0" w:after="283"/>
              <w:rPr/>
            </w:pPr>
            <w:r>
              <w:rPr/>
              <w:t> </w:t>
            </w:r>
          </w:p>
        </w:tc>
      </w:tr>
      <w:tr>
        <w:trPr/>
        <w:tc>
          <w:tcPr>
            <w:tcW w:w="5330" w:type="dxa"/>
            <w:tcBorders/>
            <w:shd w:fill="FFFFFF" w:val="clear"/>
            <w:vAlign w:val="bottom"/>
          </w:tcPr>
          <w:p>
            <w:pPr>
              <w:pStyle w:val="TableContents"/>
              <w:spacing w:before="0" w:after="0"/>
              <w:ind w:left="720" w:right="0" w:hanging="180"/>
              <w:rPr/>
            </w:pPr>
            <w:r>
              <w:rPr/>
              <w:t>Amounts reclassified from AOCL</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(108</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(230</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5" w:type="dxa"/>
            <w:tcBorders>
              <w:bottom w:val="single" w:sz="12" w:space="0" w:color="000000"/>
            </w:tcBorders>
            <w:shd w:fill="FFFFFF" w:val="clear"/>
            <w:tcMar>
              <w:bottom w:w="28" w:type="dxa"/>
            </w:tcMar>
            <w:vAlign w:val="bottom"/>
          </w:tcPr>
          <w:p>
            <w:pPr>
              <w:pStyle w:val="TableContents"/>
              <w:spacing w:before="0" w:after="0"/>
              <w:jc w:val="right"/>
              <w:rPr/>
            </w:pPr>
            <w:r>
              <w:rPr/>
              <w:t>(338</w:t>
            </w:r>
          </w:p>
        </w:tc>
        <w:tc>
          <w:tcPr>
            <w:tcW w:w="110" w:type="dxa"/>
            <w:tcBorders/>
            <w:shd w:fill="FFFFFF" w:val="clear"/>
            <w:vAlign w:val="bottom"/>
          </w:tcPr>
          <w:p>
            <w:pPr>
              <w:pStyle w:val="TableContents"/>
              <w:spacing w:before="0" w:after="0"/>
              <w:rPr/>
            </w:pPr>
            <w:r>
              <w:rPr/>
              <w:t>)</w:t>
            </w:r>
          </w:p>
        </w:tc>
      </w:tr>
      <w:tr>
        <w:trPr/>
        <w:tc>
          <w:tcPr>
            <w:tcW w:w="5330" w:type="dxa"/>
            <w:tcBorders/>
            <w:shd w:fill="CCEEFF" w:val="clear"/>
            <w:vAlign w:val="bottom"/>
          </w:tcPr>
          <w:p>
            <w:pPr>
              <w:pStyle w:val="TableContents"/>
              <w:spacing w:before="0" w:after="0"/>
              <w:ind w:left="900" w:right="0" w:hanging="180"/>
              <w:rPr/>
            </w:pPr>
            <w:r>
              <w:rPr/>
              <w:t>Net current period other comprehensive income (loss)</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7,225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(1,548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5" w:type="dxa"/>
            <w:tcBorders>
              <w:bottom w:val="single" w:sz="12" w:space="0" w:color="000000"/>
            </w:tcBorders>
            <w:shd w:fill="CCEEFF" w:val="clear"/>
            <w:tcMar>
              <w:bottom w:w="28" w:type="dxa"/>
            </w:tcMar>
            <w:vAlign w:val="bottom"/>
          </w:tcPr>
          <w:p>
            <w:pPr>
              <w:pStyle w:val="TableContents"/>
              <w:spacing w:before="0" w:after="0"/>
              <w:jc w:val="right"/>
              <w:rPr/>
            </w:pPr>
            <w:r>
              <w:rPr/>
              <w:t>5,677</w:t>
            </w:r>
          </w:p>
        </w:tc>
        <w:tc>
          <w:tcPr>
            <w:tcW w:w="110" w:type="dxa"/>
            <w:tcBorders/>
            <w:shd w:fill="CCEEFF" w:val="clear"/>
            <w:vAlign w:val="bottom"/>
          </w:tcPr>
          <w:p>
            <w:pPr>
              <w:pStyle w:val="TableContents"/>
              <w:spacing w:before="0" w:after="283"/>
              <w:rPr/>
            </w:pPr>
            <w:r>
              <w:rPr/>
              <w:t> </w:t>
            </w:r>
          </w:p>
        </w:tc>
      </w:tr>
      <w:tr>
        <w:trPr/>
        <w:tc>
          <w:tcPr>
            <w:tcW w:w="5330" w:type="dxa"/>
            <w:tcBorders/>
            <w:shd w:fill="FFFFFF" w:val="clear"/>
            <w:vAlign w:val="bottom"/>
          </w:tcPr>
          <w:p>
            <w:pPr>
              <w:pStyle w:val="TableContents"/>
              <w:spacing w:before="0" w:after="0"/>
              <w:ind w:left="540" w:right="0" w:hanging="180"/>
              <w:rPr/>
            </w:pPr>
            <w:r>
              <w:rPr/>
              <w:t>Balances at end of period</w:t>
            </w:r>
          </w:p>
        </w:tc>
        <w:tc>
          <w:tcPr>
            <w:tcW w:w="60" w:type="dxa"/>
            <w:tcBorders/>
            <w:shd w:fill="FFFFFF" w:val="clear"/>
            <w:vAlign w:val="bottom"/>
          </w:tcPr>
          <w:p>
            <w:pPr>
              <w:pStyle w:val="TableContents"/>
              <w:spacing w:before="0" w:after="283"/>
              <w:rPr/>
            </w:pPr>
            <w:r>
              <w:rPr/>
              <w:t> </w:t>
            </w:r>
          </w:p>
        </w:tc>
        <w:tc>
          <w:tcPr>
            <w:tcW w:w="201" w:type="dxa"/>
            <w:tcBorders>
              <w:bottom w:val="double" w:sz="8" w:space="0" w:color="000000"/>
            </w:tcBorders>
            <w:shd w:fill="FFFFFF" w:val="clear"/>
            <w:tcMar>
              <w:bottom w:w="28" w:type="dxa"/>
            </w:tcMar>
            <w:vAlign w:val="bottom"/>
          </w:tcPr>
          <w:p>
            <w:pPr>
              <w:pStyle w:val="TableContents"/>
              <w:spacing w:before="0" w:after="0"/>
              <w:rPr/>
            </w:pPr>
            <w:r>
              <w:rPr/>
              <w:t>$</w:t>
            </w:r>
          </w:p>
        </w:tc>
        <w:tc>
          <w:tcPr>
            <w:tcW w:w="914" w:type="dxa"/>
            <w:tcBorders>
              <w:bottom w:val="double" w:sz="8" w:space="0" w:color="000000"/>
            </w:tcBorders>
            <w:shd w:fill="FFFFFF" w:val="clear"/>
            <w:tcMar>
              <w:bottom w:w="28" w:type="dxa"/>
            </w:tcMar>
            <w:vAlign w:val="bottom"/>
          </w:tcPr>
          <w:p>
            <w:pPr>
              <w:pStyle w:val="TableContents"/>
              <w:spacing w:before="0" w:after="0"/>
              <w:jc w:val="right"/>
              <w:rPr/>
            </w:pPr>
            <w:r>
              <w:rPr/>
              <w:t>3,040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bottom w:val="double" w:sz="8" w:space="0" w:color="000000"/>
            </w:tcBorders>
            <w:shd w:fill="FFFFFF" w:val="clear"/>
            <w:tcMar>
              <w:bottom w:w="28" w:type="dxa"/>
            </w:tcMar>
            <w:vAlign w:val="bottom"/>
          </w:tcPr>
          <w:p>
            <w:pPr>
              <w:pStyle w:val="TableContents"/>
              <w:spacing w:before="0" w:after="0"/>
              <w:rPr/>
            </w:pPr>
            <w:r>
              <w:rPr/>
              <w:t>$</w:t>
            </w:r>
          </w:p>
        </w:tc>
        <w:tc>
          <w:tcPr>
            <w:tcW w:w="914" w:type="dxa"/>
            <w:tcBorders>
              <w:bottom w:val="double" w:sz="8" w:space="0" w:color="000000"/>
            </w:tcBorders>
            <w:shd w:fill="FFFFFF" w:val="clear"/>
            <w:tcMar>
              <w:bottom w:w="28" w:type="dxa"/>
            </w:tcMar>
            <w:vAlign w:val="bottom"/>
          </w:tcPr>
          <w:p>
            <w:pPr>
              <w:pStyle w:val="TableContents"/>
              <w:spacing w:before="0" w:after="0"/>
              <w:jc w:val="right"/>
              <w:rPr/>
            </w:pPr>
            <w:r>
              <w:rPr/>
              <w:t>(5,798</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bottom w:val="double" w:sz="8" w:space="0" w:color="000000"/>
            </w:tcBorders>
            <w:shd w:fill="FFFFFF" w:val="clear"/>
            <w:tcMar>
              <w:bottom w:w="28" w:type="dxa"/>
            </w:tcMar>
            <w:vAlign w:val="bottom"/>
          </w:tcPr>
          <w:p>
            <w:pPr>
              <w:pStyle w:val="TableContents"/>
              <w:spacing w:before="0" w:after="0"/>
              <w:rPr/>
            </w:pPr>
            <w:r>
              <w:rPr/>
              <w:t>$</w:t>
            </w:r>
          </w:p>
        </w:tc>
        <w:tc>
          <w:tcPr>
            <w:tcW w:w="914" w:type="dxa"/>
            <w:tcBorders>
              <w:bottom w:val="double" w:sz="8" w:space="0" w:color="000000"/>
            </w:tcBorders>
            <w:shd w:fill="FFFFFF" w:val="clear"/>
            <w:tcMar>
              <w:bottom w:w="28" w:type="dxa"/>
            </w:tcMar>
            <w:vAlign w:val="bottom"/>
          </w:tcPr>
          <w:p>
            <w:pPr>
              <w:pStyle w:val="TableContents"/>
              <w:spacing w:before="0" w:after="0"/>
              <w:jc w:val="right"/>
              <w:rPr/>
            </w:pPr>
            <w:r>
              <w:rPr/>
              <w:t>(1,673</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755" w:type="dxa"/>
            <w:tcBorders>
              <w:bottom w:val="double" w:sz="8" w:space="0" w:color="000000"/>
            </w:tcBorders>
            <w:shd w:fill="FFFFFF" w:val="clear"/>
            <w:tcMar>
              <w:bottom w:w="28" w:type="dxa"/>
            </w:tcMar>
            <w:vAlign w:val="bottom"/>
          </w:tcPr>
          <w:p>
            <w:pPr>
              <w:pStyle w:val="TableContents"/>
              <w:spacing w:before="0" w:after="0"/>
              <w:jc w:val="right"/>
              <w:rPr/>
            </w:pPr>
            <w:r>
              <w:rPr/>
              <w:t>(4,431</w:t>
            </w:r>
          </w:p>
        </w:tc>
        <w:tc>
          <w:tcPr>
            <w:tcW w:w="110" w:type="dxa"/>
            <w:tcBorders/>
            <w:shd w:fill="FFFFFF" w:val="clear"/>
            <w:vAlign w:val="bottom"/>
          </w:tcPr>
          <w:p>
            <w:pPr>
              <w:pStyle w:val="TableContents"/>
              <w:spacing w:before="0" w:after="0"/>
              <w:ind w:left="180" w:right="0" w:hanging="180"/>
              <w:rPr/>
            </w:pPr>
            <w:r>
              <w:rPr/>
              <w:t>)</w:t>
            </w:r>
          </w:p>
        </w:tc>
      </w:tr>
      <w:tr>
        <w:trPr/>
        <w:tc>
          <w:tcPr>
            <w:tcW w:w="53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5330" w:type="dxa"/>
            <w:tcBorders/>
            <w:shd w:fill="FFFFFF" w:val="clear"/>
            <w:vAlign w:val="bottom"/>
          </w:tcPr>
          <w:p>
            <w:pPr>
              <w:pStyle w:val="TableContents"/>
              <w:spacing w:before="0" w:after="0"/>
              <w:ind w:left="360" w:right="0" w:hanging="180"/>
              <w:rPr/>
            </w:pPr>
            <w:r>
              <w:rPr/>
              <w:t>2018</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755"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rPr/>
            </w:pPr>
            <w:r>
              <w:rPr/>
              <w:t> </w:t>
            </w:r>
          </w:p>
        </w:tc>
      </w:tr>
      <w:tr>
        <w:trPr/>
        <w:tc>
          <w:tcPr>
            <w:tcW w:w="5330" w:type="dxa"/>
            <w:tcBorders/>
            <w:shd w:fill="CCEEFF" w:val="clear"/>
            <w:vAlign w:val="bottom"/>
          </w:tcPr>
          <w:p>
            <w:pPr>
              <w:pStyle w:val="TableContents"/>
              <w:spacing w:before="0" w:after="0"/>
              <w:ind w:left="540" w:right="0" w:hanging="180"/>
              <w:rPr/>
            </w:pPr>
            <w:r>
              <w:rPr/>
              <w:t>Balances at beginning of period</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914" w:type="dxa"/>
            <w:tcBorders/>
            <w:shd w:fill="CCEEFF" w:val="clear"/>
            <w:vAlign w:val="bottom"/>
          </w:tcPr>
          <w:p>
            <w:pPr>
              <w:pStyle w:val="TableContents"/>
              <w:spacing w:before="0" w:after="0"/>
              <w:jc w:val="right"/>
              <w:rPr/>
            </w:pPr>
            <w:r>
              <w:rPr/>
              <w:t>(470</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914" w:type="dxa"/>
            <w:tcBorders/>
            <w:shd w:fill="CCEEFF" w:val="clear"/>
            <w:vAlign w:val="bottom"/>
          </w:tcPr>
          <w:p>
            <w:pPr>
              <w:pStyle w:val="TableContents"/>
              <w:spacing w:before="0" w:after="0"/>
              <w:jc w:val="right"/>
              <w:rPr/>
            </w:pPr>
            <w:r>
              <w:rPr/>
              <w:t>(5,798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914" w:type="dxa"/>
            <w:tcBorders/>
            <w:shd w:fill="CCEEFF" w:val="clear"/>
            <w:vAlign w:val="bottom"/>
          </w:tcPr>
          <w:p>
            <w:pPr>
              <w:pStyle w:val="TableContents"/>
              <w:spacing w:before="0" w:after="0"/>
              <w:jc w:val="right"/>
              <w:rPr/>
            </w:pPr>
            <w:r>
              <w:rPr/>
              <w:t>269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755" w:type="dxa"/>
            <w:tcBorders/>
            <w:shd w:fill="CCEEFF" w:val="clear"/>
            <w:vAlign w:val="bottom"/>
          </w:tcPr>
          <w:p>
            <w:pPr>
              <w:pStyle w:val="TableContents"/>
              <w:spacing w:before="0" w:after="0"/>
              <w:jc w:val="right"/>
              <w:rPr/>
            </w:pPr>
            <w:r>
              <w:rPr/>
              <w:t>(5,999</w:t>
            </w:r>
          </w:p>
        </w:tc>
        <w:tc>
          <w:tcPr>
            <w:tcW w:w="110" w:type="dxa"/>
            <w:tcBorders/>
            <w:shd w:fill="CCEEFF" w:val="clear"/>
            <w:vAlign w:val="bottom"/>
          </w:tcPr>
          <w:p>
            <w:pPr>
              <w:pStyle w:val="TableContents"/>
              <w:spacing w:before="0" w:after="0"/>
              <w:rPr/>
            </w:pPr>
            <w:r>
              <w:rPr/>
              <w:t>)</w:t>
            </w:r>
          </w:p>
        </w:tc>
      </w:tr>
      <w:tr>
        <w:trPr/>
        <w:tc>
          <w:tcPr>
            <w:tcW w:w="5330" w:type="dxa"/>
            <w:tcBorders/>
            <w:shd w:fill="FFFFFF" w:val="clear"/>
            <w:vAlign w:val="bottom"/>
          </w:tcPr>
          <w:p>
            <w:pPr>
              <w:pStyle w:val="TableContents"/>
              <w:spacing w:before="0" w:after="0"/>
              <w:ind w:left="720" w:right="0" w:hanging="180"/>
              <w:rPr/>
            </w:pPr>
            <w:r>
              <w:rPr/>
              <w:t>Other comprehensive income (loss) before reclassifications</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0"/>
              <w:jc w:val="right"/>
              <w:rPr/>
            </w:pPr>
            <w:r>
              <w:rPr/>
              <w:t>(4,003</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14" w:type="dxa"/>
            <w:tcBorders/>
            <w:shd w:fill="FFFFFF" w:val="clear"/>
            <w:vAlign w:val="bottom"/>
          </w:tcPr>
          <w:p>
            <w:pPr>
              <w:pStyle w:val="TableContents"/>
              <w:spacing w:before="0" w:after="0"/>
              <w:jc w:val="right"/>
              <w:rPr/>
            </w:pPr>
            <w:r>
              <w:rPr/>
              <w:t>799</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755" w:type="dxa"/>
            <w:tcBorders/>
            <w:shd w:fill="FFFFFF" w:val="clear"/>
            <w:vAlign w:val="bottom"/>
          </w:tcPr>
          <w:p>
            <w:pPr>
              <w:pStyle w:val="TableContents"/>
              <w:spacing w:before="0" w:after="0"/>
              <w:jc w:val="right"/>
              <w:rPr/>
            </w:pPr>
            <w:r>
              <w:rPr/>
              <w:t>(3,204</w:t>
            </w:r>
          </w:p>
        </w:tc>
        <w:tc>
          <w:tcPr>
            <w:tcW w:w="110" w:type="dxa"/>
            <w:tcBorders/>
            <w:shd w:fill="FFFFFF" w:val="clear"/>
            <w:vAlign w:val="bottom"/>
          </w:tcPr>
          <w:p>
            <w:pPr>
              <w:pStyle w:val="TableContents"/>
              <w:spacing w:before="0" w:after="0"/>
              <w:rPr/>
            </w:pPr>
            <w:r>
              <w:rPr/>
              <w:t>)</w:t>
            </w:r>
          </w:p>
        </w:tc>
      </w:tr>
      <w:tr>
        <w:trPr/>
        <w:tc>
          <w:tcPr>
            <w:tcW w:w="5330" w:type="dxa"/>
            <w:tcBorders/>
            <w:shd w:fill="CCEEFF" w:val="clear"/>
            <w:vAlign w:val="bottom"/>
          </w:tcPr>
          <w:p>
            <w:pPr>
              <w:pStyle w:val="TableContents"/>
              <w:spacing w:before="0" w:after="0"/>
              <w:ind w:left="720" w:right="0" w:hanging="180"/>
              <w:rPr/>
            </w:pPr>
            <w:r>
              <w:rPr/>
              <w:t>Amounts reclassified from AOCL</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36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4" w:type="dxa"/>
            <w:tcBorders>
              <w:bottom w:val="single" w:sz="12" w:space="0" w:color="000000"/>
            </w:tcBorders>
            <w:shd w:fill="CCEEFF" w:val="clear"/>
            <w:tcMar>
              <w:bottom w:w="28" w:type="dxa"/>
            </w:tcMar>
            <w:vAlign w:val="bottom"/>
          </w:tcPr>
          <w:p>
            <w:pPr>
              <w:pStyle w:val="TableContents"/>
              <w:spacing w:before="0" w:after="0"/>
              <w:jc w:val="right"/>
              <w:rPr/>
            </w:pPr>
            <w:r>
              <w:rPr/>
              <w:t>(47</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5" w:type="dxa"/>
            <w:tcBorders>
              <w:bottom w:val="single" w:sz="12" w:space="0" w:color="000000"/>
            </w:tcBorders>
            <w:shd w:fill="CCEEFF" w:val="clear"/>
            <w:tcMar>
              <w:bottom w:w="28" w:type="dxa"/>
            </w:tcMar>
            <w:vAlign w:val="bottom"/>
          </w:tcPr>
          <w:p>
            <w:pPr>
              <w:pStyle w:val="TableContents"/>
              <w:spacing w:before="0" w:after="0"/>
              <w:jc w:val="right"/>
              <w:rPr/>
            </w:pPr>
            <w:r>
              <w:rPr/>
              <w:t>(11</w:t>
            </w:r>
          </w:p>
        </w:tc>
        <w:tc>
          <w:tcPr>
            <w:tcW w:w="110" w:type="dxa"/>
            <w:tcBorders/>
            <w:shd w:fill="CCEEFF" w:val="clear"/>
            <w:vAlign w:val="bottom"/>
          </w:tcPr>
          <w:p>
            <w:pPr>
              <w:pStyle w:val="TableContents"/>
              <w:spacing w:before="0" w:after="0"/>
              <w:rPr/>
            </w:pPr>
            <w:r>
              <w:rPr/>
              <w:t>)</w:t>
            </w:r>
          </w:p>
        </w:tc>
      </w:tr>
      <w:tr>
        <w:trPr/>
        <w:tc>
          <w:tcPr>
            <w:tcW w:w="5330" w:type="dxa"/>
            <w:tcBorders/>
            <w:shd w:fill="FFFFFF" w:val="clear"/>
            <w:vAlign w:val="bottom"/>
          </w:tcPr>
          <w:p>
            <w:pPr>
              <w:pStyle w:val="TableContents"/>
              <w:spacing w:before="0" w:after="0"/>
              <w:ind w:left="900" w:right="0" w:hanging="180"/>
              <w:rPr/>
            </w:pPr>
            <w:r>
              <w:rPr/>
              <w:t>Net current period other comprehensive income (loss)</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(3,967</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14" w:type="dxa"/>
            <w:tcBorders>
              <w:bottom w:val="single" w:sz="12" w:space="0" w:color="000000"/>
            </w:tcBorders>
            <w:shd w:fill="FFFFFF" w:val="clear"/>
            <w:tcMar>
              <w:bottom w:w="28" w:type="dxa"/>
            </w:tcMar>
            <w:vAlign w:val="bottom"/>
          </w:tcPr>
          <w:p>
            <w:pPr>
              <w:pStyle w:val="TableContents"/>
              <w:spacing w:before="0" w:after="0"/>
              <w:jc w:val="right"/>
              <w:rPr/>
            </w:pPr>
            <w:r>
              <w:rPr/>
              <w:t>752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5" w:type="dxa"/>
            <w:tcBorders>
              <w:bottom w:val="single" w:sz="12" w:space="0" w:color="000000"/>
            </w:tcBorders>
            <w:shd w:fill="FFFFFF" w:val="clear"/>
            <w:tcMar>
              <w:bottom w:w="28" w:type="dxa"/>
            </w:tcMar>
            <w:vAlign w:val="bottom"/>
          </w:tcPr>
          <w:p>
            <w:pPr>
              <w:pStyle w:val="TableContents"/>
              <w:spacing w:before="0" w:after="0"/>
              <w:jc w:val="right"/>
              <w:rPr/>
            </w:pPr>
            <w:r>
              <w:rPr/>
              <w:t>(3,215</w:t>
            </w:r>
          </w:p>
        </w:tc>
        <w:tc>
          <w:tcPr>
            <w:tcW w:w="110" w:type="dxa"/>
            <w:tcBorders/>
            <w:shd w:fill="FFFFFF" w:val="clear"/>
            <w:vAlign w:val="bottom"/>
          </w:tcPr>
          <w:p>
            <w:pPr>
              <w:pStyle w:val="TableContents"/>
              <w:spacing w:before="0" w:after="0"/>
              <w:rPr/>
            </w:pPr>
            <w:r>
              <w:rPr/>
              <w:t>)</w:t>
            </w:r>
          </w:p>
        </w:tc>
      </w:tr>
      <w:tr>
        <w:trPr/>
        <w:tc>
          <w:tcPr>
            <w:tcW w:w="5330" w:type="dxa"/>
            <w:tcBorders/>
            <w:shd w:fill="CCEEFF" w:val="clear"/>
            <w:vAlign w:val="bottom"/>
          </w:tcPr>
          <w:p>
            <w:pPr>
              <w:pStyle w:val="TableContents"/>
              <w:spacing w:before="0" w:after="0"/>
              <w:ind w:left="540" w:right="0" w:hanging="180"/>
              <w:rPr/>
            </w:pPr>
            <w:r>
              <w:rPr/>
              <w:t>Balances at end of period</w:t>
            </w:r>
          </w:p>
        </w:tc>
        <w:tc>
          <w:tcPr>
            <w:tcW w:w="60" w:type="dxa"/>
            <w:tcBorders/>
            <w:shd w:fill="CCEEFF" w:val="clear"/>
            <w:vAlign w:val="bottom"/>
          </w:tcPr>
          <w:p>
            <w:pPr>
              <w:pStyle w:val="TableContents"/>
              <w:spacing w:before="0" w:after="283"/>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rPr/>
            </w:pPr>
            <w:r>
              <w:rPr/>
              <w:t>$</w:t>
            </w:r>
          </w:p>
        </w:tc>
        <w:tc>
          <w:tcPr>
            <w:tcW w:w="914" w:type="dxa"/>
            <w:tcBorders>
              <w:bottom w:val="double" w:sz="8" w:space="0" w:color="000000"/>
            </w:tcBorders>
            <w:shd w:fill="CCEEFF" w:val="clear"/>
            <w:tcMar>
              <w:bottom w:w="28" w:type="dxa"/>
            </w:tcMar>
            <w:vAlign w:val="bottom"/>
          </w:tcPr>
          <w:p>
            <w:pPr>
              <w:pStyle w:val="TableContents"/>
              <w:spacing w:before="0" w:after="0"/>
              <w:jc w:val="right"/>
              <w:rPr/>
            </w:pPr>
            <w:r>
              <w:rPr/>
              <w:t>(4,437</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rPr/>
            </w:pPr>
            <w:r>
              <w:rPr/>
              <w:t>$</w:t>
            </w:r>
          </w:p>
        </w:tc>
        <w:tc>
          <w:tcPr>
            <w:tcW w:w="914" w:type="dxa"/>
            <w:tcBorders>
              <w:bottom w:val="double" w:sz="8" w:space="0" w:color="000000"/>
            </w:tcBorders>
            <w:shd w:fill="CCEEFF" w:val="clear"/>
            <w:tcMar>
              <w:bottom w:w="28" w:type="dxa"/>
            </w:tcMar>
            <w:vAlign w:val="bottom"/>
          </w:tcPr>
          <w:p>
            <w:pPr>
              <w:pStyle w:val="TableContents"/>
              <w:spacing w:before="0" w:after="0"/>
              <w:jc w:val="right"/>
              <w:rPr/>
            </w:pPr>
            <w:r>
              <w:rPr/>
              <w:t>(5,798</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rPr/>
            </w:pPr>
            <w:r>
              <w:rPr/>
              <w:t>$</w:t>
            </w:r>
          </w:p>
        </w:tc>
        <w:tc>
          <w:tcPr>
            <w:tcW w:w="914" w:type="dxa"/>
            <w:tcBorders>
              <w:bottom w:val="double" w:sz="8" w:space="0" w:color="000000"/>
            </w:tcBorders>
            <w:shd w:fill="CCEEFF" w:val="clear"/>
            <w:tcMar>
              <w:bottom w:w="28" w:type="dxa"/>
            </w:tcMar>
            <w:vAlign w:val="bottom"/>
          </w:tcPr>
          <w:p>
            <w:pPr>
              <w:pStyle w:val="TableContents"/>
              <w:spacing w:before="0" w:after="0"/>
              <w:jc w:val="right"/>
              <w:rPr/>
            </w:pPr>
            <w:r>
              <w:rPr/>
              <w:t>1,021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755" w:type="dxa"/>
            <w:tcBorders>
              <w:bottom w:val="double" w:sz="8" w:space="0" w:color="000000"/>
            </w:tcBorders>
            <w:shd w:fill="CCEEFF" w:val="clear"/>
            <w:tcMar>
              <w:bottom w:w="28" w:type="dxa"/>
            </w:tcMar>
            <w:vAlign w:val="bottom"/>
          </w:tcPr>
          <w:p>
            <w:pPr>
              <w:pStyle w:val="TableContents"/>
              <w:spacing w:before="0" w:after="0"/>
              <w:jc w:val="right"/>
              <w:rPr/>
            </w:pPr>
            <w:r>
              <w:rPr/>
              <w:t>(9,214</w:t>
            </w:r>
          </w:p>
        </w:tc>
        <w:tc>
          <w:tcPr>
            <w:tcW w:w="110" w:type="dxa"/>
            <w:tcBorders/>
            <w:shd w:fill="CCEEFF" w:val="clear"/>
            <w:vAlign w:val="bottom"/>
          </w:tcPr>
          <w:p>
            <w:pPr>
              <w:pStyle w:val="TableContents"/>
              <w:spacing w:before="0" w:after="0"/>
              <w:rPr/>
            </w:pPr>
            <w:r>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67" w:name="DSPFPageBreakArea54"/>
      <w:bookmarkStart w:id="568" w:name="DSPFPageBreakArea54"/>
      <w:bookmarkEnd w:id="5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69" w:name="DSPFPageNumber54"/>
      <w:bookmarkStart w:id="570" w:name="DSPFPageNumberArea53"/>
      <w:bookmarkEnd w:id="569"/>
      <w:bookmarkEnd w:id="570"/>
      <w:r>
        <w:rPr>
          <w:b w:val="false"/>
          <w:i w:val="false"/>
          <w:caps w:val="false"/>
          <w:smallCaps w:val="false"/>
          <w:sz w:val="13"/>
        </w:rPr>
        <w:t>55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71" w:name="DSPFPageBreak54"/>
      <w:bookmarkStart w:id="572" w:name="DSPFPageBreak54"/>
      <w:bookmarkEnd w:id="5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73" w:name="DSPFPageHeader53"/>
        <w:bookmarkEnd w:id="573"/>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available for sale.</w:t>
      </w:r>
    </w:p>
    <w:p>
      <w:pPr>
        <w:pStyle w:val="TextBody"/>
        <w:spacing w:before="0" w:after="0"/>
        <w:rPr/>
      </w:pPr>
      <w:r>
        <w:rPr/>
      </w:r>
    </w:p>
    <w:p>
      <w:pPr>
        <w:pStyle w:val="TextBody"/>
        <w:spacing w:before="0" w:after="0"/>
        <w:jc w:val="both"/>
        <w:rPr/>
      </w:pPr>
      <w:r>
        <w:rPr/>
        <w:t>A summary of reclassifications out of each component of AOCL for the three months ended June 30 follows:</w:t>
      </w:r>
    </w:p>
    <w:p>
      <w:pPr>
        <w:pStyle w:val="TextBody"/>
        <w:spacing w:before="0" w:after="0"/>
        <w:rPr/>
      </w:pPr>
      <w:r>
        <w:rPr/>
      </w:r>
    </w:p>
    <w:p>
      <w:pPr>
        <w:pStyle w:val="Normal"/>
        <w:spacing w:before="0" w:after="0"/>
        <w:rPr>
          <w:sz w:val="4"/>
          <w:szCs w:val="4"/>
        </w:rPr>
      </w:pPr>
      <w:r>
        <w:rPr>
          <w:sz w:val="4"/>
          <w:szCs w:val="4"/>
        </w:rPr>
      </w:r>
      <w:bookmarkStart w:id="574" w:name="zdd8acc1b221847b6a312d95b56bafc21"/>
      <w:bookmarkStart w:id="575" w:name="zdd8acc1b221847b6a312d95b56bafc21"/>
      <w:bookmarkEnd w:id="575"/>
    </w:p>
    <w:tbl>
      <w:tblPr>
        <w:tblW w:w="10205" w:type="dxa"/>
        <w:jc w:val="left"/>
        <w:tblInd w:w="0" w:type="dxa"/>
        <w:tblCellMar>
          <w:top w:w="0" w:type="dxa"/>
          <w:left w:w="0" w:type="dxa"/>
          <w:bottom w:w="28" w:type="dxa"/>
          <w:right w:w="0" w:type="dxa"/>
        </w:tblCellMar>
      </w:tblPr>
      <w:tblGrid>
        <w:gridCol w:w="4658"/>
        <w:gridCol w:w="60"/>
        <w:gridCol w:w="321"/>
        <w:gridCol w:w="1049"/>
        <w:gridCol w:w="95"/>
        <w:gridCol w:w="4022"/>
      </w:tblGrid>
      <w:tr>
        <w:trPr/>
        <w:tc>
          <w:tcPr>
            <w:tcW w:w="4658" w:type="dxa"/>
            <w:tcBorders>
              <w:bottom w:val="single" w:sz="12" w:space="0" w:color="000000"/>
            </w:tcBorders>
            <w:shd w:fill="auto" w:val="clear"/>
            <w:vAlign w:val="bottom"/>
          </w:tcPr>
          <w:p>
            <w:pPr>
              <w:pStyle w:val="TableContents"/>
              <w:spacing w:before="0" w:after="0"/>
              <w:ind w:left="144" w:right="0" w:hanging="144"/>
              <w:jc w:val="center"/>
              <w:rPr/>
            </w:pPr>
            <w:r>
              <w:rPr/>
              <w:t>AOCL Component</w:t>
            </w:r>
          </w:p>
        </w:tc>
        <w:tc>
          <w:tcPr>
            <w:tcW w:w="60" w:type="dxa"/>
            <w:tcBorders/>
            <w:shd w:fill="auto" w:val="clear"/>
            <w:tcMar>
              <w:bottom w:w="0" w:type="dxa"/>
            </w:tcMar>
            <w:vAlign w:val="bottom"/>
          </w:tcPr>
          <w:p>
            <w:pPr>
              <w:pStyle w:val="TableContents"/>
              <w:spacing w:before="0" w:after="283"/>
              <w:rPr/>
            </w:pPr>
            <w:r>
              <w:rPr/>
              <w:t> </w:t>
            </w:r>
          </w:p>
        </w:tc>
        <w:tc>
          <w:tcPr>
            <w:tcW w:w="1370" w:type="dxa"/>
            <w:gridSpan w:val="2"/>
            <w:tcBorders>
              <w:bottom w:val="single" w:sz="12" w:space="0" w:color="000000"/>
            </w:tcBorders>
            <w:shd w:fill="auto" w:val="clear"/>
            <w:vAlign w:val="bottom"/>
          </w:tcPr>
          <w:p>
            <w:pPr>
              <w:pStyle w:val="TableContents"/>
              <w:spacing w:before="0" w:after="0"/>
              <w:jc w:val="center"/>
              <w:rPr/>
            </w:pPr>
            <w:r>
              <w:rPr/>
              <w:t>Amount</w:t>
            </w:r>
          </w:p>
          <w:p>
            <w:pPr>
              <w:pStyle w:val="TableContents"/>
              <w:spacing w:before="0" w:after="0"/>
              <w:jc w:val="center"/>
              <w:rPr/>
            </w:pPr>
            <w:r>
              <w:rPr/>
              <w:t>Reclassified</w:t>
            </w:r>
          </w:p>
          <w:p>
            <w:pPr>
              <w:pStyle w:val="TableContents"/>
              <w:spacing w:before="0" w:after="0"/>
              <w:jc w:val="center"/>
              <w:rPr/>
            </w:pPr>
            <w:r>
              <w:rPr/>
              <w:t>From</w:t>
            </w:r>
          </w:p>
          <w:p>
            <w:pPr>
              <w:pStyle w:val="TableContents"/>
              <w:spacing w:before="0" w:after="0"/>
              <w:jc w:val="center"/>
              <w:rPr/>
            </w:pPr>
            <w:r>
              <w:rPr/>
              <w:t>AOCL</w:t>
            </w:r>
          </w:p>
        </w:tc>
        <w:tc>
          <w:tcPr>
            <w:tcW w:w="95" w:type="dxa"/>
            <w:tcBorders/>
            <w:shd w:fill="auto" w:val="clear"/>
            <w:tcMar>
              <w:bottom w:w="0" w:type="dxa"/>
            </w:tcMar>
            <w:vAlign w:val="bottom"/>
          </w:tcPr>
          <w:p>
            <w:pPr>
              <w:pStyle w:val="TableContents"/>
              <w:spacing w:before="0" w:after="283"/>
              <w:rPr/>
            </w:pPr>
            <w:r>
              <w:rPr/>
              <w:t> </w:t>
            </w:r>
          </w:p>
        </w:tc>
        <w:tc>
          <w:tcPr>
            <w:tcW w:w="4022" w:type="dxa"/>
            <w:tcBorders>
              <w:bottom w:val="single" w:sz="12" w:space="0" w:color="000000"/>
            </w:tcBorders>
            <w:shd w:fill="auto" w:val="clear"/>
            <w:vAlign w:val="bottom"/>
          </w:tcPr>
          <w:p>
            <w:pPr>
              <w:pStyle w:val="TableContents"/>
              <w:spacing w:before="0" w:after="0"/>
              <w:jc w:val="center"/>
              <w:rPr/>
            </w:pPr>
            <w:r>
              <w:rPr/>
              <w:t> </w:t>
            </w:r>
            <w:r>
              <w:rPr/>
              <w:t>Affected Line Item in Condensed</w:t>
            </w:r>
          </w:p>
          <w:p>
            <w:pPr>
              <w:pStyle w:val="TableContents"/>
              <w:spacing w:before="0" w:after="0"/>
              <w:jc w:val="center"/>
              <w:rPr/>
            </w:pPr>
            <w:r>
              <w:rPr/>
              <w:t> </w:t>
            </w:r>
            <w:r>
              <w:rPr/>
              <w:t>Consolidated Statements of Operations</w:t>
            </w:r>
          </w:p>
        </w:tc>
      </w:tr>
      <w:tr>
        <w:trPr/>
        <w:tc>
          <w:tcPr>
            <w:tcW w:w="4658"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370" w:type="dxa"/>
            <w:gridSpan w:val="2"/>
            <w:tcBorders/>
            <w:shd w:fill="auto" w:val="clear"/>
            <w:tcMar>
              <w:bottom w:w="0" w:type="dxa"/>
            </w:tcMar>
            <w:vAlign w:val="bottom"/>
          </w:tcPr>
          <w:p>
            <w:pPr>
              <w:pStyle w:val="TableContents"/>
              <w:spacing w:before="0" w:after="0"/>
              <w:jc w:val="center"/>
              <w:rPr/>
            </w:pPr>
            <w:r>
              <w:rPr/>
              <w:t>(In thousands)</w:t>
            </w:r>
          </w:p>
        </w:tc>
        <w:tc>
          <w:tcPr>
            <w:tcW w:w="95" w:type="dxa"/>
            <w:tcBorders/>
            <w:shd w:fill="auto" w:val="clear"/>
            <w:tcMar>
              <w:bottom w:w="0" w:type="dxa"/>
            </w:tcMar>
            <w:vAlign w:val="bottom"/>
          </w:tcPr>
          <w:p>
            <w:pPr>
              <w:pStyle w:val="TableContents"/>
              <w:spacing w:before="0" w:after="283"/>
              <w:rPr/>
            </w:pPr>
            <w:r>
              <w:rPr/>
              <w:t> </w:t>
            </w:r>
          </w:p>
        </w:tc>
        <w:tc>
          <w:tcPr>
            <w:tcW w:w="4022" w:type="dxa"/>
            <w:tcBorders/>
            <w:shd w:fill="auto" w:val="clear"/>
            <w:tcMar>
              <w:bottom w:w="0" w:type="dxa"/>
            </w:tcMar>
            <w:vAlign w:val="bottom"/>
          </w:tcPr>
          <w:p>
            <w:pPr>
              <w:pStyle w:val="TableContents"/>
              <w:spacing w:before="0" w:after="283"/>
              <w:rPr/>
            </w:pPr>
            <w:r>
              <w:rPr/>
              <w:t> </w:t>
            </w:r>
          </w:p>
        </w:tc>
      </w:tr>
      <w:tr>
        <w:trPr/>
        <w:tc>
          <w:tcPr>
            <w:tcW w:w="4658" w:type="dxa"/>
            <w:tcBorders/>
            <w:shd w:fill="auto" w:val="clear"/>
            <w:tcMar>
              <w:bottom w:w="0" w:type="dxa"/>
            </w:tcMar>
            <w:vAlign w:val="bottom"/>
          </w:tcPr>
          <w:p>
            <w:pPr>
              <w:pStyle w:val="TableContents"/>
              <w:spacing w:before="0" w:after="0"/>
              <w:ind w:left="144" w:right="0" w:hanging="144"/>
              <w:rPr/>
            </w:pPr>
            <w:r>
              <w:rPr/>
              <w:t>2019</w:t>
            </w:r>
          </w:p>
        </w:tc>
        <w:tc>
          <w:tcPr>
            <w:tcW w:w="60" w:type="dxa"/>
            <w:tcBorders/>
            <w:shd w:fill="auto" w:val="clear"/>
            <w:tcMar>
              <w:bottom w:w="0" w:type="dxa"/>
            </w:tcMar>
            <w:vAlign w:val="bottom"/>
          </w:tcPr>
          <w:p>
            <w:pPr>
              <w:pStyle w:val="TableContents"/>
              <w:spacing w:before="0" w:after="283"/>
              <w:rPr/>
            </w:pPr>
            <w:r>
              <w:rPr/>
              <w:t> </w:t>
            </w:r>
          </w:p>
        </w:tc>
        <w:tc>
          <w:tcPr>
            <w:tcW w:w="1370" w:type="dxa"/>
            <w:gridSpan w:val="2"/>
            <w:tcBorders/>
            <w:shd w:fill="auto" w:val="clear"/>
            <w:tcMar>
              <w:bottom w:w="0" w:type="dxa"/>
            </w:tcMar>
            <w:vAlign w:val="bottom"/>
          </w:tcPr>
          <w:p>
            <w:pPr>
              <w:pStyle w:val="TableContents"/>
              <w:spacing w:before="0" w:after="283"/>
              <w:rPr/>
            </w:pPr>
            <w:r>
              <w:rPr/>
              <w:t> </w:t>
            </w:r>
          </w:p>
        </w:tc>
        <w:tc>
          <w:tcPr>
            <w:tcW w:w="95" w:type="dxa"/>
            <w:tcBorders/>
            <w:shd w:fill="auto" w:val="clear"/>
            <w:tcMar>
              <w:bottom w:w="0" w:type="dxa"/>
            </w:tcMar>
            <w:vAlign w:val="bottom"/>
          </w:tcPr>
          <w:p>
            <w:pPr>
              <w:pStyle w:val="TableContents"/>
              <w:spacing w:before="0" w:after="283"/>
              <w:rPr/>
            </w:pPr>
            <w:r>
              <w:rPr/>
              <w:t> </w:t>
            </w:r>
          </w:p>
        </w:tc>
        <w:tc>
          <w:tcPr>
            <w:tcW w:w="4022" w:type="dxa"/>
            <w:tcBorders/>
            <w:shd w:fill="auto" w:val="clear"/>
            <w:tcMar>
              <w:bottom w:w="0" w:type="dxa"/>
            </w:tcMar>
            <w:vAlign w:val="bottom"/>
          </w:tcPr>
          <w:p>
            <w:pPr>
              <w:pStyle w:val="TableContents"/>
              <w:spacing w:before="0" w:after="283"/>
              <w:rPr/>
            </w:pPr>
            <w:r>
              <w:rPr/>
              <w:t>  </w:t>
            </w:r>
          </w:p>
        </w:tc>
      </w:tr>
      <w:tr>
        <w:trPr/>
        <w:tc>
          <w:tcPr>
            <w:tcW w:w="4658" w:type="dxa"/>
            <w:tcBorders/>
            <w:shd w:fill="auto" w:val="clear"/>
            <w:tcMar>
              <w:bottom w:w="0" w:type="dxa"/>
            </w:tcMar>
            <w:vAlign w:val="bottom"/>
          </w:tcPr>
          <w:p>
            <w:pPr>
              <w:pStyle w:val="TableContents"/>
              <w:spacing w:before="0" w:after="0"/>
              <w:ind w:left="324" w:right="0" w:hanging="144"/>
              <w:rPr/>
            </w:pPr>
            <w:r>
              <w:rPr/>
              <w:t>Unrealized gains (losses) on securities available for sale</w:t>
            </w:r>
          </w:p>
        </w:tc>
        <w:tc>
          <w:tcPr>
            <w:tcW w:w="60" w:type="dxa"/>
            <w:tcBorders/>
            <w:shd w:fill="auto" w:val="clear"/>
            <w:tcMar>
              <w:bottom w:w="0" w:type="dxa"/>
            </w:tcMar>
            <w:vAlign w:val="bottom"/>
          </w:tcPr>
          <w:p>
            <w:pPr>
              <w:pStyle w:val="TableContents"/>
              <w:spacing w:before="0" w:after="283"/>
              <w:rPr/>
            </w:pPr>
            <w:r>
              <w:rPr/>
              <w:t> </w:t>
            </w:r>
          </w:p>
        </w:tc>
        <w:tc>
          <w:tcPr>
            <w:tcW w:w="1370" w:type="dxa"/>
            <w:gridSpan w:val="2"/>
            <w:tcBorders/>
            <w:shd w:fill="auto" w:val="clear"/>
            <w:tcMar>
              <w:bottom w:w="0" w:type="dxa"/>
            </w:tcMar>
            <w:vAlign w:val="bottom"/>
          </w:tcPr>
          <w:p>
            <w:pPr>
              <w:pStyle w:val="TableContents"/>
              <w:spacing w:before="0" w:after="283"/>
              <w:rPr/>
            </w:pPr>
            <w:r>
              <w:rPr/>
              <w:t> </w:t>
            </w:r>
          </w:p>
        </w:tc>
        <w:tc>
          <w:tcPr>
            <w:tcW w:w="95" w:type="dxa"/>
            <w:tcBorders/>
            <w:shd w:fill="auto" w:val="clear"/>
            <w:tcMar>
              <w:bottom w:w="0" w:type="dxa"/>
            </w:tcMar>
            <w:vAlign w:val="bottom"/>
          </w:tcPr>
          <w:p>
            <w:pPr>
              <w:pStyle w:val="TableContents"/>
              <w:spacing w:before="0" w:after="283"/>
              <w:rPr/>
            </w:pPr>
            <w:r>
              <w:rPr/>
              <w:t> </w:t>
            </w:r>
          </w:p>
        </w:tc>
        <w:tc>
          <w:tcPr>
            <w:tcW w:w="4022" w:type="dxa"/>
            <w:tcBorders/>
            <w:shd w:fill="auto" w:val="clear"/>
            <w:tcMar>
              <w:bottom w:w="0" w:type="dxa"/>
            </w:tcMar>
            <w:vAlign w:val="bottom"/>
          </w:tcPr>
          <w:p>
            <w:pPr>
              <w:pStyle w:val="TableContents"/>
              <w:spacing w:before="0" w:after="283"/>
              <w:rPr/>
            </w:pPr>
            <w:r>
              <w:rPr/>
              <w:t>  </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0"/>
              <w:rPr/>
            </w:pPr>
            <w:r>
              <w:rPr/>
              <w:t>$</w:t>
            </w:r>
          </w:p>
        </w:tc>
        <w:tc>
          <w:tcPr>
            <w:tcW w:w="1049" w:type="dxa"/>
            <w:tcBorders/>
            <w:shd w:fill="CCEEFF" w:val="clear"/>
            <w:tcMar>
              <w:bottom w:w="0" w:type="dxa"/>
            </w:tcM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0"/>
              <w:rPr/>
            </w:pPr>
            <w:r>
              <w:rPr/>
              <w:t>Net gains (losses) on securities</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single" w:sz="12" w:space="0" w:color="000000"/>
            </w:tcBorders>
            <w:shd w:fill="FFFFFF" w:val="clear"/>
            <w:vAlign w:val="bottom"/>
          </w:tcPr>
          <w:p>
            <w:pPr>
              <w:pStyle w:val="TableContents"/>
              <w:spacing w:before="0" w:after="283"/>
              <w:rPr/>
            </w:pPr>
            <w:r>
              <w:rPr/>
              <w:t> </w:t>
            </w:r>
          </w:p>
        </w:tc>
        <w:tc>
          <w:tcPr>
            <w:tcW w:w="1049" w:type="dxa"/>
            <w:tcBorders>
              <w:bottom w:val="single" w:sz="12" w:space="0" w:color="000000"/>
            </w:tcBorders>
            <w:shd w:fill="FFFFFF" w:val="clear"/>
            <w:vAlign w:val="bottom"/>
          </w:tcPr>
          <w:p>
            <w:pPr>
              <w:pStyle w:val="TableContents"/>
              <w:spacing w:before="0" w:after="0"/>
              <w:jc w:val="right"/>
              <w:rPr/>
            </w:pPr>
            <w:r>
              <w:rPr/>
              <w:t>-</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0"/>
              <w:rPr/>
            </w:pPr>
            <w:r>
              <w:rPr/>
              <w:t>Net impairment loss recognized in earnings</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0"/>
              <w:rPr/>
            </w:pPr>
            <w:r>
              <w:rPr/>
              <w:t>Total reclassifications before tax</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single" w:sz="12" w:space="0" w:color="000000"/>
            </w:tcBorders>
            <w:shd w:fill="FFFFFF" w:val="clear"/>
            <w:vAlign w:val="bottom"/>
          </w:tcPr>
          <w:p>
            <w:pPr>
              <w:pStyle w:val="TableContents"/>
              <w:spacing w:before="0" w:after="283"/>
              <w:rPr/>
            </w:pPr>
            <w:r>
              <w:rPr/>
              <w:t> </w:t>
            </w:r>
          </w:p>
        </w:tc>
        <w:tc>
          <w:tcPr>
            <w:tcW w:w="1049" w:type="dxa"/>
            <w:tcBorders>
              <w:bottom w:val="single" w:sz="12" w:space="0" w:color="000000"/>
            </w:tcBorders>
            <w:shd w:fill="FFFFFF" w:val="clear"/>
            <w:vAlign w:val="bottom"/>
          </w:tcPr>
          <w:p>
            <w:pPr>
              <w:pStyle w:val="TableContents"/>
              <w:spacing w:before="0" w:after="0"/>
              <w:jc w:val="right"/>
              <w:rPr/>
            </w:pPr>
            <w:r>
              <w:rPr/>
              <w:t>-</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0"/>
              <w:rPr/>
            </w:pPr>
            <w:r>
              <w:rPr/>
              <w:t>Income tax expense</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double" w:sz="8" w:space="0" w:color="000000"/>
            </w:tcBorders>
            <w:shd w:fill="CCEEFF" w:val="clear"/>
            <w:vAlign w:val="bottom"/>
          </w:tcPr>
          <w:p>
            <w:pPr>
              <w:pStyle w:val="TableContents"/>
              <w:spacing w:before="0" w:after="0"/>
              <w:rPr/>
            </w:pPr>
            <w:r>
              <w:rPr/>
              <w:t>$</w:t>
            </w:r>
          </w:p>
        </w:tc>
        <w:tc>
          <w:tcPr>
            <w:tcW w:w="1049" w:type="dxa"/>
            <w:tcBorders>
              <w:bottom w:val="double" w:sz="8" w:space="0" w:color="000000"/>
            </w:tcBorders>
            <w:shd w:fill="CCEEFF" w:val="cle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0"/>
              <w:rPr/>
            </w:pPr>
            <w:r>
              <w:rPr/>
              <w:t>Reclassifications, net of tax</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283"/>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283"/>
              <w:rPr/>
            </w:pPr>
            <w:r>
              <w:rPr/>
              <w:t>   </w:t>
            </w:r>
          </w:p>
        </w:tc>
      </w:tr>
      <w:tr>
        <w:trPr/>
        <w:tc>
          <w:tcPr>
            <w:tcW w:w="4658" w:type="dxa"/>
            <w:tcBorders/>
            <w:shd w:fill="CCEEFF" w:val="clear"/>
            <w:tcMar>
              <w:bottom w:w="0" w:type="dxa"/>
            </w:tcMar>
            <w:vAlign w:val="bottom"/>
          </w:tcPr>
          <w:p>
            <w:pPr>
              <w:pStyle w:val="TableContents"/>
              <w:spacing w:before="0" w:after="0"/>
              <w:ind w:left="324" w:right="0" w:hanging="144"/>
              <w:rPr/>
            </w:pPr>
            <w:r>
              <w:rPr/>
              <w:t>Unrealized gains (losses) on cash flow hedges</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283"/>
              <w:rPr/>
            </w:pPr>
            <w:r>
              <w:rPr/>
              <w:t>  </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0"/>
              <w:rPr/>
            </w:pPr>
            <w:r>
              <w:rPr/>
              <w:t>$</w:t>
            </w:r>
          </w:p>
        </w:tc>
        <w:tc>
          <w:tcPr>
            <w:tcW w:w="1049" w:type="dxa"/>
            <w:tcBorders/>
            <w:shd w:fill="FFFFFF" w:val="clear"/>
            <w:tcMar>
              <w:bottom w:w="0" w:type="dxa"/>
            </w:tcMar>
            <w:vAlign w:val="bottom"/>
          </w:tcPr>
          <w:p>
            <w:pPr>
              <w:pStyle w:val="TableContents"/>
              <w:spacing w:before="0" w:after="0"/>
              <w:jc w:val="right"/>
              <w:rPr/>
            </w:pPr>
            <w:r>
              <w:rPr/>
              <w:t>(142</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Interest expense</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single" w:sz="12" w:space="0" w:color="000000"/>
            </w:tcBorders>
            <w:shd w:fill="CCEEFF" w:val="clear"/>
            <w:vAlign w:val="bottom"/>
          </w:tcPr>
          <w:p>
            <w:pPr>
              <w:pStyle w:val="TableContents"/>
              <w:spacing w:before="0" w:after="283"/>
              <w:rPr/>
            </w:pPr>
            <w:r>
              <w:rPr/>
              <w:t> </w:t>
            </w:r>
          </w:p>
        </w:tc>
        <w:tc>
          <w:tcPr>
            <w:tcW w:w="1049" w:type="dxa"/>
            <w:tcBorders>
              <w:bottom w:val="single" w:sz="12" w:space="0" w:color="000000"/>
            </w:tcBorders>
            <w:shd w:fill="CCEEFF" w:val="clear"/>
            <w:vAlign w:val="bottom"/>
          </w:tcPr>
          <w:p>
            <w:pPr>
              <w:pStyle w:val="TableContents"/>
              <w:spacing w:before="0" w:after="0"/>
              <w:jc w:val="right"/>
              <w:rPr/>
            </w:pPr>
            <w:r>
              <w:rPr/>
              <w:t>(30</w:t>
            </w:r>
          </w:p>
        </w:tc>
        <w:tc>
          <w:tcPr>
            <w:tcW w:w="95" w:type="dxa"/>
            <w:tcBorders/>
            <w:shd w:fill="CCEEFF" w:val="clear"/>
            <w:tcMar>
              <w:bottom w:w="0" w:type="dxa"/>
            </w:tcMar>
            <w:vAlign w:val="bottom"/>
          </w:tcPr>
          <w:p>
            <w:pPr>
              <w:pStyle w:val="TableContents"/>
              <w:spacing w:before="0" w:after="0"/>
              <w:rPr/>
            </w:pPr>
            <w:r>
              <w:rPr/>
              <w:t>)</w:t>
            </w:r>
          </w:p>
        </w:tc>
        <w:tc>
          <w:tcPr>
            <w:tcW w:w="4022" w:type="dxa"/>
            <w:tcBorders/>
            <w:shd w:fill="CCEEFF" w:val="clear"/>
            <w:tcMar>
              <w:bottom w:w="0" w:type="dxa"/>
            </w:tcMar>
            <w:vAlign w:val="bottom"/>
          </w:tcPr>
          <w:p>
            <w:pPr>
              <w:pStyle w:val="TableContents"/>
              <w:spacing w:before="0" w:after="0"/>
              <w:rPr/>
            </w:pPr>
            <w:r>
              <w:rPr/>
              <w:t>Income tax expense</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double" w:sz="8" w:space="0" w:color="000000"/>
            </w:tcBorders>
            <w:shd w:fill="FFFFFF" w:val="clear"/>
            <w:vAlign w:val="bottom"/>
          </w:tcPr>
          <w:p>
            <w:pPr>
              <w:pStyle w:val="TableContents"/>
              <w:spacing w:before="0" w:after="0"/>
              <w:rPr/>
            </w:pPr>
            <w:r>
              <w:rPr/>
              <w:t>$</w:t>
            </w:r>
          </w:p>
        </w:tc>
        <w:tc>
          <w:tcPr>
            <w:tcW w:w="1049" w:type="dxa"/>
            <w:tcBorders>
              <w:bottom w:val="double" w:sz="8" w:space="0" w:color="000000"/>
            </w:tcBorders>
            <w:shd w:fill="FFFFFF" w:val="clear"/>
            <w:vAlign w:val="bottom"/>
          </w:tcPr>
          <w:p>
            <w:pPr>
              <w:pStyle w:val="TableContents"/>
              <w:spacing w:before="0" w:after="0"/>
              <w:jc w:val="right"/>
              <w:rPr/>
            </w:pPr>
            <w:r>
              <w:rPr/>
              <w:t>(112</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Reclassification, net of tax</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283"/>
              <w:rPr/>
            </w:pPr>
            <w:r>
              <w:rPr/>
              <w:t>   </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double" w:sz="8" w:space="0" w:color="000000"/>
            </w:tcBorders>
            <w:shd w:fill="FFFFFF" w:val="clear"/>
            <w:vAlign w:val="bottom"/>
          </w:tcPr>
          <w:p>
            <w:pPr>
              <w:pStyle w:val="TableContents"/>
              <w:spacing w:before="0" w:after="0"/>
              <w:rPr/>
            </w:pPr>
            <w:r>
              <w:rPr/>
              <w:t>$</w:t>
            </w:r>
          </w:p>
        </w:tc>
        <w:tc>
          <w:tcPr>
            <w:tcW w:w="1049" w:type="dxa"/>
            <w:tcBorders>
              <w:bottom w:val="double" w:sz="8" w:space="0" w:color="000000"/>
            </w:tcBorders>
            <w:shd w:fill="FFFFFF" w:val="clear"/>
            <w:vAlign w:val="bottom"/>
          </w:tcPr>
          <w:p>
            <w:pPr>
              <w:pStyle w:val="TableContents"/>
              <w:spacing w:before="0" w:after="0"/>
              <w:jc w:val="right"/>
              <w:rPr/>
            </w:pPr>
            <w:r>
              <w:rPr/>
              <w:t>112</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0"/>
              <w:rPr/>
            </w:pPr>
            <w:r>
              <w:rPr/>
              <w:t>Total reclassifications for the period, net of tax</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283"/>
              <w:rPr/>
            </w:pPr>
            <w:r>
              <w:rPr/>
            </w:r>
          </w:p>
        </w:tc>
      </w:tr>
      <w:tr>
        <w:trPr/>
        <w:tc>
          <w:tcPr>
            <w:tcW w:w="4658" w:type="dxa"/>
            <w:tcBorders/>
            <w:shd w:fill="FFFFFF" w:val="clear"/>
            <w:tcMar>
              <w:bottom w:w="0" w:type="dxa"/>
            </w:tcMar>
            <w:vAlign w:val="bottom"/>
          </w:tcPr>
          <w:p>
            <w:pPr>
              <w:pStyle w:val="TableContents"/>
              <w:spacing w:before="0" w:after="0"/>
              <w:ind w:left="144" w:right="0" w:hanging="144"/>
              <w:rPr/>
            </w:pPr>
            <w:r>
              <w:rPr/>
              <w:t>2018</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283"/>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283"/>
              <w:rPr/>
            </w:pPr>
            <w:r>
              <w:rPr/>
            </w:r>
          </w:p>
        </w:tc>
      </w:tr>
      <w:tr>
        <w:trPr/>
        <w:tc>
          <w:tcPr>
            <w:tcW w:w="4658" w:type="dxa"/>
            <w:tcBorders/>
            <w:shd w:fill="CCEEFF" w:val="clear"/>
            <w:tcMar>
              <w:bottom w:w="0" w:type="dxa"/>
            </w:tcMar>
            <w:vAlign w:val="bottom"/>
          </w:tcPr>
          <w:p>
            <w:pPr>
              <w:pStyle w:val="TableContents"/>
              <w:spacing w:before="0" w:after="0"/>
              <w:ind w:left="324" w:right="0" w:hanging="144"/>
              <w:rPr/>
            </w:pPr>
            <w:r>
              <w:rPr/>
              <w:t>Unrealized gains (losses) on securities available for sale</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283"/>
              <w:rPr/>
            </w:pPr>
            <w:r>
              <w:rPr/>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0"/>
              <w:rPr/>
            </w:pPr>
            <w:r>
              <w:rPr/>
              <w:t>$</w:t>
            </w:r>
          </w:p>
        </w:tc>
        <w:tc>
          <w:tcPr>
            <w:tcW w:w="1049" w:type="dxa"/>
            <w:tcBorders/>
            <w:shd w:fill="FFFFFF" w:val="clear"/>
            <w:tcMar>
              <w:bottom w:w="0" w:type="dxa"/>
            </w:tcMar>
            <w:vAlign w:val="bottom"/>
          </w:tcPr>
          <w:p>
            <w:pPr>
              <w:pStyle w:val="TableContents"/>
              <w:spacing w:before="0" w:after="0"/>
              <w:jc w:val="right"/>
              <w:rPr/>
            </w:pPr>
            <w:r>
              <w:rPr/>
              <w:t>(26</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Net gains (losses) on securities</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single" w:sz="12" w:space="0" w:color="000000"/>
            </w:tcBorders>
            <w:shd w:fill="CCEEFF" w:val="clear"/>
            <w:vAlign w:val="bottom"/>
          </w:tcPr>
          <w:p>
            <w:pPr>
              <w:pStyle w:val="TableContents"/>
              <w:spacing w:before="0" w:after="283"/>
              <w:rPr/>
            </w:pPr>
            <w:r>
              <w:rPr/>
              <w:t> </w:t>
            </w:r>
          </w:p>
        </w:tc>
        <w:tc>
          <w:tcPr>
            <w:tcW w:w="1049" w:type="dxa"/>
            <w:tcBorders>
              <w:bottom w:val="single" w:sz="12" w:space="0" w:color="000000"/>
            </w:tcBorders>
            <w:shd w:fill="CCEEFF" w:val="cle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0"/>
              <w:rPr/>
            </w:pPr>
            <w:r>
              <w:rPr/>
              <w:t>Net impairment loss recognized in earnings</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283"/>
              <w:rPr/>
            </w:pPr>
            <w:r>
              <w:rPr/>
              <w:t> </w:t>
            </w:r>
          </w:p>
        </w:tc>
        <w:tc>
          <w:tcPr>
            <w:tcW w:w="1049" w:type="dxa"/>
            <w:tcBorders/>
            <w:shd w:fill="FFFFFF" w:val="clear"/>
            <w:tcMar>
              <w:bottom w:w="0" w:type="dxa"/>
            </w:tcMar>
            <w:vAlign w:val="bottom"/>
          </w:tcPr>
          <w:p>
            <w:pPr>
              <w:pStyle w:val="TableContents"/>
              <w:spacing w:before="0" w:after="0"/>
              <w:jc w:val="right"/>
              <w:rPr/>
            </w:pPr>
            <w:r>
              <w:rPr/>
              <w:t>(26</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Total reclassifications before tax</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single" w:sz="12" w:space="0" w:color="000000"/>
            </w:tcBorders>
            <w:shd w:fill="CCEEFF" w:val="clear"/>
            <w:vAlign w:val="bottom"/>
          </w:tcPr>
          <w:p>
            <w:pPr>
              <w:pStyle w:val="TableContents"/>
              <w:spacing w:before="0" w:after="283"/>
              <w:rPr/>
            </w:pPr>
            <w:r>
              <w:rPr/>
              <w:t> </w:t>
            </w:r>
          </w:p>
        </w:tc>
        <w:tc>
          <w:tcPr>
            <w:tcW w:w="1049" w:type="dxa"/>
            <w:tcBorders>
              <w:bottom w:val="single" w:sz="12" w:space="0" w:color="000000"/>
            </w:tcBorders>
            <w:shd w:fill="CCEEFF" w:val="clear"/>
            <w:vAlign w:val="bottom"/>
          </w:tcPr>
          <w:p>
            <w:pPr>
              <w:pStyle w:val="TableContents"/>
              <w:spacing w:before="0" w:after="0"/>
              <w:jc w:val="right"/>
              <w:rPr/>
            </w:pPr>
            <w:r>
              <w:rPr/>
              <w:t>(5</w:t>
            </w:r>
          </w:p>
        </w:tc>
        <w:tc>
          <w:tcPr>
            <w:tcW w:w="95" w:type="dxa"/>
            <w:tcBorders/>
            <w:shd w:fill="CCEEFF" w:val="clear"/>
            <w:tcMar>
              <w:bottom w:w="0" w:type="dxa"/>
            </w:tcMar>
            <w:vAlign w:val="bottom"/>
          </w:tcPr>
          <w:p>
            <w:pPr>
              <w:pStyle w:val="TableContents"/>
              <w:spacing w:before="0" w:after="0"/>
              <w:rPr/>
            </w:pPr>
            <w:r>
              <w:rPr/>
              <w:t>)</w:t>
            </w:r>
          </w:p>
        </w:tc>
        <w:tc>
          <w:tcPr>
            <w:tcW w:w="4022" w:type="dxa"/>
            <w:tcBorders/>
            <w:shd w:fill="CCEEFF" w:val="clear"/>
            <w:tcMar>
              <w:bottom w:w="0" w:type="dxa"/>
            </w:tcMar>
            <w:vAlign w:val="bottom"/>
          </w:tcPr>
          <w:p>
            <w:pPr>
              <w:pStyle w:val="TableContents"/>
              <w:spacing w:before="0" w:after="0"/>
              <w:rPr/>
            </w:pPr>
            <w:r>
              <w:rPr/>
              <w:t>Income tax expense</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double" w:sz="8" w:space="0" w:color="000000"/>
            </w:tcBorders>
            <w:shd w:fill="FFFFFF" w:val="clear"/>
            <w:vAlign w:val="bottom"/>
          </w:tcPr>
          <w:p>
            <w:pPr>
              <w:pStyle w:val="TableContents"/>
              <w:spacing w:before="0" w:after="0"/>
              <w:rPr/>
            </w:pPr>
            <w:r>
              <w:rPr/>
              <w:t>$</w:t>
            </w:r>
          </w:p>
        </w:tc>
        <w:tc>
          <w:tcPr>
            <w:tcW w:w="1049" w:type="dxa"/>
            <w:tcBorders>
              <w:bottom w:val="double" w:sz="8" w:space="0" w:color="000000"/>
            </w:tcBorders>
            <w:shd w:fill="FFFFFF" w:val="clear"/>
            <w:vAlign w:val="bottom"/>
          </w:tcPr>
          <w:p>
            <w:pPr>
              <w:pStyle w:val="TableContents"/>
              <w:spacing w:before="0" w:after="0"/>
              <w:jc w:val="right"/>
              <w:rPr/>
            </w:pPr>
            <w:r>
              <w:rPr/>
              <w:t>(21</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Reclassifications, net of tax</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283"/>
              <w:rPr/>
            </w:pPr>
            <w:r>
              <w:rPr/>
            </w:r>
          </w:p>
        </w:tc>
      </w:tr>
      <w:tr>
        <w:trPr/>
        <w:tc>
          <w:tcPr>
            <w:tcW w:w="4658" w:type="dxa"/>
            <w:tcBorders/>
            <w:shd w:fill="FFFFFF" w:val="clear"/>
            <w:tcMar>
              <w:bottom w:w="0" w:type="dxa"/>
            </w:tcMar>
            <w:vAlign w:val="bottom"/>
          </w:tcPr>
          <w:p>
            <w:pPr>
              <w:pStyle w:val="TableContents"/>
              <w:spacing w:before="0" w:after="0"/>
              <w:ind w:left="324" w:right="0" w:hanging="144"/>
              <w:rPr/>
            </w:pPr>
            <w:r>
              <w:rPr/>
              <w:t>Unrealized gains (losses) on cash flow hedges</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283"/>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283"/>
              <w:rPr/>
            </w:pPr>
            <w:r>
              <w:rPr/>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0"/>
              <w:rPr/>
            </w:pPr>
            <w:r>
              <w:rPr/>
              <w:t>$</w:t>
            </w:r>
          </w:p>
        </w:tc>
        <w:tc>
          <w:tcPr>
            <w:tcW w:w="1049" w:type="dxa"/>
            <w:tcBorders/>
            <w:shd w:fill="CCEEFF" w:val="clear"/>
            <w:tcMar>
              <w:bottom w:w="0" w:type="dxa"/>
            </w:tcMar>
            <w:vAlign w:val="bottom"/>
          </w:tcPr>
          <w:p>
            <w:pPr>
              <w:pStyle w:val="TableContents"/>
              <w:spacing w:before="0" w:after="0"/>
              <w:jc w:val="right"/>
              <w:rPr/>
            </w:pPr>
            <w:r>
              <w:rPr/>
              <w:t>(53</w:t>
            </w:r>
          </w:p>
        </w:tc>
        <w:tc>
          <w:tcPr>
            <w:tcW w:w="95" w:type="dxa"/>
            <w:tcBorders/>
            <w:shd w:fill="CCEEFF" w:val="clear"/>
            <w:tcMar>
              <w:bottom w:w="0" w:type="dxa"/>
            </w:tcMar>
            <w:vAlign w:val="bottom"/>
          </w:tcPr>
          <w:p>
            <w:pPr>
              <w:pStyle w:val="TableContents"/>
              <w:spacing w:before="0" w:after="0"/>
              <w:rPr/>
            </w:pPr>
            <w:r>
              <w:rPr/>
              <w:t>)</w:t>
            </w:r>
          </w:p>
        </w:tc>
        <w:tc>
          <w:tcPr>
            <w:tcW w:w="4022" w:type="dxa"/>
            <w:tcBorders/>
            <w:shd w:fill="CCEEFF" w:val="clear"/>
            <w:tcMar>
              <w:bottom w:w="0" w:type="dxa"/>
            </w:tcMar>
            <w:vAlign w:val="bottom"/>
          </w:tcPr>
          <w:p>
            <w:pPr>
              <w:pStyle w:val="TableContents"/>
              <w:spacing w:before="0" w:after="0"/>
              <w:rPr/>
            </w:pPr>
            <w:r>
              <w:rPr/>
              <w:t>Interest expense</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single" w:sz="12" w:space="0" w:color="000000"/>
            </w:tcBorders>
            <w:shd w:fill="FFFFFF" w:val="clear"/>
            <w:vAlign w:val="bottom"/>
          </w:tcPr>
          <w:p>
            <w:pPr>
              <w:pStyle w:val="TableContents"/>
              <w:spacing w:before="0" w:after="283"/>
              <w:rPr/>
            </w:pPr>
            <w:r>
              <w:rPr/>
              <w:t> </w:t>
            </w:r>
          </w:p>
        </w:tc>
        <w:tc>
          <w:tcPr>
            <w:tcW w:w="1049" w:type="dxa"/>
            <w:tcBorders>
              <w:bottom w:val="single" w:sz="12" w:space="0" w:color="000000"/>
            </w:tcBorders>
            <w:shd w:fill="FFFFFF" w:val="clear"/>
            <w:vAlign w:val="bottom"/>
          </w:tcPr>
          <w:p>
            <w:pPr>
              <w:pStyle w:val="TableContents"/>
              <w:spacing w:before="0" w:after="0"/>
              <w:jc w:val="right"/>
              <w:rPr/>
            </w:pPr>
            <w:r>
              <w:rPr/>
              <w:t>(11</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Income tax expense</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double" w:sz="8" w:space="0" w:color="000000"/>
            </w:tcBorders>
            <w:shd w:fill="CCEEFF" w:val="clear"/>
            <w:vAlign w:val="bottom"/>
          </w:tcPr>
          <w:p>
            <w:pPr>
              <w:pStyle w:val="TableContents"/>
              <w:spacing w:before="0" w:after="0"/>
              <w:rPr/>
            </w:pPr>
            <w:r>
              <w:rPr/>
              <w:t>$</w:t>
            </w:r>
          </w:p>
        </w:tc>
        <w:tc>
          <w:tcPr>
            <w:tcW w:w="1049" w:type="dxa"/>
            <w:tcBorders>
              <w:bottom w:val="double" w:sz="8" w:space="0" w:color="000000"/>
            </w:tcBorders>
            <w:shd w:fill="CCEEFF" w:val="clear"/>
            <w:vAlign w:val="bottom"/>
          </w:tcPr>
          <w:p>
            <w:pPr>
              <w:pStyle w:val="TableContents"/>
              <w:spacing w:before="0" w:after="0"/>
              <w:jc w:val="right"/>
              <w:rPr/>
            </w:pPr>
            <w:r>
              <w:rPr/>
              <w:t>(42</w:t>
            </w:r>
          </w:p>
        </w:tc>
        <w:tc>
          <w:tcPr>
            <w:tcW w:w="95" w:type="dxa"/>
            <w:tcBorders/>
            <w:shd w:fill="CCEEFF" w:val="clear"/>
            <w:tcMar>
              <w:bottom w:w="0" w:type="dxa"/>
            </w:tcMar>
            <w:vAlign w:val="bottom"/>
          </w:tcPr>
          <w:p>
            <w:pPr>
              <w:pStyle w:val="TableContents"/>
              <w:spacing w:before="0" w:after="0"/>
              <w:rPr/>
            </w:pPr>
            <w:r>
              <w:rPr/>
              <w:t>)</w:t>
            </w:r>
          </w:p>
        </w:tc>
        <w:tc>
          <w:tcPr>
            <w:tcW w:w="4022" w:type="dxa"/>
            <w:tcBorders/>
            <w:shd w:fill="CCEEFF" w:val="clear"/>
            <w:tcMar>
              <w:bottom w:w="0" w:type="dxa"/>
            </w:tcMar>
            <w:vAlign w:val="bottom"/>
          </w:tcPr>
          <w:p>
            <w:pPr>
              <w:pStyle w:val="TableContents"/>
              <w:spacing w:before="0" w:after="0"/>
              <w:rPr/>
            </w:pPr>
            <w:r>
              <w:rPr/>
              <w:t>Reclassification, net of tax</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283"/>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283"/>
              <w:rPr/>
            </w:pPr>
            <w:r>
              <w:rPr/>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double" w:sz="8" w:space="0" w:color="000000"/>
            </w:tcBorders>
            <w:shd w:fill="CCEEFF" w:val="clear"/>
            <w:vAlign w:val="bottom"/>
          </w:tcPr>
          <w:p>
            <w:pPr>
              <w:pStyle w:val="TableContents"/>
              <w:spacing w:before="0" w:after="0"/>
              <w:rPr/>
            </w:pPr>
            <w:r>
              <w:rPr/>
              <w:t>$</w:t>
            </w:r>
          </w:p>
        </w:tc>
        <w:tc>
          <w:tcPr>
            <w:tcW w:w="1049" w:type="dxa"/>
            <w:tcBorders>
              <w:bottom w:val="double" w:sz="8" w:space="0" w:color="000000"/>
            </w:tcBorders>
            <w:shd w:fill="CCEEFF" w:val="clear"/>
            <w:vAlign w:val="bottom"/>
          </w:tcPr>
          <w:p>
            <w:pPr>
              <w:pStyle w:val="TableContents"/>
              <w:spacing w:before="0" w:after="0"/>
              <w:jc w:val="right"/>
              <w:rPr/>
            </w:pPr>
            <w:r>
              <w:rPr/>
              <w:t>21</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0"/>
              <w:rPr/>
            </w:pPr>
            <w:r>
              <w:rPr/>
              <w:t>Total reclassifications for the period, net of tax</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76" w:name="DSPFPageBreakArea55"/>
      <w:bookmarkStart w:id="577" w:name="DSPFPageBreakArea55"/>
      <w:bookmarkEnd w:id="5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78" w:name="DSPFPageNumber55"/>
      <w:bookmarkStart w:id="579" w:name="DSPFPageNumberArea54"/>
      <w:bookmarkEnd w:id="578"/>
      <w:bookmarkEnd w:id="579"/>
      <w:r>
        <w:rPr>
          <w:b w:val="false"/>
          <w:i w:val="false"/>
          <w:caps w:val="false"/>
          <w:smallCaps w:val="false"/>
          <w:sz w:val="13"/>
        </w:rPr>
        <w:t>56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80" w:name="DSPFPageBreak55"/>
      <w:bookmarkStart w:id="581" w:name="DSPFPageBreak55"/>
      <w:bookmarkEnd w:id="5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82" w:name="DSPFPageHeader54"/>
        <w:bookmarkEnd w:id="582"/>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pPr>
      <w:r>
        <w:rPr/>
        <w:t>A summary of reclassifications out of each component of AOCL for the six months ended June 30 follows:</w:t>
      </w:r>
    </w:p>
    <w:p>
      <w:pPr>
        <w:pStyle w:val="TextBody"/>
        <w:spacing w:before="0" w:after="0"/>
        <w:rPr/>
      </w:pPr>
      <w:r>
        <w:rPr/>
      </w:r>
    </w:p>
    <w:p>
      <w:pPr>
        <w:pStyle w:val="Normal"/>
        <w:spacing w:before="0" w:after="0"/>
        <w:rPr>
          <w:sz w:val="4"/>
          <w:szCs w:val="4"/>
        </w:rPr>
      </w:pPr>
      <w:r>
        <w:rPr>
          <w:sz w:val="4"/>
          <w:szCs w:val="4"/>
        </w:rPr>
      </w:r>
      <w:bookmarkStart w:id="583" w:name="zbdf98cbfe08b4b839245b3a86c743f85"/>
      <w:bookmarkStart w:id="584" w:name="zbdf98cbfe08b4b839245b3a86c743f85"/>
      <w:bookmarkEnd w:id="584"/>
    </w:p>
    <w:tbl>
      <w:tblPr>
        <w:tblW w:w="10205" w:type="dxa"/>
        <w:jc w:val="left"/>
        <w:tblInd w:w="0" w:type="dxa"/>
        <w:tblCellMar>
          <w:top w:w="0" w:type="dxa"/>
          <w:left w:w="0" w:type="dxa"/>
          <w:bottom w:w="28" w:type="dxa"/>
          <w:right w:w="0" w:type="dxa"/>
        </w:tblCellMar>
      </w:tblPr>
      <w:tblGrid>
        <w:gridCol w:w="4658"/>
        <w:gridCol w:w="60"/>
        <w:gridCol w:w="321"/>
        <w:gridCol w:w="1049"/>
        <w:gridCol w:w="95"/>
        <w:gridCol w:w="4022"/>
      </w:tblGrid>
      <w:tr>
        <w:trPr/>
        <w:tc>
          <w:tcPr>
            <w:tcW w:w="4658" w:type="dxa"/>
            <w:tcBorders>
              <w:bottom w:val="single" w:sz="12" w:space="0" w:color="000000"/>
            </w:tcBorders>
            <w:shd w:fill="auto" w:val="clear"/>
            <w:vAlign w:val="bottom"/>
          </w:tcPr>
          <w:p>
            <w:pPr>
              <w:pStyle w:val="TableContents"/>
              <w:spacing w:before="0" w:after="0"/>
              <w:ind w:left="144" w:right="0" w:hanging="144"/>
              <w:jc w:val="center"/>
              <w:rPr/>
            </w:pPr>
            <w:r>
              <w:rPr/>
              <w:t>AOCL Component</w:t>
            </w:r>
          </w:p>
        </w:tc>
        <w:tc>
          <w:tcPr>
            <w:tcW w:w="60" w:type="dxa"/>
            <w:tcBorders/>
            <w:shd w:fill="auto" w:val="clear"/>
            <w:tcMar>
              <w:bottom w:w="0" w:type="dxa"/>
            </w:tcMar>
            <w:vAlign w:val="bottom"/>
          </w:tcPr>
          <w:p>
            <w:pPr>
              <w:pStyle w:val="TableContents"/>
              <w:spacing w:before="0" w:after="283"/>
              <w:rPr/>
            </w:pPr>
            <w:r>
              <w:rPr/>
              <w:t> </w:t>
            </w:r>
          </w:p>
        </w:tc>
        <w:tc>
          <w:tcPr>
            <w:tcW w:w="1370" w:type="dxa"/>
            <w:gridSpan w:val="2"/>
            <w:tcBorders>
              <w:bottom w:val="single" w:sz="12" w:space="0" w:color="000000"/>
            </w:tcBorders>
            <w:shd w:fill="auto" w:val="clear"/>
            <w:vAlign w:val="bottom"/>
          </w:tcPr>
          <w:p>
            <w:pPr>
              <w:pStyle w:val="TableContents"/>
              <w:spacing w:before="0" w:after="0"/>
              <w:jc w:val="center"/>
              <w:rPr/>
            </w:pPr>
            <w:r>
              <w:rPr/>
              <w:t>Amount</w:t>
            </w:r>
          </w:p>
          <w:p>
            <w:pPr>
              <w:pStyle w:val="TableContents"/>
              <w:spacing w:before="0" w:after="0"/>
              <w:jc w:val="center"/>
              <w:rPr/>
            </w:pPr>
            <w:r>
              <w:rPr/>
              <w:t>Reclassified</w:t>
            </w:r>
          </w:p>
          <w:p>
            <w:pPr>
              <w:pStyle w:val="TableContents"/>
              <w:spacing w:before="0" w:after="0"/>
              <w:jc w:val="center"/>
              <w:rPr/>
            </w:pPr>
            <w:r>
              <w:rPr/>
              <w:t>From</w:t>
            </w:r>
          </w:p>
          <w:p>
            <w:pPr>
              <w:pStyle w:val="TableContents"/>
              <w:spacing w:before="0" w:after="0"/>
              <w:jc w:val="center"/>
              <w:rPr/>
            </w:pPr>
            <w:r>
              <w:rPr/>
              <w:t>AOCL</w:t>
            </w:r>
          </w:p>
        </w:tc>
        <w:tc>
          <w:tcPr>
            <w:tcW w:w="95" w:type="dxa"/>
            <w:tcBorders/>
            <w:shd w:fill="auto" w:val="clear"/>
            <w:tcMar>
              <w:bottom w:w="0" w:type="dxa"/>
            </w:tcMar>
            <w:vAlign w:val="bottom"/>
          </w:tcPr>
          <w:p>
            <w:pPr>
              <w:pStyle w:val="TableContents"/>
              <w:spacing w:before="0" w:after="283"/>
              <w:rPr/>
            </w:pPr>
            <w:r>
              <w:rPr/>
              <w:t> </w:t>
            </w:r>
          </w:p>
        </w:tc>
        <w:tc>
          <w:tcPr>
            <w:tcW w:w="4022" w:type="dxa"/>
            <w:tcBorders>
              <w:bottom w:val="single" w:sz="12" w:space="0" w:color="000000"/>
            </w:tcBorders>
            <w:shd w:fill="auto" w:val="clear"/>
            <w:vAlign w:val="bottom"/>
          </w:tcPr>
          <w:p>
            <w:pPr>
              <w:pStyle w:val="TableContents"/>
              <w:spacing w:before="0" w:after="0"/>
              <w:jc w:val="center"/>
              <w:rPr/>
            </w:pPr>
            <w:r>
              <w:rPr/>
              <w:t> </w:t>
            </w:r>
            <w:r>
              <w:rPr/>
              <w:t>Affected Line Item in Condensed</w:t>
            </w:r>
          </w:p>
          <w:p>
            <w:pPr>
              <w:pStyle w:val="TableContents"/>
              <w:spacing w:before="0" w:after="0"/>
              <w:jc w:val="center"/>
              <w:rPr/>
            </w:pPr>
            <w:r>
              <w:rPr/>
              <w:t> </w:t>
            </w:r>
            <w:r>
              <w:rPr/>
              <w:t>Consolidated Statements of Operations</w:t>
            </w:r>
          </w:p>
        </w:tc>
      </w:tr>
      <w:tr>
        <w:trPr/>
        <w:tc>
          <w:tcPr>
            <w:tcW w:w="4658"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370" w:type="dxa"/>
            <w:gridSpan w:val="2"/>
            <w:tcBorders/>
            <w:shd w:fill="auto" w:val="clear"/>
            <w:tcMar>
              <w:bottom w:w="0" w:type="dxa"/>
            </w:tcMar>
            <w:vAlign w:val="bottom"/>
          </w:tcPr>
          <w:p>
            <w:pPr>
              <w:pStyle w:val="TableContents"/>
              <w:spacing w:before="0" w:after="0"/>
              <w:jc w:val="center"/>
              <w:rPr/>
            </w:pPr>
            <w:r>
              <w:rPr/>
              <w:t>(In thousands)</w:t>
            </w:r>
          </w:p>
        </w:tc>
        <w:tc>
          <w:tcPr>
            <w:tcW w:w="95" w:type="dxa"/>
            <w:tcBorders/>
            <w:shd w:fill="auto" w:val="clear"/>
            <w:tcMar>
              <w:bottom w:w="0" w:type="dxa"/>
            </w:tcMar>
            <w:vAlign w:val="bottom"/>
          </w:tcPr>
          <w:p>
            <w:pPr>
              <w:pStyle w:val="TableContents"/>
              <w:spacing w:before="0" w:after="283"/>
              <w:rPr/>
            </w:pPr>
            <w:r>
              <w:rPr/>
              <w:t> </w:t>
            </w:r>
          </w:p>
        </w:tc>
        <w:tc>
          <w:tcPr>
            <w:tcW w:w="4022" w:type="dxa"/>
            <w:tcBorders/>
            <w:shd w:fill="auto" w:val="clear"/>
            <w:tcMar>
              <w:bottom w:w="0" w:type="dxa"/>
            </w:tcMar>
            <w:vAlign w:val="bottom"/>
          </w:tcPr>
          <w:p>
            <w:pPr>
              <w:pStyle w:val="TableContents"/>
              <w:spacing w:before="0" w:after="283"/>
              <w:rPr/>
            </w:pPr>
            <w:r>
              <w:rPr/>
              <w:t> </w:t>
            </w:r>
          </w:p>
        </w:tc>
      </w:tr>
      <w:tr>
        <w:trPr/>
        <w:tc>
          <w:tcPr>
            <w:tcW w:w="4658" w:type="dxa"/>
            <w:tcBorders/>
            <w:shd w:fill="auto" w:val="clear"/>
            <w:tcMar>
              <w:bottom w:w="0" w:type="dxa"/>
            </w:tcMar>
            <w:vAlign w:val="bottom"/>
          </w:tcPr>
          <w:p>
            <w:pPr>
              <w:pStyle w:val="TableContents"/>
              <w:spacing w:before="0" w:after="0"/>
              <w:ind w:left="144" w:right="0" w:hanging="144"/>
              <w:rPr/>
            </w:pPr>
            <w:r>
              <w:rPr/>
              <w:t>2019</w:t>
            </w:r>
          </w:p>
        </w:tc>
        <w:tc>
          <w:tcPr>
            <w:tcW w:w="60" w:type="dxa"/>
            <w:tcBorders/>
            <w:shd w:fill="auto" w:val="clear"/>
            <w:tcMar>
              <w:bottom w:w="0" w:type="dxa"/>
            </w:tcMar>
            <w:vAlign w:val="bottom"/>
          </w:tcPr>
          <w:p>
            <w:pPr>
              <w:pStyle w:val="TableContents"/>
              <w:spacing w:before="0" w:after="283"/>
              <w:rPr/>
            </w:pPr>
            <w:r>
              <w:rPr/>
              <w:t> </w:t>
            </w:r>
          </w:p>
        </w:tc>
        <w:tc>
          <w:tcPr>
            <w:tcW w:w="1370" w:type="dxa"/>
            <w:gridSpan w:val="2"/>
            <w:tcBorders/>
            <w:shd w:fill="auto" w:val="clear"/>
            <w:tcMar>
              <w:bottom w:w="0" w:type="dxa"/>
            </w:tcMar>
            <w:vAlign w:val="bottom"/>
          </w:tcPr>
          <w:p>
            <w:pPr>
              <w:pStyle w:val="TableContents"/>
              <w:spacing w:before="0" w:after="283"/>
              <w:rPr/>
            </w:pPr>
            <w:r>
              <w:rPr/>
              <w:t> </w:t>
            </w:r>
          </w:p>
        </w:tc>
        <w:tc>
          <w:tcPr>
            <w:tcW w:w="95" w:type="dxa"/>
            <w:tcBorders/>
            <w:shd w:fill="auto" w:val="clear"/>
            <w:tcMar>
              <w:bottom w:w="0" w:type="dxa"/>
            </w:tcMar>
            <w:vAlign w:val="bottom"/>
          </w:tcPr>
          <w:p>
            <w:pPr>
              <w:pStyle w:val="TableContents"/>
              <w:spacing w:before="0" w:after="283"/>
              <w:rPr/>
            </w:pPr>
            <w:r>
              <w:rPr/>
              <w:t> </w:t>
            </w:r>
          </w:p>
        </w:tc>
        <w:tc>
          <w:tcPr>
            <w:tcW w:w="4022" w:type="dxa"/>
            <w:tcBorders/>
            <w:shd w:fill="auto" w:val="clear"/>
            <w:tcMar>
              <w:bottom w:w="0" w:type="dxa"/>
            </w:tcMar>
            <w:vAlign w:val="bottom"/>
          </w:tcPr>
          <w:p>
            <w:pPr>
              <w:pStyle w:val="TableContents"/>
              <w:spacing w:before="0" w:after="283"/>
              <w:rPr/>
            </w:pPr>
            <w:r>
              <w:rPr/>
              <w:t>  </w:t>
            </w:r>
          </w:p>
        </w:tc>
      </w:tr>
      <w:tr>
        <w:trPr/>
        <w:tc>
          <w:tcPr>
            <w:tcW w:w="4658" w:type="dxa"/>
            <w:tcBorders/>
            <w:shd w:fill="auto" w:val="clear"/>
            <w:tcMar>
              <w:bottom w:w="0" w:type="dxa"/>
            </w:tcMar>
            <w:vAlign w:val="bottom"/>
          </w:tcPr>
          <w:p>
            <w:pPr>
              <w:pStyle w:val="TableContents"/>
              <w:spacing w:before="0" w:after="0"/>
              <w:ind w:left="360" w:right="0" w:hanging="180"/>
              <w:rPr/>
            </w:pPr>
            <w:r>
              <w:rPr/>
              <w:t>Unrealized gains (losses) on securities available for sale</w:t>
            </w:r>
          </w:p>
        </w:tc>
        <w:tc>
          <w:tcPr>
            <w:tcW w:w="60" w:type="dxa"/>
            <w:tcBorders/>
            <w:shd w:fill="auto" w:val="clear"/>
            <w:tcMar>
              <w:bottom w:w="0" w:type="dxa"/>
            </w:tcMar>
            <w:vAlign w:val="bottom"/>
          </w:tcPr>
          <w:p>
            <w:pPr>
              <w:pStyle w:val="TableContents"/>
              <w:spacing w:before="0" w:after="283"/>
              <w:rPr/>
            </w:pPr>
            <w:r>
              <w:rPr/>
              <w:t> </w:t>
            </w:r>
          </w:p>
        </w:tc>
        <w:tc>
          <w:tcPr>
            <w:tcW w:w="1370" w:type="dxa"/>
            <w:gridSpan w:val="2"/>
            <w:tcBorders/>
            <w:shd w:fill="auto" w:val="clear"/>
            <w:tcMar>
              <w:bottom w:w="0" w:type="dxa"/>
            </w:tcMar>
            <w:vAlign w:val="bottom"/>
          </w:tcPr>
          <w:p>
            <w:pPr>
              <w:pStyle w:val="TableContents"/>
              <w:spacing w:before="0" w:after="283"/>
              <w:rPr/>
            </w:pPr>
            <w:r>
              <w:rPr/>
              <w:t> </w:t>
            </w:r>
          </w:p>
        </w:tc>
        <w:tc>
          <w:tcPr>
            <w:tcW w:w="95" w:type="dxa"/>
            <w:tcBorders/>
            <w:shd w:fill="auto" w:val="clear"/>
            <w:tcMar>
              <w:bottom w:w="0" w:type="dxa"/>
            </w:tcMar>
            <w:vAlign w:val="bottom"/>
          </w:tcPr>
          <w:p>
            <w:pPr>
              <w:pStyle w:val="TableContents"/>
              <w:spacing w:before="0" w:after="283"/>
              <w:rPr/>
            </w:pPr>
            <w:r>
              <w:rPr/>
              <w:t> </w:t>
            </w:r>
          </w:p>
        </w:tc>
        <w:tc>
          <w:tcPr>
            <w:tcW w:w="4022" w:type="dxa"/>
            <w:tcBorders/>
            <w:shd w:fill="auto" w:val="clear"/>
            <w:tcMar>
              <w:bottom w:w="0" w:type="dxa"/>
            </w:tcMar>
            <w:vAlign w:val="bottom"/>
          </w:tcPr>
          <w:p>
            <w:pPr>
              <w:pStyle w:val="TableContents"/>
              <w:spacing w:before="0" w:after="283"/>
              <w:rPr/>
            </w:pPr>
            <w:r>
              <w:rPr/>
              <w:t>  </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0"/>
              <w:rPr/>
            </w:pPr>
            <w:r>
              <w:rPr/>
              <w:t>$</w:t>
            </w:r>
          </w:p>
        </w:tc>
        <w:tc>
          <w:tcPr>
            <w:tcW w:w="1049" w:type="dxa"/>
            <w:tcBorders/>
            <w:shd w:fill="CCEEFF" w:val="clear"/>
            <w:tcMar>
              <w:bottom w:w="0" w:type="dxa"/>
            </w:tcMar>
            <w:vAlign w:val="bottom"/>
          </w:tcPr>
          <w:p>
            <w:pPr>
              <w:pStyle w:val="TableContents"/>
              <w:spacing w:before="0" w:after="0"/>
              <w:jc w:val="right"/>
              <w:rPr/>
            </w:pPr>
            <w:r>
              <w:rPr/>
              <w:t>137</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0"/>
              <w:rPr/>
            </w:pPr>
            <w:r>
              <w:rPr/>
              <w:t>Net gains (losses) on securities</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single" w:sz="12" w:space="0" w:color="000000"/>
            </w:tcBorders>
            <w:shd w:fill="FFFFFF" w:val="clear"/>
            <w:vAlign w:val="bottom"/>
          </w:tcPr>
          <w:p>
            <w:pPr>
              <w:pStyle w:val="TableContents"/>
              <w:spacing w:before="0" w:after="283"/>
              <w:rPr/>
            </w:pPr>
            <w:r>
              <w:rPr/>
              <w:t> </w:t>
            </w:r>
          </w:p>
        </w:tc>
        <w:tc>
          <w:tcPr>
            <w:tcW w:w="1049" w:type="dxa"/>
            <w:tcBorders>
              <w:bottom w:val="single" w:sz="12" w:space="0" w:color="000000"/>
            </w:tcBorders>
            <w:shd w:fill="FFFFFF" w:val="clear"/>
            <w:vAlign w:val="bottom"/>
          </w:tcPr>
          <w:p>
            <w:pPr>
              <w:pStyle w:val="TableContents"/>
              <w:spacing w:before="0" w:after="0"/>
              <w:jc w:val="right"/>
              <w:rPr/>
            </w:pPr>
            <w:r>
              <w:rPr/>
              <w:t>-</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0"/>
              <w:rPr/>
            </w:pPr>
            <w:r>
              <w:rPr/>
              <w:t>Net impairment loss recognized in earnings</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0"/>
              <w:jc w:val="right"/>
              <w:rPr/>
            </w:pPr>
            <w:r>
              <w:rPr/>
              <w:t>137</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0"/>
              <w:rPr/>
            </w:pPr>
            <w:r>
              <w:rPr/>
              <w:t>Total reclassifications before tax</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single" w:sz="12" w:space="0" w:color="000000"/>
            </w:tcBorders>
            <w:shd w:fill="FFFFFF" w:val="clear"/>
            <w:vAlign w:val="bottom"/>
          </w:tcPr>
          <w:p>
            <w:pPr>
              <w:pStyle w:val="TableContents"/>
              <w:spacing w:before="0" w:after="283"/>
              <w:rPr/>
            </w:pPr>
            <w:r>
              <w:rPr/>
              <w:t> </w:t>
            </w:r>
          </w:p>
        </w:tc>
        <w:tc>
          <w:tcPr>
            <w:tcW w:w="1049" w:type="dxa"/>
            <w:tcBorders>
              <w:bottom w:val="single" w:sz="12" w:space="0" w:color="000000"/>
            </w:tcBorders>
            <w:shd w:fill="FFFFFF" w:val="clear"/>
            <w:vAlign w:val="bottom"/>
          </w:tcPr>
          <w:p>
            <w:pPr>
              <w:pStyle w:val="TableContents"/>
              <w:spacing w:before="0" w:after="0"/>
              <w:jc w:val="right"/>
              <w:rPr/>
            </w:pPr>
            <w:r>
              <w:rPr/>
              <w:t>29</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0"/>
              <w:rPr/>
            </w:pPr>
            <w:r>
              <w:rPr/>
              <w:t>Income tax expense</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double" w:sz="8" w:space="0" w:color="000000"/>
            </w:tcBorders>
            <w:shd w:fill="CCEEFF" w:val="clear"/>
            <w:vAlign w:val="bottom"/>
          </w:tcPr>
          <w:p>
            <w:pPr>
              <w:pStyle w:val="TableContents"/>
              <w:spacing w:before="0" w:after="0"/>
              <w:rPr/>
            </w:pPr>
            <w:r>
              <w:rPr/>
              <w:t>$</w:t>
            </w:r>
          </w:p>
        </w:tc>
        <w:tc>
          <w:tcPr>
            <w:tcW w:w="1049" w:type="dxa"/>
            <w:tcBorders>
              <w:bottom w:val="double" w:sz="8" w:space="0" w:color="000000"/>
            </w:tcBorders>
            <w:shd w:fill="CCEEFF" w:val="clear"/>
            <w:vAlign w:val="bottom"/>
          </w:tcPr>
          <w:p>
            <w:pPr>
              <w:pStyle w:val="TableContents"/>
              <w:spacing w:before="0" w:after="0"/>
              <w:jc w:val="right"/>
              <w:rPr/>
            </w:pPr>
            <w:r>
              <w:rPr/>
              <w:t>108</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0"/>
              <w:rPr/>
            </w:pPr>
            <w:r>
              <w:rPr/>
              <w:t>Reclassifications, net of tax</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283"/>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283"/>
              <w:rPr/>
            </w:pPr>
            <w:r>
              <w:rPr/>
              <w:t>   </w:t>
            </w:r>
          </w:p>
        </w:tc>
      </w:tr>
      <w:tr>
        <w:trPr/>
        <w:tc>
          <w:tcPr>
            <w:tcW w:w="4658" w:type="dxa"/>
            <w:tcBorders/>
            <w:shd w:fill="CCEEFF" w:val="clear"/>
            <w:tcMar>
              <w:bottom w:w="0" w:type="dxa"/>
            </w:tcMar>
            <w:vAlign w:val="bottom"/>
          </w:tcPr>
          <w:p>
            <w:pPr>
              <w:pStyle w:val="TableContents"/>
              <w:spacing w:before="0" w:after="0"/>
              <w:ind w:left="360" w:right="0" w:hanging="180"/>
              <w:rPr/>
            </w:pPr>
            <w:r>
              <w:rPr/>
              <w:t>Unrealized gains (losses) on cash flow hedges</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283"/>
              <w:rPr/>
            </w:pPr>
            <w:r>
              <w:rPr/>
              <w:t>  </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0"/>
              <w:rPr/>
            </w:pPr>
            <w:r>
              <w:rPr/>
              <w:t>$</w:t>
            </w:r>
          </w:p>
        </w:tc>
        <w:tc>
          <w:tcPr>
            <w:tcW w:w="1049" w:type="dxa"/>
            <w:tcBorders/>
            <w:shd w:fill="FFFFFF" w:val="clear"/>
            <w:tcMar>
              <w:bottom w:w="0" w:type="dxa"/>
            </w:tcMar>
            <w:vAlign w:val="bottom"/>
          </w:tcPr>
          <w:p>
            <w:pPr>
              <w:pStyle w:val="TableContents"/>
              <w:spacing w:before="0" w:after="0"/>
              <w:jc w:val="right"/>
              <w:rPr/>
            </w:pPr>
            <w:r>
              <w:rPr/>
              <w:t>(291</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Interest expense</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single" w:sz="12" w:space="0" w:color="000000"/>
            </w:tcBorders>
            <w:shd w:fill="CCEEFF" w:val="clear"/>
            <w:vAlign w:val="bottom"/>
          </w:tcPr>
          <w:p>
            <w:pPr>
              <w:pStyle w:val="TableContents"/>
              <w:spacing w:before="0" w:after="283"/>
              <w:rPr/>
            </w:pPr>
            <w:r>
              <w:rPr/>
              <w:t> </w:t>
            </w:r>
          </w:p>
        </w:tc>
        <w:tc>
          <w:tcPr>
            <w:tcW w:w="1049" w:type="dxa"/>
            <w:tcBorders>
              <w:bottom w:val="single" w:sz="12" w:space="0" w:color="000000"/>
            </w:tcBorders>
            <w:shd w:fill="CCEEFF" w:val="clear"/>
            <w:vAlign w:val="bottom"/>
          </w:tcPr>
          <w:p>
            <w:pPr>
              <w:pStyle w:val="TableContents"/>
              <w:spacing w:before="0" w:after="0"/>
              <w:jc w:val="right"/>
              <w:rPr/>
            </w:pPr>
            <w:r>
              <w:rPr/>
              <w:t>(61</w:t>
            </w:r>
          </w:p>
        </w:tc>
        <w:tc>
          <w:tcPr>
            <w:tcW w:w="95" w:type="dxa"/>
            <w:tcBorders/>
            <w:shd w:fill="CCEEFF" w:val="clear"/>
            <w:tcMar>
              <w:bottom w:w="0" w:type="dxa"/>
            </w:tcMar>
            <w:vAlign w:val="bottom"/>
          </w:tcPr>
          <w:p>
            <w:pPr>
              <w:pStyle w:val="TableContents"/>
              <w:spacing w:before="0" w:after="0"/>
              <w:rPr/>
            </w:pPr>
            <w:r>
              <w:rPr/>
              <w:t>)</w:t>
            </w:r>
          </w:p>
        </w:tc>
        <w:tc>
          <w:tcPr>
            <w:tcW w:w="4022" w:type="dxa"/>
            <w:tcBorders/>
            <w:shd w:fill="CCEEFF" w:val="clear"/>
            <w:tcMar>
              <w:bottom w:w="0" w:type="dxa"/>
            </w:tcMar>
            <w:vAlign w:val="bottom"/>
          </w:tcPr>
          <w:p>
            <w:pPr>
              <w:pStyle w:val="TableContents"/>
              <w:spacing w:before="0" w:after="0"/>
              <w:rPr/>
            </w:pPr>
            <w:r>
              <w:rPr/>
              <w:t>Income tax expense</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double" w:sz="8" w:space="0" w:color="000000"/>
            </w:tcBorders>
            <w:shd w:fill="FFFFFF" w:val="clear"/>
            <w:vAlign w:val="bottom"/>
          </w:tcPr>
          <w:p>
            <w:pPr>
              <w:pStyle w:val="TableContents"/>
              <w:spacing w:before="0" w:after="0"/>
              <w:rPr/>
            </w:pPr>
            <w:r>
              <w:rPr/>
              <w:t>$</w:t>
            </w:r>
          </w:p>
        </w:tc>
        <w:tc>
          <w:tcPr>
            <w:tcW w:w="1049" w:type="dxa"/>
            <w:tcBorders>
              <w:bottom w:val="double" w:sz="8" w:space="0" w:color="000000"/>
            </w:tcBorders>
            <w:shd w:fill="FFFFFF" w:val="clear"/>
            <w:vAlign w:val="bottom"/>
          </w:tcPr>
          <w:p>
            <w:pPr>
              <w:pStyle w:val="TableContents"/>
              <w:spacing w:before="0" w:after="0"/>
              <w:jc w:val="right"/>
              <w:rPr/>
            </w:pPr>
            <w:r>
              <w:rPr/>
              <w:t>(230</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Reclassification, net of tax</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283"/>
              <w:rPr/>
            </w:pPr>
            <w:r>
              <w:rPr/>
              <w:t>   </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double" w:sz="8" w:space="0" w:color="000000"/>
            </w:tcBorders>
            <w:shd w:fill="FFFFFF" w:val="clear"/>
            <w:vAlign w:val="bottom"/>
          </w:tcPr>
          <w:p>
            <w:pPr>
              <w:pStyle w:val="TableContents"/>
              <w:spacing w:before="0" w:after="0"/>
              <w:rPr/>
            </w:pPr>
            <w:r>
              <w:rPr/>
              <w:t>$</w:t>
            </w:r>
          </w:p>
        </w:tc>
        <w:tc>
          <w:tcPr>
            <w:tcW w:w="1049" w:type="dxa"/>
            <w:tcBorders>
              <w:bottom w:val="double" w:sz="8" w:space="0" w:color="000000"/>
            </w:tcBorders>
            <w:shd w:fill="FFFFFF" w:val="clear"/>
            <w:vAlign w:val="bottom"/>
          </w:tcPr>
          <w:p>
            <w:pPr>
              <w:pStyle w:val="TableContents"/>
              <w:spacing w:before="0" w:after="0"/>
              <w:jc w:val="right"/>
              <w:rPr/>
            </w:pPr>
            <w:r>
              <w:rPr/>
              <w:t>338</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0"/>
              <w:rPr/>
            </w:pPr>
            <w:r>
              <w:rPr/>
              <w:t>Total reclassifications for the period, net of tax</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283"/>
              <w:rPr/>
            </w:pPr>
            <w:r>
              <w:rPr/>
              <w:t>   </w:t>
            </w:r>
          </w:p>
        </w:tc>
      </w:tr>
      <w:tr>
        <w:trPr/>
        <w:tc>
          <w:tcPr>
            <w:tcW w:w="4658" w:type="dxa"/>
            <w:tcBorders/>
            <w:shd w:fill="FFFFFF" w:val="clear"/>
            <w:tcMar>
              <w:bottom w:w="0" w:type="dxa"/>
            </w:tcMar>
            <w:vAlign w:val="bottom"/>
          </w:tcPr>
          <w:p>
            <w:pPr>
              <w:pStyle w:val="TableContents"/>
              <w:spacing w:before="0" w:after="0"/>
              <w:ind w:left="144" w:right="0" w:hanging="144"/>
              <w:rPr/>
            </w:pPr>
            <w:r>
              <w:rPr/>
              <w:t>2018</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283"/>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283"/>
              <w:rPr/>
            </w:pPr>
            <w:r>
              <w:rPr/>
              <w:t>  </w:t>
            </w:r>
          </w:p>
        </w:tc>
      </w:tr>
      <w:tr>
        <w:trPr/>
        <w:tc>
          <w:tcPr>
            <w:tcW w:w="4658" w:type="dxa"/>
            <w:tcBorders/>
            <w:shd w:fill="CCEEFF" w:val="clear"/>
            <w:tcMar>
              <w:bottom w:w="0" w:type="dxa"/>
            </w:tcMar>
            <w:vAlign w:val="bottom"/>
          </w:tcPr>
          <w:p>
            <w:pPr>
              <w:pStyle w:val="TableContents"/>
              <w:spacing w:before="0" w:after="0"/>
              <w:ind w:left="360" w:right="0" w:hanging="180"/>
              <w:rPr/>
            </w:pPr>
            <w:r>
              <w:rPr/>
              <w:t>Unrealized gains (losses) on securities available for sale</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283"/>
              <w:rPr/>
            </w:pPr>
            <w:r>
              <w:rPr/>
              <w:t>  </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0"/>
              <w:rPr/>
            </w:pPr>
            <w:r>
              <w:rPr/>
              <w:t>$</w:t>
            </w:r>
          </w:p>
        </w:tc>
        <w:tc>
          <w:tcPr>
            <w:tcW w:w="1049" w:type="dxa"/>
            <w:tcBorders/>
            <w:shd w:fill="FFFFFF" w:val="clear"/>
            <w:tcMar>
              <w:bottom w:w="0" w:type="dxa"/>
            </w:tcMar>
            <w:vAlign w:val="bottom"/>
          </w:tcPr>
          <w:p>
            <w:pPr>
              <w:pStyle w:val="TableContents"/>
              <w:spacing w:before="0" w:after="0"/>
              <w:jc w:val="right"/>
              <w:rPr/>
            </w:pPr>
            <w:r>
              <w:rPr/>
              <w:t>(45</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Net gains (losses) on securities</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single" w:sz="12" w:space="0" w:color="000000"/>
            </w:tcBorders>
            <w:shd w:fill="CCEEFF" w:val="clear"/>
            <w:vAlign w:val="bottom"/>
          </w:tcPr>
          <w:p>
            <w:pPr>
              <w:pStyle w:val="TableContents"/>
              <w:spacing w:before="0" w:after="283"/>
              <w:rPr/>
            </w:pPr>
            <w:r>
              <w:rPr/>
              <w:t> </w:t>
            </w:r>
          </w:p>
        </w:tc>
        <w:tc>
          <w:tcPr>
            <w:tcW w:w="1049" w:type="dxa"/>
            <w:tcBorders>
              <w:bottom w:val="single" w:sz="12" w:space="0" w:color="000000"/>
            </w:tcBorders>
            <w:shd w:fill="CCEEFF" w:val="clear"/>
            <w:vAlign w:val="bottom"/>
          </w:tcPr>
          <w:p>
            <w:pPr>
              <w:pStyle w:val="TableContents"/>
              <w:spacing w:before="0" w:after="0"/>
              <w:jc w:val="right"/>
              <w:rPr/>
            </w:pPr>
            <w:r>
              <w:rPr/>
              <w:t>-</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0"/>
              <w:rPr/>
            </w:pPr>
            <w:r>
              <w:rPr/>
              <w:t>Net impairment loss recognized in earnings</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283"/>
              <w:rPr/>
            </w:pPr>
            <w:r>
              <w:rPr/>
              <w:t> </w:t>
            </w:r>
          </w:p>
        </w:tc>
        <w:tc>
          <w:tcPr>
            <w:tcW w:w="1049" w:type="dxa"/>
            <w:tcBorders/>
            <w:shd w:fill="FFFFFF" w:val="clear"/>
            <w:tcMar>
              <w:bottom w:w="0" w:type="dxa"/>
            </w:tcMar>
            <w:vAlign w:val="bottom"/>
          </w:tcPr>
          <w:p>
            <w:pPr>
              <w:pStyle w:val="TableContents"/>
              <w:spacing w:before="0" w:after="0"/>
              <w:jc w:val="right"/>
              <w:rPr/>
            </w:pPr>
            <w:r>
              <w:rPr/>
              <w:t>(45</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Total reclassifications before tax</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single" w:sz="12" w:space="0" w:color="000000"/>
            </w:tcBorders>
            <w:shd w:fill="CCEEFF" w:val="clear"/>
            <w:vAlign w:val="bottom"/>
          </w:tcPr>
          <w:p>
            <w:pPr>
              <w:pStyle w:val="TableContents"/>
              <w:spacing w:before="0" w:after="283"/>
              <w:rPr/>
            </w:pPr>
            <w:r>
              <w:rPr/>
              <w:t> </w:t>
            </w:r>
          </w:p>
        </w:tc>
        <w:tc>
          <w:tcPr>
            <w:tcW w:w="1049" w:type="dxa"/>
            <w:tcBorders>
              <w:bottom w:val="single" w:sz="12" w:space="0" w:color="000000"/>
            </w:tcBorders>
            <w:shd w:fill="CCEEFF" w:val="clear"/>
            <w:vAlign w:val="bottom"/>
          </w:tcPr>
          <w:p>
            <w:pPr>
              <w:pStyle w:val="TableContents"/>
              <w:spacing w:before="0" w:after="0"/>
              <w:jc w:val="right"/>
              <w:rPr/>
            </w:pPr>
            <w:r>
              <w:rPr/>
              <w:t>(9</w:t>
            </w:r>
          </w:p>
        </w:tc>
        <w:tc>
          <w:tcPr>
            <w:tcW w:w="95" w:type="dxa"/>
            <w:tcBorders/>
            <w:shd w:fill="CCEEFF" w:val="clear"/>
            <w:tcMar>
              <w:bottom w:w="0" w:type="dxa"/>
            </w:tcMar>
            <w:vAlign w:val="bottom"/>
          </w:tcPr>
          <w:p>
            <w:pPr>
              <w:pStyle w:val="TableContents"/>
              <w:spacing w:before="0" w:after="0"/>
              <w:rPr/>
            </w:pPr>
            <w:r>
              <w:rPr/>
              <w:t>)</w:t>
            </w:r>
          </w:p>
        </w:tc>
        <w:tc>
          <w:tcPr>
            <w:tcW w:w="4022" w:type="dxa"/>
            <w:tcBorders/>
            <w:shd w:fill="CCEEFF" w:val="clear"/>
            <w:tcMar>
              <w:bottom w:w="0" w:type="dxa"/>
            </w:tcMar>
            <w:vAlign w:val="bottom"/>
          </w:tcPr>
          <w:p>
            <w:pPr>
              <w:pStyle w:val="TableContents"/>
              <w:spacing w:before="0" w:after="0"/>
              <w:rPr/>
            </w:pPr>
            <w:r>
              <w:rPr/>
              <w:t>Income tax expense</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double" w:sz="8" w:space="0" w:color="000000"/>
            </w:tcBorders>
            <w:shd w:fill="FFFFFF" w:val="clear"/>
            <w:vAlign w:val="bottom"/>
          </w:tcPr>
          <w:p>
            <w:pPr>
              <w:pStyle w:val="TableContents"/>
              <w:spacing w:before="0" w:after="0"/>
              <w:rPr/>
            </w:pPr>
            <w:r>
              <w:rPr/>
              <w:t>$</w:t>
            </w:r>
          </w:p>
        </w:tc>
        <w:tc>
          <w:tcPr>
            <w:tcW w:w="1049" w:type="dxa"/>
            <w:tcBorders>
              <w:bottom w:val="double" w:sz="8" w:space="0" w:color="000000"/>
            </w:tcBorders>
            <w:shd w:fill="FFFFFF" w:val="clear"/>
            <w:vAlign w:val="bottom"/>
          </w:tcPr>
          <w:p>
            <w:pPr>
              <w:pStyle w:val="TableContents"/>
              <w:spacing w:before="0" w:after="0"/>
              <w:jc w:val="right"/>
              <w:rPr/>
            </w:pPr>
            <w:r>
              <w:rPr/>
              <w:t>(36</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Reclassifications, net of tax</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283"/>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283"/>
              <w:rPr/>
            </w:pPr>
            <w:r>
              <w:rPr/>
              <w:t>   </w:t>
            </w:r>
          </w:p>
        </w:tc>
      </w:tr>
      <w:tr>
        <w:trPr/>
        <w:tc>
          <w:tcPr>
            <w:tcW w:w="4658" w:type="dxa"/>
            <w:tcBorders/>
            <w:shd w:fill="FFFFFF" w:val="clear"/>
            <w:tcMar>
              <w:bottom w:w="0" w:type="dxa"/>
            </w:tcMar>
            <w:vAlign w:val="bottom"/>
          </w:tcPr>
          <w:p>
            <w:pPr>
              <w:pStyle w:val="TableContents"/>
              <w:spacing w:before="0" w:after="0"/>
              <w:ind w:left="324" w:right="0" w:hanging="144"/>
              <w:rPr/>
            </w:pPr>
            <w:r>
              <w:rPr/>
              <w:t>Unrealized gains (losses) on cash flow hedges</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283"/>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283"/>
              <w:rPr/>
            </w:pPr>
            <w:r>
              <w:rPr/>
              <w:t>  </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shd w:fill="CCEEFF" w:val="clear"/>
            <w:tcMar>
              <w:bottom w:w="0" w:type="dxa"/>
            </w:tcMar>
            <w:vAlign w:val="bottom"/>
          </w:tcPr>
          <w:p>
            <w:pPr>
              <w:pStyle w:val="TableContents"/>
              <w:spacing w:before="0" w:after="0"/>
              <w:rPr/>
            </w:pPr>
            <w:r>
              <w:rPr/>
              <w:t>$</w:t>
            </w:r>
          </w:p>
        </w:tc>
        <w:tc>
          <w:tcPr>
            <w:tcW w:w="1049" w:type="dxa"/>
            <w:tcBorders/>
            <w:shd w:fill="CCEEFF" w:val="clear"/>
            <w:tcMar>
              <w:bottom w:w="0" w:type="dxa"/>
            </w:tcMar>
            <w:vAlign w:val="bottom"/>
          </w:tcPr>
          <w:p>
            <w:pPr>
              <w:pStyle w:val="TableContents"/>
              <w:spacing w:before="0" w:after="0"/>
              <w:jc w:val="right"/>
              <w:rPr/>
            </w:pPr>
            <w:r>
              <w:rPr/>
              <w:t>(59</w:t>
            </w:r>
          </w:p>
        </w:tc>
        <w:tc>
          <w:tcPr>
            <w:tcW w:w="95" w:type="dxa"/>
            <w:tcBorders/>
            <w:shd w:fill="CCEEFF" w:val="clear"/>
            <w:tcMar>
              <w:bottom w:w="0" w:type="dxa"/>
            </w:tcMar>
            <w:vAlign w:val="bottom"/>
          </w:tcPr>
          <w:p>
            <w:pPr>
              <w:pStyle w:val="TableContents"/>
              <w:spacing w:before="0" w:after="0"/>
              <w:rPr/>
            </w:pPr>
            <w:r>
              <w:rPr/>
              <w:t>)</w:t>
            </w:r>
          </w:p>
        </w:tc>
        <w:tc>
          <w:tcPr>
            <w:tcW w:w="4022" w:type="dxa"/>
            <w:tcBorders/>
            <w:shd w:fill="CCEEFF" w:val="clear"/>
            <w:tcMar>
              <w:bottom w:w="0" w:type="dxa"/>
            </w:tcMar>
            <w:vAlign w:val="bottom"/>
          </w:tcPr>
          <w:p>
            <w:pPr>
              <w:pStyle w:val="TableContents"/>
              <w:spacing w:before="0" w:after="0"/>
              <w:rPr/>
            </w:pPr>
            <w:r>
              <w:rPr/>
              <w:t>Interest expense</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bottom w:val="single" w:sz="12" w:space="0" w:color="000000"/>
            </w:tcBorders>
            <w:shd w:fill="FFFFFF" w:val="clear"/>
            <w:vAlign w:val="bottom"/>
          </w:tcPr>
          <w:p>
            <w:pPr>
              <w:pStyle w:val="TableContents"/>
              <w:spacing w:before="0" w:after="283"/>
              <w:rPr/>
            </w:pPr>
            <w:r>
              <w:rPr/>
              <w:t> </w:t>
            </w:r>
          </w:p>
        </w:tc>
        <w:tc>
          <w:tcPr>
            <w:tcW w:w="1049" w:type="dxa"/>
            <w:tcBorders>
              <w:bottom w:val="single" w:sz="12" w:space="0" w:color="000000"/>
            </w:tcBorders>
            <w:shd w:fill="FFFFFF" w:val="clear"/>
            <w:vAlign w:val="bottom"/>
          </w:tcPr>
          <w:p>
            <w:pPr>
              <w:pStyle w:val="TableContents"/>
              <w:spacing w:before="0" w:after="0"/>
              <w:jc w:val="right"/>
              <w:rPr/>
            </w:pPr>
            <w:r>
              <w:rPr/>
              <w:t>(12</w:t>
            </w:r>
          </w:p>
        </w:tc>
        <w:tc>
          <w:tcPr>
            <w:tcW w:w="95" w:type="dxa"/>
            <w:tcBorders/>
            <w:shd w:fill="FFFFFF" w:val="clear"/>
            <w:tcMar>
              <w:bottom w:w="0" w:type="dxa"/>
            </w:tcMar>
            <w:vAlign w:val="bottom"/>
          </w:tcPr>
          <w:p>
            <w:pPr>
              <w:pStyle w:val="TableContents"/>
              <w:spacing w:before="0" w:after="0"/>
              <w:rPr/>
            </w:pPr>
            <w:r>
              <w:rPr/>
              <w:t>)</w:t>
            </w:r>
          </w:p>
        </w:tc>
        <w:tc>
          <w:tcPr>
            <w:tcW w:w="4022" w:type="dxa"/>
            <w:tcBorders/>
            <w:shd w:fill="FFFFFF" w:val="clear"/>
            <w:tcMar>
              <w:bottom w:w="0" w:type="dxa"/>
            </w:tcMar>
            <w:vAlign w:val="bottom"/>
          </w:tcPr>
          <w:p>
            <w:pPr>
              <w:pStyle w:val="TableContents"/>
              <w:spacing w:before="0" w:after="0"/>
              <w:rPr/>
            </w:pPr>
            <w:r>
              <w:rPr/>
              <w:t>Income tax expense</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double" w:sz="8" w:space="0" w:color="000000"/>
            </w:tcBorders>
            <w:shd w:fill="CCEEFF" w:val="clear"/>
            <w:vAlign w:val="bottom"/>
          </w:tcPr>
          <w:p>
            <w:pPr>
              <w:pStyle w:val="TableContents"/>
              <w:spacing w:before="0" w:after="0"/>
              <w:rPr/>
            </w:pPr>
            <w:r>
              <w:rPr/>
              <w:t>$</w:t>
            </w:r>
          </w:p>
        </w:tc>
        <w:tc>
          <w:tcPr>
            <w:tcW w:w="1049" w:type="dxa"/>
            <w:tcBorders>
              <w:bottom w:val="double" w:sz="8" w:space="0" w:color="000000"/>
            </w:tcBorders>
            <w:shd w:fill="CCEEFF" w:val="clear"/>
            <w:vAlign w:val="bottom"/>
          </w:tcPr>
          <w:p>
            <w:pPr>
              <w:pStyle w:val="TableContents"/>
              <w:spacing w:before="0" w:after="0"/>
              <w:jc w:val="right"/>
              <w:rPr/>
            </w:pPr>
            <w:r>
              <w:rPr/>
              <w:t>(47</w:t>
            </w:r>
          </w:p>
        </w:tc>
        <w:tc>
          <w:tcPr>
            <w:tcW w:w="95" w:type="dxa"/>
            <w:tcBorders/>
            <w:shd w:fill="CCEEFF" w:val="clear"/>
            <w:tcMar>
              <w:bottom w:w="0" w:type="dxa"/>
            </w:tcMar>
            <w:vAlign w:val="bottom"/>
          </w:tcPr>
          <w:p>
            <w:pPr>
              <w:pStyle w:val="TableContents"/>
              <w:spacing w:before="0" w:after="0"/>
              <w:rPr/>
            </w:pPr>
            <w:r>
              <w:rPr/>
              <w:t>)</w:t>
            </w:r>
          </w:p>
        </w:tc>
        <w:tc>
          <w:tcPr>
            <w:tcW w:w="4022" w:type="dxa"/>
            <w:tcBorders/>
            <w:shd w:fill="CCEEFF" w:val="clear"/>
            <w:tcMar>
              <w:bottom w:w="0" w:type="dxa"/>
            </w:tcMar>
            <w:vAlign w:val="bottom"/>
          </w:tcPr>
          <w:p>
            <w:pPr>
              <w:pStyle w:val="TableContents"/>
              <w:spacing w:before="0" w:after="0"/>
              <w:rPr/>
            </w:pPr>
            <w:r>
              <w:rPr/>
              <w:t>Reclassification, net of tax</w:t>
            </w:r>
          </w:p>
        </w:tc>
      </w:tr>
      <w:tr>
        <w:trPr/>
        <w:tc>
          <w:tcPr>
            <w:tcW w:w="4658"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321" w:type="dxa"/>
            <w:tcBorders/>
            <w:shd w:fill="FFFFFF" w:val="clear"/>
            <w:tcMar>
              <w:bottom w:w="0" w:type="dxa"/>
            </w:tcMar>
            <w:vAlign w:val="bottom"/>
          </w:tcPr>
          <w:p>
            <w:pPr>
              <w:pStyle w:val="TableContents"/>
              <w:spacing w:before="0" w:after="283"/>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95" w:type="dxa"/>
            <w:tcBorders/>
            <w:shd w:fill="FFFFFF" w:val="clear"/>
            <w:tcMar>
              <w:bottom w:w="0" w:type="dxa"/>
            </w:tcMar>
            <w:vAlign w:val="bottom"/>
          </w:tcPr>
          <w:p>
            <w:pPr>
              <w:pStyle w:val="TableContents"/>
              <w:spacing w:before="0" w:after="283"/>
              <w:rPr/>
            </w:pPr>
            <w:r>
              <w:rPr/>
              <w:t> </w:t>
            </w:r>
          </w:p>
        </w:tc>
        <w:tc>
          <w:tcPr>
            <w:tcW w:w="4022" w:type="dxa"/>
            <w:tcBorders/>
            <w:shd w:fill="FFFFFF" w:val="clear"/>
            <w:tcMar>
              <w:bottom w:w="0" w:type="dxa"/>
            </w:tcMar>
            <w:vAlign w:val="bottom"/>
          </w:tcPr>
          <w:p>
            <w:pPr>
              <w:pStyle w:val="TableContents"/>
              <w:spacing w:before="0" w:after="283"/>
              <w:rPr/>
            </w:pPr>
            <w:r>
              <w:rPr/>
              <w:t>   </w:t>
            </w:r>
          </w:p>
        </w:tc>
      </w:tr>
      <w:tr>
        <w:trPr/>
        <w:tc>
          <w:tcPr>
            <w:tcW w:w="4658"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21" w:type="dxa"/>
            <w:tcBorders>
              <w:bottom w:val="double" w:sz="8" w:space="0" w:color="000000"/>
            </w:tcBorders>
            <w:shd w:fill="CCEEFF" w:val="clear"/>
            <w:vAlign w:val="bottom"/>
          </w:tcPr>
          <w:p>
            <w:pPr>
              <w:pStyle w:val="TableContents"/>
              <w:spacing w:before="0" w:after="0"/>
              <w:rPr/>
            </w:pPr>
            <w:r>
              <w:rPr/>
              <w:t>$</w:t>
            </w:r>
          </w:p>
        </w:tc>
        <w:tc>
          <w:tcPr>
            <w:tcW w:w="1049" w:type="dxa"/>
            <w:tcBorders>
              <w:bottom w:val="double" w:sz="8" w:space="0" w:color="000000"/>
            </w:tcBorders>
            <w:shd w:fill="CCEEFF" w:val="clear"/>
            <w:vAlign w:val="bottom"/>
          </w:tcPr>
          <w:p>
            <w:pPr>
              <w:pStyle w:val="TableContents"/>
              <w:spacing w:before="0" w:after="0"/>
              <w:jc w:val="right"/>
              <w:rPr/>
            </w:pPr>
            <w:r>
              <w:rPr/>
              <w:t>11</w:t>
            </w:r>
          </w:p>
        </w:tc>
        <w:tc>
          <w:tcPr>
            <w:tcW w:w="95" w:type="dxa"/>
            <w:tcBorders/>
            <w:shd w:fill="CCEEFF" w:val="clear"/>
            <w:tcMar>
              <w:bottom w:w="0" w:type="dxa"/>
            </w:tcMar>
            <w:vAlign w:val="bottom"/>
          </w:tcPr>
          <w:p>
            <w:pPr>
              <w:pStyle w:val="TableContents"/>
              <w:spacing w:before="0" w:after="283"/>
              <w:rPr/>
            </w:pPr>
            <w:r>
              <w:rPr/>
              <w:t> </w:t>
            </w:r>
          </w:p>
        </w:tc>
        <w:tc>
          <w:tcPr>
            <w:tcW w:w="4022" w:type="dxa"/>
            <w:tcBorders/>
            <w:shd w:fill="CCEEFF" w:val="clear"/>
            <w:tcMar>
              <w:bottom w:w="0" w:type="dxa"/>
            </w:tcMar>
            <w:vAlign w:val="bottom"/>
          </w:tcPr>
          <w:p>
            <w:pPr>
              <w:pStyle w:val="TableContents"/>
              <w:spacing w:before="0" w:after="0"/>
              <w:rPr/>
            </w:pPr>
            <w:r>
              <w:rPr/>
              <w:t>Total reclassifications for the period, net of tax</w:t>
            </w:r>
          </w:p>
        </w:tc>
      </w:tr>
    </w:tbl>
    <w:p>
      <w:pPr>
        <w:pStyle w:val="TextBody"/>
        <w:spacing w:before="0" w:after="0"/>
        <w:rPr/>
      </w:pPr>
      <w:r>
        <w:rPr/>
      </w:r>
    </w:p>
    <w:p>
      <w:pPr>
        <w:pStyle w:val="TextBody"/>
        <w:spacing w:before="0" w:after="0"/>
        <w:rPr/>
      </w:pPr>
      <w:r>
        <w:rPr/>
        <w:t xml:space="preserve">15.  </w:t>
      </w:r>
      <w:r>
        <w:rPr>
          <w:u w:val="single"/>
        </w:rPr>
        <w:t>Revenue from Contracts with Customers</w:t>
      </w:r>
    </w:p>
    <w:p>
      <w:pPr>
        <w:pStyle w:val="TextBody"/>
        <w:spacing w:before="0" w:after="0"/>
        <w:rPr/>
      </w:pPr>
      <w:r>
        <w:rPr/>
      </w:r>
    </w:p>
    <w:p>
      <w:pPr>
        <w:pStyle w:val="TextBody"/>
        <w:spacing w:before="0" w:after="0"/>
        <w:jc w:val="both"/>
        <w:rPr/>
      </w:pPr>
      <w:r>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mortgage loan servicing, net and bank owned life insurance and were approximately 84.6% and 82.8% of total revenues at June 30, 2019 and 2018,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5" w:name="DSPFPageBreakArea56"/>
      <w:bookmarkStart w:id="586" w:name="DSPFPageBreakArea56"/>
      <w:bookmarkEnd w:id="5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87" w:name="DSPFPageNumber56"/>
      <w:bookmarkStart w:id="588" w:name="DSPFPageNumberArea55"/>
      <w:bookmarkEnd w:id="587"/>
      <w:bookmarkEnd w:id="588"/>
      <w:r>
        <w:rPr>
          <w:b w:val="false"/>
          <w:i w:val="false"/>
          <w:caps w:val="false"/>
          <w:smallCaps w:val="false"/>
          <w:sz w:val="13"/>
        </w:rPr>
        <w:t>57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89" w:name="DSPFPageBreak56"/>
      <w:bookmarkStart w:id="590" w:name="DSPFPageBreak56"/>
      <w:bookmarkEnd w:id="5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91" w:name="DSPFPageHeader55"/>
        <w:bookmarkEnd w:id="591"/>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June 30, 2019 and December 31, 2018.</w:t>
      </w:r>
    </w:p>
    <w:p>
      <w:pPr>
        <w:pStyle w:val="TextBody"/>
        <w:spacing w:before="0" w:after="0"/>
        <w:rPr/>
      </w:pPr>
      <w:r>
        <w:rPr/>
      </w:r>
    </w:p>
    <w:p>
      <w:pPr>
        <w:pStyle w:val="TextBody"/>
        <w:spacing w:before="0" w:after="0"/>
        <w:jc w:val="both"/>
        <w:rPr/>
      </w:pPr>
      <w:r>
        <w:rPr>
          <w:u w:val="single"/>
        </w:rPr>
        <w:t>Service charges on deposit accounts and other deposit related income</w:t>
      </w:r>
      <w:r>
        <w:rPr>
          <w:b w:val="false"/>
          <w:u w:val="single"/>
        </w:rPr>
        <w:t>:</w:t>
      </w:r>
      <w:r>
        <w:rPr/>
        <w:t>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pStyle w:val="TextBody"/>
        <w:spacing w:before="0" w:after="0"/>
        <w:rPr/>
      </w:pPr>
      <w:r>
        <w:rPr/>
      </w:r>
    </w:p>
    <w:p>
      <w:pPr>
        <w:pStyle w:val="TextBody"/>
        <w:spacing w:before="0" w:after="0"/>
        <w:jc w:val="both"/>
        <w:rPr/>
      </w:pPr>
      <w:r>
        <w:rPr>
          <w:u w:val="single"/>
        </w:rPr>
        <w:t>Interchange income:</w:t>
      </w:r>
      <w:r>
        <w:rPr/>
        <w:t> Interchange income primarily includes debit card interchange and network revenues.  Debit card 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pStyle w:val="TextBody"/>
        <w:spacing w:before="0" w:after="0"/>
        <w:rPr/>
      </w:pPr>
      <w:r>
        <w:rPr/>
      </w:r>
    </w:p>
    <w:p>
      <w:pPr>
        <w:pStyle w:val="TextBody"/>
        <w:spacing w:before="0" w:after="0"/>
        <w:jc w:val="both"/>
        <w:rPr/>
      </w:pPr>
      <w:r>
        <w:rPr>
          <w:u w:val="single"/>
        </w:rPr>
        <w:t>Investment and insurance commissions:</w:t>
      </w:r>
      <w:r>
        <w:rPr/>
        <w:t>  Investment and insurance commissions include fees and commissions from asset management, custody, recordkeeping, investment advisory and other services provided to our customers. 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pStyle w:val="TextBody"/>
        <w:spacing w:before="0" w:after="0"/>
        <w:rPr/>
      </w:pPr>
      <w:r>
        <w:rPr/>
      </w:r>
    </w:p>
    <w:p>
      <w:pPr>
        <w:pStyle w:val="TextBody"/>
        <w:spacing w:before="0" w:after="0"/>
        <w:jc w:val="both"/>
        <w:rPr/>
      </w:pPr>
      <w:r>
        <w:rPr>
          <w:u w:val="single"/>
        </w:rPr>
        <w:t>Net (gains) losses on other real estate and repossessed assets:</w:t>
      </w:r>
      <w:r>
        <w:rPr/>
        <w:t>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and six month periods ending June 30, 2019 and 2018 that were financed by us.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92" w:name="DSPFPageBreakArea57"/>
      <w:bookmarkStart w:id="593" w:name="DSPFPageBreakArea57"/>
      <w:bookmarkEnd w:id="5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594" w:name="DSPFPageNumber57"/>
      <w:bookmarkStart w:id="595" w:name="DSPFPageNumberArea56"/>
      <w:bookmarkEnd w:id="594"/>
      <w:bookmarkEnd w:id="595"/>
      <w:r>
        <w:rPr>
          <w:b w:val="false"/>
          <w:i w:val="false"/>
          <w:caps w:val="false"/>
          <w:smallCaps w:val="false"/>
          <w:sz w:val="13"/>
        </w:rPr>
        <w:t>58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96" w:name="DSPFPageBreak57"/>
      <w:bookmarkStart w:id="597" w:name="DSPFPageBreak57"/>
      <w:bookmarkEnd w:id="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598" w:name="DSPFPageHeader56"/>
        <w:bookmarkEnd w:id="598"/>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pPr>
      <w:r>
        <w:rPr/>
        <w:t>Disaggregation of our revenue sources by attribute follows:</w:t>
      </w:r>
    </w:p>
    <w:p>
      <w:pPr>
        <w:pStyle w:val="TextBody"/>
        <w:spacing w:before="0" w:after="0"/>
        <w:rPr/>
      </w:pPr>
      <w:r>
        <w:rPr/>
      </w:r>
    </w:p>
    <w:p>
      <w:pPr>
        <w:pStyle w:val="Normal"/>
        <w:spacing w:before="0" w:after="0"/>
        <w:rPr>
          <w:sz w:val="4"/>
          <w:szCs w:val="4"/>
        </w:rPr>
      </w:pPr>
      <w:r>
        <w:rPr>
          <w:sz w:val="4"/>
          <w:szCs w:val="4"/>
        </w:rPr>
      </w:r>
      <w:bookmarkStart w:id="599" w:name="zd033ef4aa27c4e86b992850fe8d4d3b5"/>
      <w:bookmarkStart w:id="600" w:name="zd033ef4aa27c4e86b992850fe8d4d3b5"/>
      <w:bookmarkEnd w:id="600"/>
    </w:p>
    <w:tbl>
      <w:tblPr>
        <w:tblW w:w="9941" w:type="dxa"/>
        <w:jc w:val="left"/>
        <w:tblInd w:w="0" w:type="dxa"/>
        <w:tblCellMar>
          <w:top w:w="0" w:type="dxa"/>
          <w:left w:w="0" w:type="dxa"/>
          <w:bottom w:w="0" w:type="dxa"/>
          <w:right w:w="0" w:type="dxa"/>
        </w:tblCellMar>
      </w:tblPr>
      <w:tblGrid>
        <w:gridCol w:w="2750"/>
        <w:gridCol w:w="90"/>
        <w:gridCol w:w="317"/>
        <w:gridCol w:w="1271"/>
        <w:gridCol w:w="90"/>
        <w:gridCol w:w="90"/>
        <w:gridCol w:w="305"/>
        <w:gridCol w:w="831"/>
        <w:gridCol w:w="90"/>
        <w:gridCol w:w="90"/>
        <w:gridCol w:w="340"/>
        <w:gridCol w:w="1367"/>
        <w:gridCol w:w="60"/>
        <w:gridCol w:w="60"/>
        <w:gridCol w:w="348"/>
        <w:gridCol w:w="947"/>
        <w:gridCol w:w="60"/>
        <w:gridCol w:w="60"/>
        <w:gridCol w:w="140"/>
        <w:gridCol w:w="560"/>
        <w:gridCol w:w="75"/>
      </w:tblGrid>
      <w:tr>
        <w:trPr/>
        <w:tc>
          <w:tcPr>
            <w:tcW w:w="9866" w:type="dxa"/>
            <w:gridSpan w:val="20"/>
            <w:tcBorders/>
            <w:shd w:fill="auto" w:val="clear"/>
            <w:vAlign w:val="bottom"/>
          </w:tcPr>
          <w:p>
            <w:pPr>
              <w:pStyle w:val="TableContents"/>
              <w:spacing w:before="0" w:after="0"/>
              <w:rPr/>
            </w:pPr>
            <w:r>
              <w:rPr/>
              <w:t>Three months ending June 30, 2019</w:t>
            </w:r>
          </w:p>
        </w:tc>
        <w:tc>
          <w:tcPr>
            <w:tcW w:w="75" w:type="dxa"/>
            <w:tcBorders/>
            <w:shd w:fill="auto" w:val="clear"/>
            <w:vAlign w:val="bottom"/>
          </w:tcPr>
          <w:p>
            <w:pPr>
              <w:pStyle w:val="TableContents"/>
              <w:spacing w:before="0" w:after="283"/>
              <w:ind w:left="180" w:right="0" w:hanging="180"/>
              <w:rPr/>
            </w:pPr>
            <w:r>
              <w:rPr/>
              <w:t> </w:t>
            </w:r>
          </w:p>
        </w:tc>
      </w:tr>
      <w:tr>
        <w:trPr/>
        <w:tc>
          <w:tcPr>
            <w:tcW w:w="275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588"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Service</w:t>
            </w:r>
          </w:p>
          <w:p>
            <w:pPr>
              <w:pStyle w:val="TableContents"/>
              <w:spacing w:before="0" w:after="0"/>
              <w:jc w:val="center"/>
              <w:rPr>
                <w:color w:val="000000"/>
              </w:rPr>
            </w:pPr>
            <w:r>
              <w:rPr>
                <w:color w:val="000000"/>
              </w:rPr>
              <w:t>Charges</w:t>
            </w:r>
          </w:p>
          <w:p>
            <w:pPr>
              <w:pStyle w:val="TableContents"/>
              <w:spacing w:before="0" w:after="0"/>
              <w:jc w:val="center"/>
              <w:rPr>
                <w:color w:val="000000"/>
              </w:rPr>
            </w:pPr>
            <w:r>
              <w:rPr>
                <w:color w:val="000000"/>
              </w:rPr>
              <w:t>on Deposit</w:t>
            </w:r>
          </w:p>
          <w:p>
            <w:pPr>
              <w:pStyle w:val="TableContents"/>
              <w:spacing w:before="0" w:after="0"/>
              <w:jc w:val="center"/>
              <w:rPr>
                <w:color w:val="000000"/>
              </w:rPr>
            </w:pPr>
            <w:r>
              <w:rPr>
                <w:color w:val="000000"/>
              </w:rPr>
              <w:t>Accounts</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Other</w:t>
            </w:r>
          </w:p>
          <w:p>
            <w:pPr>
              <w:pStyle w:val="TableContents"/>
              <w:spacing w:before="0" w:after="0"/>
              <w:jc w:val="center"/>
              <w:rPr>
                <w:color w:val="000000"/>
              </w:rPr>
            </w:pPr>
            <w:r>
              <w:rPr>
                <w:color w:val="000000"/>
              </w:rPr>
              <w:t>Deposit</w:t>
            </w:r>
          </w:p>
          <w:p>
            <w:pPr>
              <w:pStyle w:val="TableContents"/>
              <w:spacing w:before="0" w:after="0"/>
              <w:jc w:val="center"/>
              <w:rPr>
                <w:color w:val="000000"/>
              </w:rPr>
            </w:pPr>
            <w:r>
              <w:rPr>
                <w:color w:val="000000"/>
              </w:rPr>
              <w:t>Related</w:t>
            </w:r>
          </w:p>
          <w:p>
            <w:pPr>
              <w:pStyle w:val="TableContents"/>
              <w:spacing w:before="0" w:after="0"/>
              <w:jc w:val="center"/>
              <w:rPr>
                <w:color w:val="000000"/>
              </w:rPr>
            </w:pPr>
            <w:r>
              <w:rPr>
                <w:color w:val="000000"/>
              </w:rPr>
              <w:t>Income</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707"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Interchange</w:t>
            </w:r>
          </w:p>
          <w:p>
            <w:pPr>
              <w:pStyle w:val="TableContents"/>
              <w:spacing w:before="0" w:after="0"/>
              <w:jc w:val="center"/>
              <w:rPr>
                <w:color w:val="000000"/>
              </w:rPr>
            </w:pPr>
            <w:r>
              <w:rPr>
                <w:color w:val="000000"/>
              </w:rPr>
              <w:t>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Investment</w:t>
            </w:r>
          </w:p>
          <w:p>
            <w:pPr>
              <w:pStyle w:val="TableContents"/>
              <w:spacing w:before="0" w:after="0"/>
              <w:jc w:val="center"/>
              <w:rPr>
                <w:color w:val="000000"/>
              </w:rPr>
            </w:pPr>
            <w:r>
              <w:rPr>
                <w:color w:val="000000"/>
              </w:rPr>
              <w:t>and</w:t>
            </w:r>
          </w:p>
          <w:p>
            <w:pPr>
              <w:pStyle w:val="TableContents"/>
              <w:spacing w:before="0" w:after="0"/>
              <w:jc w:val="center"/>
              <w:rPr>
                <w:color w:val="000000"/>
              </w:rPr>
            </w:pPr>
            <w:r>
              <w:rPr>
                <w:color w:val="000000"/>
              </w:rPr>
              <w:t>Insurance</w:t>
            </w:r>
          </w:p>
          <w:p>
            <w:pPr>
              <w:pStyle w:val="TableContents"/>
              <w:spacing w:before="0" w:after="0"/>
              <w:jc w:val="center"/>
              <w:rPr>
                <w:color w:val="000000"/>
              </w:rPr>
            </w:pPr>
            <w:r>
              <w:rPr>
                <w:color w:val="000000"/>
              </w:rPr>
              <w:t>Commissions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Total</w:t>
            </w:r>
          </w:p>
        </w:tc>
        <w:tc>
          <w:tcPr>
            <w:tcW w:w="75" w:type="dxa"/>
            <w:tcBorders/>
            <w:shd w:fill="auto" w:val="clear"/>
            <w:vAlign w:val="bottom"/>
          </w:tcPr>
          <w:p>
            <w:pPr>
              <w:pStyle w:val="TableContents"/>
              <w:spacing w:before="0" w:after="283"/>
              <w:ind w:left="180" w:right="0" w:hanging="180"/>
              <w:rPr/>
            </w:pPr>
            <w:r>
              <w:rPr/>
              <w:t> </w:t>
            </w:r>
          </w:p>
        </w:tc>
      </w:tr>
      <w:tr>
        <w:trPr/>
        <w:tc>
          <w:tcPr>
            <w:tcW w:w="275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7026" w:type="dxa"/>
            <w:gridSpan w:val="18"/>
            <w:tcBorders/>
            <w:shd w:fill="auto" w:val="clear"/>
            <w:vAlign w:val="bottom"/>
          </w:tcPr>
          <w:p>
            <w:pPr>
              <w:pStyle w:val="TableContents"/>
              <w:spacing w:before="0" w:after="0"/>
              <w:jc w:val="center"/>
              <w:rPr>
                <w:color w:val="000000"/>
              </w:rPr>
            </w:pPr>
            <w:r>
              <w:rPr>
                <w:color w:val="000000"/>
              </w:rPr>
              <w:t>(In thousands)</w:t>
            </w:r>
          </w:p>
        </w:tc>
        <w:tc>
          <w:tcPr>
            <w:tcW w:w="75" w:type="dxa"/>
            <w:tcBorders/>
            <w:shd w:fill="auto" w:val="clear"/>
            <w:vAlign w:val="bottom"/>
          </w:tcPr>
          <w:p>
            <w:pPr>
              <w:pStyle w:val="TableContents"/>
              <w:spacing w:before="0" w:after="283"/>
              <w:rPr/>
            </w:pPr>
            <w:r>
              <w:rPr/>
              <w:t> </w:t>
            </w:r>
          </w:p>
        </w:tc>
      </w:tr>
      <w:tr>
        <w:trPr/>
        <w:tc>
          <w:tcPr>
            <w:tcW w:w="2750" w:type="dxa"/>
            <w:tcBorders/>
            <w:shd w:fill="auto" w:val="clear"/>
            <w:vAlign w:val="bottom"/>
          </w:tcPr>
          <w:p>
            <w:pPr>
              <w:pStyle w:val="TableContents"/>
              <w:spacing w:before="0" w:after="0"/>
              <w:ind w:left="180" w:right="0" w:hanging="180"/>
              <w:rPr>
                <w:color w:val="000000"/>
              </w:rPr>
            </w:pPr>
            <w:r>
              <w:rPr>
                <w:color w:val="000000"/>
              </w:rPr>
              <w:t>Retail</w:t>
            </w:r>
          </w:p>
        </w:tc>
        <w:tc>
          <w:tcPr>
            <w:tcW w:w="90"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707"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Overdraft fees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0"/>
              <w:rPr>
                <w:color w:val="000000"/>
              </w:rPr>
            </w:pPr>
            <w:r>
              <w:rPr>
                <w:color w:val="000000"/>
              </w:rPr>
              <w:t>$</w:t>
            </w:r>
          </w:p>
        </w:tc>
        <w:tc>
          <w:tcPr>
            <w:tcW w:w="1271" w:type="dxa"/>
            <w:tcBorders/>
            <w:shd w:fill="CCEEFF" w:val="clear"/>
            <w:vAlign w:val="bottom"/>
          </w:tcPr>
          <w:p>
            <w:pPr>
              <w:pStyle w:val="TableContents"/>
              <w:spacing w:before="0" w:after="0"/>
              <w:jc w:val="right"/>
              <w:rPr>
                <w:color w:val="000000"/>
              </w:rPr>
            </w:pPr>
            <w:r>
              <w:rPr>
                <w:color w:val="000000"/>
              </w:rPr>
              <w:t>1,882</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1,882</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Account service charges</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541</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83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541</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ATM fees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0"/>
              <w:rPr>
                <w:color w:val="000000"/>
              </w:rPr>
            </w:pPr>
            <w:r>
              <w:rPr>
                <w:color w:val="000000"/>
              </w:rPr>
              <w:t>$</w:t>
            </w:r>
          </w:p>
        </w:tc>
        <w:tc>
          <w:tcPr>
            <w:tcW w:w="831" w:type="dxa"/>
            <w:tcBorders/>
            <w:shd w:fill="CCEEFF" w:val="clear"/>
            <w:vAlign w:val="bottom"/>
          </w:tcPr>
          <w:p>
            <w:pPr>
              <w:pStyle w:val="TableContents"/>
              <w:spacing w:before="0" w:after="0"/>
              <w:jc w:val="right"/>
              <w:rPr>
                <w:color w:val="000000"/>
              </w:rPr>
            </w:pPr>
            <w:r>
              <w:rPr>
                <w:color w:val="000000"/>
              </w:rPr>
              <w:t>346</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346</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Other</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831" w:type="dxa"/>
            <w:tcBorders/>
            <w:shd w:fill="FFFFFF" w:val="clear"/>
            <w:vAlign w:val="bottom"/>
          </w:tcPr>
          <w:p>
            <w:pPr>
              <w:pStyle w:val="TableContents"/>
              <w:spacing w:before="0" w:after="0"/>
              <w:jc w:val="right"/>
              <w:rPr/>
            </w:pPr>
            <w:r>
              <w:rPr/>
              <w:t>212</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212</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180" w:right="0" w:hanging="180"/>
              <w:rPr>
                <w:color w:val="000000"/>
              </w:rPr>
            </w:pPr>
            <w:r>
              <w:rPr>
                <w:color w:val="000000"/>
              </w:rPr>
              <w:t>Business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Overdraft fees</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377</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83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377</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Account service charges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ATM fees</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831" w:type="dxa"/>
            <w:tcBorders/>
            <w:shd w:fill="FFFFFF" w:val="clear"/>
            <w:vAlign w:val="bottom"/>
          </w:tcPr>
          <w:p>
            <w:pPr>
              <w:pStyle w:val="TableContents"/>
              <w:spacing w:before="0" w:after="0"/>
              <w:jc w:val="right"/>
              <w:rPr>
                <w:color w:val="000000"/>
              </w:rPr>
            </w:pPr>
            <w:r>
              <w:rPr>
                <w:color w:val="000000"/>
              </w:rPr>
              <w:t>9</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9</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Other</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0"/>
              <w:jc w:val="right"/>
              <w:rPr/>
            </w:pPr>
            <w:r>
              <w:rPr/>
              <w:t>89</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89</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180" w:right="0" w:hanging="180"/>
              <w:rPr>
                <w:color w:val="000000"/>
              </w:rPr>
            </w:pPr>
            <w:r>
              <w:rPr>
                <w:color w:val="000000"/>
              </w:rPr>
              <w:t>Interchange income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83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0"/>
              <w:rPr>
                <w:color w:val="000000"/>
              </w:rPr>
            </w:pPr>
            <w:r>
              <w:rPr>
                <w:color w:val="000000"/>
              </w:rPr>
              <w:t>$</w:t>
            </w:r>
          </w:p>
        </w:tc>
        <w:tc>
          <w:tcPr>
            <w:tcW w:w="1367" w:type="dxa"/>
            <w:tcBorders/>
            <w:shd w:fill="FFFFFF" w:val="clear"/>
            <w:vAlign w:val="bottom"/>
          </w:tcPr>
          <w:p>
            <w:pPr>
              <w:pStyle w:val="TableContents"/>
              <w:spacing w:before="0" w:after="0"/>
              <w:jc w:val="right"/>
              <w:rPr>
                <w:color w:val="000000"/>
              </w:rPr>
            </w:pPr>
            <w:r>
              <w:rPr>
                <w:color w:val="000000"/>
              </w:rPr>
              <w:t>2,604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2,604</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180" w:right="0" w:hanging="180"/>
              <w:rPr>
                <w:color w:val="000000"/>
              </w:rPr>
            </w:pPr>
            <w:r>
              <w:rPr>
                <w:color w:val="000000"/>
              </w:rPr>
              <w:t>Asset management revenue</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0"/>
              <w:rPr>
                <w:color w:val="000000"/>
              </w:rPr>
            </w:pPr>
            <w:r>
              <w:rPr>
                <w:color w:val="000000"/>
              </w:rPr>
              <w:t>$</w:t>
            </w:r>
          </w:p>
        </w:tc>
        <w:tc>
          <w:tcPr>
            <w:tcW w:w="947" w:type="dxa"/>
            <w:tcBorders/>
            <w:shd w:fill="CCEEFF" w:val="clear"/>
            <w:vAlign w:val="bottom"/>
          </w:tcPr>
          <w:p>
            <w:pPr>
              <w:pStyle w:val="TableContents"/>
              <w:spacing w:before="0" w:after="0"/>
              <w:jc w:val="right"/>
              <w:rPr>
                <w:color w:val="000000"/>
              </w:rPr>
            </w:pPr>
            <w:r>
              <w:rPr>
                <w:color w:val="000000"/>
              </w:rPr>
              <w:t>277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277</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180" w:right="0" w:hanging="180"/>
              <w:rPr>
                <w:color w:val="000000"/>
              </w:rPr>
            </w:pPr>
            <w:r>
              <w:rPr>
                <w:color w:val="000000"/>
              </w:rPr>
              <w:t>Transaction based revenue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83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173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173</w:t>
            </w:r>
          </w:p>
        </w:tc>
        <w:tc>
          <w:tcPr>
            <w:tcW w:w="75" w:type="dxa"/>
            <w:tcBorders/>
            <w:shd w:fill="FFFFFF" w:val="clear"/>
            <w:vAlign w:val="bottom"/>
          </w:tcPr>
          <w:p>
            <w:pPr>
              <w:pStyle w:val="TableContents"/>
              <w:spacing w:before="0" w:after="283"/>
              <w:ind w:left="180" w:right="0" w:hanging="180"/>
              <w:rPr/>
            </w:pPr>
            <w:r>
              <w:rPr/>
              <w:t> </w:t>
            </w:r>
          </w:p>
        </w:tc>
      </w:tr>
      <w:tr>
        <w:trPr/>
        <w:tc>
          <w:tcPr>
            <w:tcW w:w="275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31"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36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4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Total</w:t>
            </w:r>
          </w:p>
        </w:tc>
        <w:tc>
          <w:tcPr>
            <w:tcW w:w="90" w:type="dxa"/>
            <w:tcBorders/>
            <w:shd w:fill="FFFFFF" w:val="clear"/>
            <w:vAlign w:val="bottom"/>
          </w:tcPr>
          <w:p>
            <w:pPr>
              <w:pStyle w:val="TableContents"/>
              <w:spacing w:before="0" w:after="283"/>
              <w:rPr/>
            </w:pPr>
            <w:r>
              <w:rPr/>
              <w:t> </w:t>
            </w:r>
          </w:p>
        </w:tc>
        <w:tc>
          <w:tcPr>
            <w:tcW w:w="317"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1271"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2,800</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05"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831"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656</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1367"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2,604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947"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450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6,510</w:t>
            </w:r>
          </w:p>
        </w:tc>
        <w:tc>
          <w:tcPr>
            <w:tcW w:w="75" w:type="dxa"/>
            <w:tcBorders/>
            <w:shd w:fill="FFFFFF" w:val="clear"/>
            <w:vAlign w:val="bottom"/>
          </w:tcPr>
          <w:p>
            <w:pPr>
              <w:pStyle w:val="TableContents"/>
              <w:spacing w:before="0" w:after="283"/>
              <w:ind w:left="180" w:right="0" w:hanging="180"/>
              <w:rPr/>
            </w:pPr>
            <w:r>
              <w:rPr/>
              <w:t> </w:t>
            </w:r>
          </w:p>
        </w:tc>
      </w:tr>
      <w:tr>
        <w:trPr/>
        <w:tc>
          <w:tcPr>
            <w:tcW w:w="275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7631" w:type="dxa"/>
            <w:gridSpan w:val="12"/>
            <w:tcBorders/>
            <w:shd w:fill="FFFFFF" w:val="clear"/>
            <w:vAlign w:val="bottom"/>
          </w:tcPr>
          <w:p>
            <w:pPr>
              <w:pStyle w:val="TableContents"/>
              <w:spacing w:before="0" w:after="0"/>
              <w:ind w:left="180" w:right="0" w:hanging="180"/>
              <w:rPr>
                <w:color w:val="000000"/>
              </w:rPr>
            </w:pPr>
            <w:r>
              <w:rPr>
                <w:color w:val="000000"/>
              </w:rPr>
              <w:t>Reconciliation to Condensed Consolidated Statement of Operations:</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Non-interest income - other:</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540" w:right="0" w:hanging="180"/>
              <w:rPr>
                <w:color w:val="000000"/>
              </w:rPr>
            </w:pPr>
            <w:r>
              <w:rPr>
                <w:color w:val="000000"/>
              </w:rPr>
              <w:t>Other deposit related income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83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color w:val="000000"/>
              </w:rPr>
            </w:pPr>
            <w:r>
              <w:rPr>
                <w:color w:val="000000"/>
              </w:rPr>
              <w:t>$</w:t>
            </w:r>
          </w:p>
        </w:tc>
        <w:tc>
          <w:tcPr>
            <w:tcW w:w="560" w:type="dxa"/>
            <w:tcBorders/>
            <w:shd w:fill="FFFFFF" w:val="clear"/>
            <w:vAlign w:val="bottom"/>
          </w:tcPr>
          <w:p>
            <w:pPr>
              <w:pStyle w:val="TableContents"/>
              <w:spacing w:before="0" w:after="0"/>
              <w:jc w:val="right"/>
              <w:rPr>
                <w:color w:val="000000"/>
              </w:rPr>
            </w:pPr>
            <w:r>
              <w:rPr>
                <w:color w:val="000000"/>
              </w:rPr>
              <w:t>656</w:t>
            </w:r>
          </w:p>
        </w:tc>
        <w:tc>
          <w:tcPr>
            <w:tcW w:w="75" w:type="dxa"/>
            <w:tcBorders/>
            <w:shd w:fill="FFFFFF" w:val="clear"/>
            <w:vAlign w:val="bottom"/>
          </w:tcPr>
          <w:p>
            <w:pPr>
              <w:pStyle w:val="TableContents"/>
              <w:spacing w:before="0" w:after="283"/>
              <w:rPr/>
            </w:pPr>
            <w:r>
              <w:rPr/>
              <w:t> </w:t>
            </w:r>
          </w:p>
        </w:tc>
      </w:tr>
      <w:tr>
        <w:trPr/>
        <w:tc>
          <w:tcPr>
            <w:tcW w:w="4428" w:type="dxa"/>
            <w:gridSpan w:val="4"/>
            <w:tcBorders/>
            <w:shd w:fill="CCEEFF" w:val="clear"/>
            <w:vAlign w:val="bottom"/>
          </w:tcPr>
          <w:p>
            <w:pPr>
              <w:pStyle w:val="TableContents"/>
              <w:spacing w:before="0" w:after="0"/>
              <w:ind w:left="540" w:right="0" w:hanging="180"/>
              <w:rPr>
                <w:color w:val="000000"/>
              </w:rPr>
            </w:pPr>
            <w:r>
              <w:rPr>
                <w:color w:val="000000"/>
              </w:rPr>
              <w:t>Investment and insurance commissions</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450</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540" w:right="0" w:hanging="180"/>
              <w:rPr>
                <w:color w:val="000000"/>
              </w:rPr>
            </w:pPr>
            <w:r>
              <w:rPr>
                <w:color w:val="000000"/>
              </w:rPr>
              <w:t>Bank owned life insurance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83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270</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540" w:right="0" w:hanging="180"/>
              <w:rPr>
                <w:color w:val="000000"/>
              </w:rPr>
            </w:pPr>
            <w:r>
              <w:rPr>
                <w:color w:val="000000"/>
              </w:rPr>
              <w:t>Other</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83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730</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720" w:right="0" w:hanging="180"/>
              <w:rPr>
                <w:color w:val="000000"/>
              </w:rPr>
            </w:pPr>
            <w:r>
              <w:rPr>
                <w:color w:val="000000"/>
              </w:rPr>
              <w:t>Total</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83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2,106</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01" w:name="DSPFPageBreakArea58"/>
      <w:bookmarkStart w:id="602" w:name="DSPFPageBreakArea58"/>
      <w:bookmarkEnd w:id="6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03" w:name="DSPFPageNumber58"/>
      <w:bookmarkStart w:id="604" w:name="DSPFPageNumberArea57"/>
      <w:bookmarkEnd w:id="603"/>
      <w:bookmarkEnd w:id="604"/>
      <w:r>
        <w:rPr>
          <w:b w:val="false"/>
          <w:i w:val="false"/>
          <w:caps w:val="false"/>
          <w:smallCaps w:val="false"/>
          <w:sz w:val="13"/>
        </w:rPr>
        <w:t>59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05" w:name="DSPFPageBreak58"/>
      <w:bookmarkStart w:id="606" w:name="DSPFPageBreak58"/>
      <w:bookmarkEnd w:id="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07" w:name="DSPFPageHeader57"/>
        <w:bookmarkEnd w:id="607"/>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Normal"/>
        <w:spacing w:before="0" w:after="0"/>
        <w:rPr>
          <w:sz w:val="4"/>
          <w:szCs w:val="4"/>
        </w:rPr>
      </w:pPr>
      <w:r>
        <w:rPr>
          <w:sz w:val="4"/>
          <w:szCs w:val="4"/>
        </w:rPr>
      </w:r>
      <w:bookmarkStart w:id="608" w:name="z4ffed96610c6438cbb9bb409157fffaf"/>
      <w:bookmarkStart w:id="609" w:name="z4ffed96610c6438cbb9bb409157fffaf"/>
      <w:bookmarkEnd w:id="609"/>
    </w:p>
    <w:tbl>
      <w:tblPr>
        <w:tblW w:w="8990" w:type="dxa"/>
        <w:jc w:val="left"/>
        <w:tblInd w:w="0" w:type="dxa"/>
        <w:tblCellMar>
          <w:top w:w="0" w:type="dxa"/>
          <w:left w:w="0" w:type="dxa"/>
          <w:bottom w:w="0" w:type="dxa"/>
          <w:right w:w="0" w:type="dxa"/>
        </w:tblCellMar>
      </w:tblPr>
      <w:tblGrid>
        <w:gridCol w:w="3440"/>
        <w:gridCol w:w="60"/>
        <w:gridCol w:w="211"/>
        <w:gridCol w:w="844"/>
        <w:gridCol w:w="60"/>
        <w:gridCol w:w="60"/>
        <w:gridCol w:w="203"/>
        <w:gridCol w:w="552"/>
        <w:gridCol w:w="60"/>
        <w:gridCol w:w="60"/>
        <w:gridCol w:w="226"/>
        <w:gridCol w:w="904"/>
        <w:gridCol w:w="60"/>
        <w:gridCol w:w="60"/>
        <w:gridCol w:w="348"/>
        <w:gridCol w:w="947"/>
        <w:gridCol w:w="60"/>
        <w:gridCol w:w="60"/>
        <w:gridCol w:w="140"/>
        <w:gridCol w:w="560"/>
        <w:gridCol w:w="75"/>
      </w:tblGrid>
      <w:tr>
        <w:trPr/>
        <w:tc>
          <w:tcPr>
            <w:tcW w:w="3440" w:type="dxa"/>
            <w:tcBorders/>
            <w:shd w:fill="auto" w:val="clear"/>
            <w:vAlign w:val="bottom"/>
          </w:tcPr>
          <w:p>
            <w:pPr>
              <w:pStyle w:val="TableContents"/>
              <w:spacing w:before="0" w:after="0"/>
              <w:rPr/>
            </w:pPr>
            <w:r>
              <w:rPr/>
              <w:t>Three months ending June 30, 2018</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Service</w:t>
            </w:r>
          </w:p>
          <w:p>
            <w:pPr>
              <w:pStyle w:val="TableContents"/>
              <w:spacing w:before="0" w:after="0"/>
              <w:jc w:val="center"/>
              <w:rPr>
                <w:color w:val="000000"/>
              </w:rPr>
            </w:pPr>
            <w:r>
              <w:rPr>
                <w:color w:val="000000"/>
              </w:rPr>
              <w:t>Charges</w:t>
            </w:r>
          </w:p>
          <w:p>
            <w:pPr>
              <w:pStyle w:val="TableContents"/>
              <w:spacing w:before="0" w:after="0"/>
              <w:jc w:val="center"/>
              <w:rPr>
                <w:color w:val="000000"/>
              </w:rPr>
            </w:pPr>
            <w:r>
              <w:rPr>
                <w:color w:val="000000"/>
              </w:rPr>
              <w:t>on Deposit</w:t>
            </w:r>
          </w:p>
          <w:p>
            <w:pPr>
              <w:pStyle w:val="TableContents"/>
              <w:spacing w:before="0" w:after="0"/>
              <w:jc w:val="center"/>
              <w:rPr>
                <w:color w:val="000000"/>
              </w:rPr>
            </w:pPr>
            <w:r>
              <w:rPr>
                <w:color w:val="000000"/>
              </w:rPr>
              <w:t>Accounts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Other</w:t>
            </w:r>
          </w:p>
          <w:p>
            <w:pPr>
              <w:pStyle w:val="TableContents"/>
              <w:spacing w:before="0" w:after="0"/>
              <w:jc w:val="center"/>
              <w:rPr>
                <w:color w:val="000000"/>
              </w:rPr>
            </w:pPr>
            <w:r>
              <w:rPr>
                <w:color w:val="000000"/>
              </w:rPr>
              <w:t>Deposit</w:t>
            </w:r>
          </w:p>
          <w:p>
            <w:pPr>
              <w:pStyle w:val="TableContents"/>
              <w:spacing w:before="0" w:after="0"/>
              <w:jc w:val="center"/>
              <w:rPr>
                <w:color w:val="000000"/>
              </w:rPr>
            </w:pPr>
            <w:r>
              <w:rPr>
                <w:color w:val="000000"/>
              </w:rPr>
              <w:t>Related</w:t>
            </w:r>
          </w:p>
          <w:p>
            <w:pPr>
              <w:pStyle w:val="TableContents"/>
              <w:spacing w:before="0" w:after="0"/>
              <w:jc w:val="center"/>
              <w:rPr>
                <w:color w:val="000000"/>
              </w:rPr>
            </w:pPr>
            <w:r>
              <w:rPr>
                <w:color w:val="000000"/>
              </w:rPr>
              <w:t>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Interchange</w:t>
            </w:r>
          </w:p>
          <w:p>
            <w:pPr>
              <w:pStyle w:val="TableContents"/>
              <w:spacing w:before="0" w:after="0"/>
              <w:jc w:val="center"/>
              <w:rPr>
                <w:color w:val="000000"/>
              </w:rPr>
            </w:pPr>
            <w:r>
              <w:rPr>
                <w:color w:val="000000"/>
              </w:rPr>
              <w:t>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Investment</w:t>
            </w:r>
          </w:p>
          <w:p>
            <w:pPr>
              <w:pStyle w:val="TableContents"/>
              <w:spacing w:before="0" w:after="0"/>
              <w:jc w:val="center"/>
              <w:rPr>
                <w:color w:val="000000"/>
              </w:rPr>
            </w:pPr>
            <w:r>
              <w:rPr>
                <w:color w:val="000000"/>
              </w:rPr>
              <w:t>and</w:t>
            </w:r>
          </w:p>
          <w:p>
            <w:pPr>
              <w:pStyle w:val="TableContents"/>
              <w:spacing w:before="0" w:after="0"/>
              <w:jc w:val="center"/>
              <w:rPr>
                <w:color w:val="000000"/>
              </w:rPr>
            </w:pPr>
            <w:r>
              <w:rPr>
                <w:color w:val="000000"/>
              </w:rPr>
              <w:t>Insurance</w:t>
            </w:r>
          </w:p>
          <w:p>
            <w:pPr>
              <w:pStyle w:val="TableContents"/>
              <w:spacing w:before="0" w:after="0"/>
              <w:jc w:val="center"/>
              <w:rPr>
                <w:color w:val="000000"/>
              </w:rPr>
            </w:pPr>
            <w:r>
              <w:rPr>
                <w:color w:val="000000"/>
              </w:rPr>
              <w:t>Commissions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Total</w:t>
            </w:r>
          </w:p>
        </w:tc>
        <w:tc>
          <w:tcPr>
            <w:tcW w:w="75" w:type="dxa"/>
            <w:tcBorders/>
            <w:shd w:fill="auto"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415" w:type="dxa"/>
            <w:gridSpan w:val="18"/>
            <w:tcBorders/>
            <w:shd w:fill="auto" w:val="clear"/>
            <w:vAlign w:val="bottom"/>
          </w:tcPr>
          <w:p>
            <w:pPr>
              <w:pStyle w:val="TableContents"/>
              <w:spacing w:before="0" w:after="0"/>
              <w:jc w:val="center"/>
              <w:rPr>
                <w:color w:val="000000"/>
              </w:rPr>
            </w:pPr>
            <w:r>
              <w:rPr>
                <w:color w:val="000000"/>
              </w:rPr>
              <w:t>(In thousands)</w:t>
            </w:r>
          </w:p>
        </w:tc>
        <w:tc>
          <w:tcPr>
            <w:tcW w:w="75" w:type="dxa"/>
            <w:tcBorders/>
            <w:shd w:fill="auto"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0"/>
              <w:ind w:left="180" w:right="0" w:hanging="180"/>
              <w:rPr>
                <w:color w:val="000000"/>
              </w:rPr>
            </w:pPr>
            <w:r>
              <w:rPr>
                <w:color w:val="000000"/>
              </w:rPr>
              <w:t>Retail</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360" w:right="0" w:hanging="180"/>
              <w:rPr>
                <w:color w:val="000000"/>
              </w:rPr>
            </w:pPr>
            <w:r>
              <w:rPr>
                <w:color w:val="000000"/>
              </w:rPr>
              <w:t>Overdraft fees</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0"/>
              <w:rPr>
                <w:color w:val="000000"/>
              </w:rPr>
            </w:pPr>
            <w:r>
              <w:rPr>
                <w:color w:val="000000"/>
              </w:rPr>
              <w:t>$</w:t>
            </w:r>
          </w:p>
        </w:tc>
        <w:tc>
          <w:tcPr>
            <w:tcW w:w="844" w:type="dxa"/>
            <w:tcBorders/>
            <w:shd w:fill="CCEEFF" w:val="clear"/>
            <w:vAlign w:val="bottom"/>
          </w:tcPr>
          <w:p>
            <w:pPr>
              <w:pStyle w:val="TableContents"/>
              <w:spacing w:before="0" w:after="0"/>
              <w:jc w:val="right"/>
              <w:rPr>
                <w:color w:val="000000"/>
              </w:rPr>
            </w:pPr>
            <w:r>
              <w:rPr>
                <w:color w:val="000000"/>
              </w:rPr>
              <w:t>2,044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2,044</w:t>
            </w:r>
          </w:p>
        </w:tc>
        <w:tc>
          <w:tcPr>
            <w:tcW w:w="75" w:type="dxa"/>
            <w:tcBorders/>
            <w:shd w:fill="CCEEFF" w:val="clear"/>
            <w:vAlign w:val="bottom"/>
          </w:tcPr>
          <w:p>
            <w:pPr>
              <w:pStyle w:val="TableContents"/>
              <w:spacing w:before="0" w:after="283"/>
              <w:rPr/>
            </w:pPr>
            <w:r>
              <w:rPr/>
              <w:t> </w:t>
            </w:r>
          </w:p>
        </w:tc>
      </w:tr>
      <w:tr>
        <w:trPr/>
        <w:tc>
          <w:tcPr>
            <w:tcW w:w="3440" w:type="dxa"/>
            <w:tcBorders/>
            <w:shd w:fill="FFFFFF" w:val="clear"/>
            <w:vAlign w:val="bottom"/>
          </w:tcPr>
          <w:p>
            <w:pPr>
              <w:pStyle w:val="TableContents"/>
              <w:spacing w:before="0" w:after="0"/>
              <w:ind w:left="360" w:right="0" w:hanging="180"/>
              <w:rPr>
                <w:color w:val="000000"/>
              </w:rPr>
            </w:pPr>
            <w:r>
              <w:rPr>
                <w:color w:val="000000"/>
              </w:rPr>
              <w:t>Account service charges</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color w:val="000000"/>
              </w:rPr>
            </w:pPr>
            <w:r>
              <w:rPr>
                <w:color w:val="000000"/>
              </w:rPr>
              <w:t>588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552"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904"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588</w:t>
            </w:r>
          </w:p>
        </w:tc>
        <w:tc>
          <w:tcPr>
            <w:tcW w:w="75" w:type="dxa"/>
            <w:tcBorders/>
            <w:shd w:fill="FFFFFF"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360" w:right="0" w:hanging="180"/>
              <w:rPr>
                <w:color w:val="000000"/>
              </w:rPr>
            </w:pPr>
            <w:r>
              <w:rPr>
                <w:color w:val="000000"/>
              </w:rPr>
              <w:t>ATM fees</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0"/>
              <w:rPr>
                <w:color w:val="000000"/>
              </w:rPr>
            </w:pPr>
            <w:r>
              <w:rPr>
                <w:color w:val="000000"/>
              </w:rPr>
              <w:t>$</w:t>
            </w:r>
          </w:p>
        </w:tc>
        <w:tc>
          <w:tcPr>
            <w:tcW w:w="552" w:type="dxa"/>
            <w:tcBorders/>
            <w:shd w:fill="CCEEFF" w:val="clear"/>
            <w:vAlign w:val="bottom"/>
          </w:tcPr>
          <w:p>
            <w:pPr>
              <w:pStyle w:val="TableContents"/>
              <w:spacing w:before="0" w:after="0"/>
              <w:jc w:val="right"/>
              <w:rPr>
                <w:color w:val="000000"/>
              </w:rPr>
            </w:pPr>
            <w:r>
              <w:rPr>
                <w:color w:val="000000"/>
              </w:rPr>
              <w:t>358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358</w:t>
            </w:r>
          </w:p>
        </w:tc>
        <w:tc>
          <w:tcPr>
            <w:tcW w:w="75" w:type="dxa"/>
            <w:tcBorders/>
            <w:shd w:fill="CCEEFF" w:val="clear"/>
            <w:vAlign w:val="bottom"/>
          </w:tcPr>
          <w:p>
            <w:pPr>
              <w:pStyle w:val="TableContents"/>
              <w:spacing w:before="0" w:after="283"/>
              <w:rPr/>
            </w:pPr>
            <w:r>
              <w:rPr/>
              <w:t> </w:t>
            </w:r>
          </w:p>
        </w:tc>
      </w:tr>
      <w:tr>
        <w:trPr/>
        <w:tc>
          <w:tcPr>
            <w:tcW w:w="3440" w:type="dxa"/>
            <w:tcBorders/>
            <w:shd w:fill="FFFFFF" w:val="clear"/>
            <w:vAlign w:val="bottom"/>
          </w:tcPr>
          <w:p>
            <w:pPr>
              <w:pStyle w:val="TableContents"/>
              <w:spacing w:before="0" w:after="0"/>
              <w:ind w:left="360" w:right="0" w:hanging="180"/>
              <w:rPr>
                <w:color w:val="000000"/>
              </w:rPr>
            </w:pPr>
            <w:r>
              <w:rPr>
                <w:color w:val="000000"/>
              </w:rPr>
              <w:t>Other</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552" w:type="dxa"/>
            <w:tcBorders/>
            <w:shd w:fill="FFFFFF" w:val="clear"/>
            <w:vAlign w:val="bottom"/>
          </w:tcPr>
          <w:p>
            <w:pPr>
              <w:pStyle w:val="TableContents"/>
              <w:spacing w:before="0" w:after="0"/>
              <w:jc w:val="right"/>
              <w:rPr/>
            </w:pPr>
            <w:r>
              <w:rPr/>
              <w:t>230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904"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230</w:t>
            </w:r>
          </w:p>
        </w:tc>
        <w:tc>
          <w:tcPr>
            <w:tcW w:w="75" w:type="dxa"/>
            <w:tcBorders/>
            <w:shd w:fill="FFFFFF"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180" w:right="0" w:hanging="180"/>
              <w:rPr>
                <w:color w:val="000000"/>
              </w:rPr>
            </w:pPr>
            <w:r>
              <w:rPr>
                <w:color w:val="000000"/>
              </w:rPr>
              <w:t>Business</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3440" w:type="dxa"/>
            <w:tcBorders/>
            <w:shd w:fill="FFFFFF" w:val="clear"/>
            <w:vAlign w:val="bottom"/>
          </w:tcPr>
          <w:p>
            <w:pPr>
              <w:pStyle w:val="TableContents"/>
              <w:spacing w:before="0" w:after="0"/>
              <w:ind w:left="360" w:right="0" w:hanging="180"/>
              <w:rPr>
                <w:color w:val="000000"/>
              </w:rPr>
            </w:pPr>
            <w:r>
              <w:rPr>
                <w:color w:val="000000"/>
              </w:rPr>
              <w:t>Overdraft fees</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color w:val="000000"/>
              </w:rPr>
            </w:pPr>
            <w:r>
              <w:rPr>
                <w:color w:val="000000"/>
              </w:rPr>
              <w:t>380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552"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904"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380</w:t>
            </w:r>
          </w:p>
        </w:tc>
        <w:tc>
          <w:tcPr>
            <w:tcW w:w="75" w:type="dxa"/>
            <w:tcBorders/>
            <w:shd w:fill="FFFFFF"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360" w:right="0" w:hanging="180"/>
              <w:rPr>
                <w:color w:val="000000"/>
              </w:rPr>
            </w:pPr>
            <w:r>
              <w:rPr>
                <w:color w:val="000000"/>
              </w:rPr>
              <w:t>Account service charges</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color w:val="000000"/>
              </w:rPr>
            </w:pPr>
            <w:r>
              <w:rPr>
                <w:color w:val="000000"/>
              </w:rPr>
              <w:t>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83</w:t>
            </w:r>
          </w:p>
        </w:tc>
        <w:tc>
          <w:tcPr>
            <w:tcW w:w="75" w:type="dxa"/>
            <w:tcBorders/>
            <w:shd w:fill="CCEEFF" w:val="clear"/>
            <w:vAlign w:val="bottom"/>
          </w:tcPr>
          <w:p>
            <w:pPr>
              <w:pStyle w:val="TableContents"/>
              <w:spacing w:before="0" w:after="283"/>
              <w:rPr/>
            </w:pPr>
            <w:r>
              <w:rPr/>
              <w:t> </w:t>
            </w:r>
          </w:p>
        </w:tc>
      </w:tr>
      <w:tr>
        <w:trPr/>
        <w:tc>
          <w:tcPr>
            <w:tcW w:w="3440" w:type="dxa"/>
            <w:tcBorders/>
            <w:shd w:fill="FFFFFF" w:val="clear"/>
            <w:vAlign w:val="bottom"/>
          </w:tcPr>
          <w:p>
            <w:pPr>
              <w:pStyle w:val="TableContents"/>
              <w:spacing w:before="0" w:after="0"/>
              <w:ind w:left="360" w:right="0" w:hanging="180"/>
              <w:rPr>
                <w:color w:val="000000"/>
              </w:rPr>
            </w:pPr>
            <w:r>
              <w:rPr>
                <w:color w:val="000000"/>
              </w:rPr>
              <w:t>ATM fees</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552" w:type="dxa"/>
            <w:tcBorders/>
            <w:shd w:fill="FFFFFF" w:val="clear"/>
            <w:vAlign w:val="bottom"/>
          </w:tcPr>
          <w:p>
            <w:pPr>
              <w:pStyle w:val="TableContents"/>
              <w:spacing w:before="0" w:after="0"/>
              <w:jc w:val="right"/>
              <w:rPr>
                <w:color w:val="000000"/>
              </w:rPr>
            </w:pPr>
            <w:r>
              <w:rPr>
                <w:color w:val="000000"/>
              </w:rPr>
              <w:t>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904"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8</w:t>
            </w:r>
          </w:p>
        </w:tc>
        <w:tc>
          <w:tcPr>
            <w:tcW w:w="75" w:type="dxa"/>
            <w:tcBorders/>
            <w:shd w:fill="FFFFFF"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360" w:right="0" w:hanging="180"/>
              <w:rPr>
                <w:color w:val="000000"/>
              </w:rPr>
            </w:pPr>
            <w:r>
              <w:rPr>
                <w:color w:val="000000"/>
              </w:rPr>
              <w:t>Other</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0"/>
              <w:jc w:val="right"/>
              <w:rPr/>
            </w:pPr>
            <w:r>
              <w:rPr/>
              <w:t>146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146</w:t>
            </w:r>
          </w:p>
        </w:tc>
        <w:tc>
          <w:tcPr>
            <w:tcW w:w="75" w:type="dxa"/>
            <w:tcBorders/>
            <w:shd w:fill="CCEEFF" w:val="clear"/>
            <w:vAlign w:val="bottom"/>
          </w:tcPr>
          <w:p>
            <w:pPr>
              <w:pStyle w:val="TableContents"/>
              <w:spacing w:before="0" w:after="283"/>
              <w:rPr/>
            </w:pPr>
            <w:r>
              <w:rPr/>
              <w:t> </w:t>
            </w:r>
          </w:p>
        </w:tc>
      </w:tr>
      <w:tr>
        <w:trPr/>
        <w:tc>
          <w:tcPr>
            <w:tcW w:w="3440" w:type="dxa"/>
            <w:tcBorders/>
            <w:shd w:fill="FFFFFF" w:val="clear"/>
            <w:vAlign w:val="bottom"/>
          </w:tcPr>
          <w:p>
            <w:pPr>
              <w:pStyle w:val="TableContents"/>
              <w:spacing w:before="0" w:after="0"/>
              <w:ind w:left="180" w:right="0" w:hanging="180"/>
              <w:rPr>
                <w:color w:val="000000"/>
              </w:rPr>
            </w:pPr>
            <w:r>
              <w:rPr>
                <w:color w:val="000000"/>
              </w:rPr>
              <w:t>Interchange income</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552"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0"/>
              <w:rPr>
                <w:color w:val="000000"/>
              </w:rPr>
            </w:pPr>
            <w:r>
              <w:rPr>
                <w:color w:val="000000"/>
              </w:rPr>
              <w:t>$</w:t>
            </w:r>
          </w:p>
        </w:tc>
        <w:tc>
          <w:tcPr>
            <w:tcW w:w="904" w:type="dxa"/>
            <w:tcBorders/>
            <w:shd w:fill="FFFFFF" w:val="clear"/>
            <w:vAlign w:val="bottom"/>
          </w:tcPr>
          <w:p>
            <w:pPr>
              <w:pStyle w:val="TableContents"/>
              <w:spacing w:before="0" w:after="0"/>
              <w:jc w:val="right"/>
              <w:rPr>
                <w:color w:val="000000"/>
              </w:rPr>
            </w:pPr>
            <w:r>
              <w:rPr>
                <w:color w:val="000000"/>
              </w:rPr>
              <w:t>2,504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2,504</w:t>
            </w:r>
          </w:p>
        </w:tc>
        <w:tc>
          <w:tcPr>
            <w:tcW w:w="75" w:type="dxa"/>
            <w:tcBorders/>
            <w:shd w:fill="FFFFFF"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180" w:right="0" w:hanging="180"/>
              <w:rPr>
                <w:color w:val="000000"/>
              </w:rPr>
            </w:pPr>
            <w:r>
              <w:rPr>
                <w:color w:val="000000"/>
              </w:rPr>
              <w:t>Asset management revenue</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0"/>
              <w:rPr>
                <w:color w:val="000000"/>
              </w:rPr>
            </w:pPr>
            <w:r>
              <w:rPr>
                <w:color w:val="000000"/>
              </w:rPr>
              <w:t>$</w:t>
            </w:r>
          </w:p>
        </w:tc>
        <w:tc>
          <w:tcPr>
            <w:tcW w:w="947" w:type="dxa"/>
            <w:tcBorders/>
            <w:shd w:fill="CCEEFF" w:val="clear"/>
            <w:vAlign w:val="bottom"/>
          </w:tcPr>
          <w:p>
            <w:pPr>
              <w:pStyle w:val="TableContents"/>
              <w:spacing w:before="0" w:after="0"/>
              <w:jc w:val="right"/>
              <w:rPr>
                <w:color w:val="000000"/>
              </w:rPr>
            </w:pPr>
            <w:r>
              <w:rPr>
                <w:color w:val="000000"/>
              </w:rPr>
              <w:t>281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281</w:t>
            </w:r>
          </w:p>
        </w:tc>
        <w:tc>
          <w:tcPr>
            <w:tcW w:w="75" w:type="dxa"/>
            <w:tcBorders/>
            <w:shd w:fill="CCEEFF" w:val="clear"/>
            <w:vAlign w:val="bottom"/>
          </w:tcPr>
          <w:p>
            <w:pPr>
              <w:pStyle w:val="TableContents"/>
              <w:spacing w:before="0" w:after="283"/>
              <w:rPr/>
            </w:pPr>
            <w:r>
              <w:rPr/>
              <w:t> </w:t>
            </w:r>
          </w:p>
        </w:tc>
      </w:tr>
      <w:tr>
        <w:trPr/>
        <w:tc>
          <w:tcPr>
            <w:tcW w:w="3440" w:type="dxa"/>
            <w:tcBorders/>
            <w:shd w:fill="FFFFFF" w:val="clear"/>
            <w:vAlign w:val="bottom"/>
          </w:tcPr>
          <w:p>
            <w:pPr>
              <w:pStyle w:val="TableContents"/>
              <w:spacing w:before="0" w:after="0"/>
              <w:ind w:left="180" w:right="0" w:hanging="180"/>
              <w:rPr>
                <w:color w:val="000000"/>
              </w:rPr>
            </w:pPr>
            <w:r>
              <w:rPr>
                <w:color w:val="000000"/>
              </w:rPr>
              <w:t>Transaction based revenue</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552"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904"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202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202</w:t>
            </w:r>
          </w:p>
        </w:tc>
        <w:tc>
          <w:tcPr>
            <w:tcW w:w="75" w:type="dxa"/>
            <w:tcBorders/>
            <w:shd w:fill="FFFFFF" w:val="clear"/>
            <w:vAlign w:val="bottom"/>
          </w:tcPr>
          <w:p>
            <w:pPr>
              <w:pStyle w:val="TableContents"/>
              <w:spacing w:before="0" w:after="283"/>
              <w:ind w:left="180" w:right="0" w:hanging="180"/>
              <w:rPr/>
            </w:pPr>
            <w:r>
              <w:rPr/>
              <w:t> </w:t>
            </w:r>
          </w:p>
        </w:tc>
      </w:tr>
      <w:tr>
        <w:trPr/>
        <w:tc>
          <w:tcPr>
            <w:tcW w:w="34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44"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52"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04"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4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3440" w:type="dxa"/>
            <w:tcBorders/>
            <w:shd w:fill="FFFFFF" w:val="clear"/>
            <w:vAlign w:val="bottom"/>
          </w:tcPr>
          <w:p>
            <w:pPr>
              <w:pStyle w:val="TableContents"/>
              <w:spacing w:before="0" w:after="0"/>
              <w:ind w:left="360" w:right="0" w:hanging="180"/>
              <w:rPr>
                <w:color w:val="000000"/>
              </w:rPr>
            </w:pPr>
            <w:r>
              <w:rPr>
                <w:color w:val="000000"/>
              </w:rPr>
              <w:t>Total</w:t>
            </w:r>
          </w:p>
        </w:tc>
        <w:tc>
          <w:tcPr>
            <w:tcW w:w="60" w:type="dxa"/>
            <w:tcBorders/>
            <w:shd w:fill="FFFFFF" w:val="clear"/>
            <w:vAlign w:val="bottom"/>
          </w:tcPr>
          <w:p>
            <w:pPr>
              <w:pStyle w:val="TableContents"/>
              <w:spacing w:before="0" w:after="283"/>
              <w:rPr/>
            </w:pPr>
            <w:r>
              <w:rPr/>
              <w:t> </w:t>
            </w:r>
          </w:p>
        </w:tc>
        <w:tc>
          <w:tcPr>
            <w:tcW w:w="211"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844"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3,095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3"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552"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742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6"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904"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2,504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947"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483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6,824</w:t>
            </w:r>
          </w:p>
        </w:tc>
        <w:tc>
          <w:tcPr>
            <w:tcW w:w="75" w:type="dxa"/>
            <w:tcBorders/>
            <w:shd w:fill="FFFFFF" w:val="clear"/>
            <w:vAlign w:val="bottom"/>
          </w:tcPr>
          <w:p>
            <w:pPr>
              <w:pStyle w:val="TableContents"/>
              <w:spacing w:before="0" w:after="283"/>
              <w:ind w:left="180" w:right="0" w:hanging="180"/>
              <w:rPr/>
            </w:pPr>
            <w:r>
              <w:rPr/>
              <w:t> </w:t>
            </w:r>
          </w:p>
        </w:tc>
      </w:tr>
      <w:tr>
        <w:trPr/>
        <w:tc>
          <w:tcPr>
            <w:tcW w:w="344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6680" w:type="dxa"/>
            <w:gridSpan w:val="12"/>
            <w:tcBorders/>
            <w:shd w:fill="FFFFFF" w:val="clear"/>
            <w:vAlign w:val="bottom"/>
          </w:tcPr>
          <w:p>
            <w:pPr>
              <w:pStyle w:val="TableContents"/>
              <w:spacing w:before="0" w:after="0"/>
              <w:ind w:left="180" w:right="0" w:hanging="180"/>
              <w:rPr>
                <w:color w:val="000000"/>
              </w:rPr>
            </w:pPr>
            <w:r>
              <w:rPr>
                <w:color w:val="000000"/>
              </w:rPr>
              <w:t>Reconciliation to Condensed Consolidated Statement of Operations:</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360" w:right="0" w:hanging="180"/>
              <w:rPr>
                <w:color w:val="000000"/>
              </w:rPr>
            </w:pPr>
            <w:r>
              <w:rPr>
                <w:color w:val="000000"/>
              </w:rPr>
              <w:t>Non-interest income - other:</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3440" w:type="dxa"/>
            <w:tcBorders/>
            <w:shd w:fill="FFFFFF" w:val="clear"/>
            <w:vAlign w:val="bottom"/>
          </w:tcPr>
          <w:p>
            <w:pPr>
              <w:pStyle w:val="TableContents"/>
              <w:spacing w:before="0" w:after="0"/>
              <w:ind w:left="540" w:right="0" w:hanging="180"/>
              <w:rPr>
                <w:color w:val="000000"/>
              </w:rPr>
            </w:pPr>
            <w:r>
              <w:rPr>
                <w:color w:val="000000"/>
              </w:rPr>
              <w:t>Other deposit related income</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55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90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color w:val="000000"/>
              </w:rPr>
            </w:pPr>
            <w:r>
              <w:rPr>
                <w:color w:val="000000"/>
              </w:rPr>
              <w:t>$</w:t>
            </w:r>
          </w:p>
        </w:tc>
        <w:tc>
          <w:tcPr>
            <w:tcW w:w="560" w:type="dxa"/>
            <w:tcBorders/>
            <w:shd w:fill="FFFFFF" w:val="clear"/>
            <w:vAlign w:val="bottom"/>
          </w:tcPr>
          <w:p>
            <w:pPr>
              <w:pStyle w:val="TableContents"/>
              <w:spacing w:before="0" w:after="0"/>
              <w:jc w:val="right"/>
              <w:rPr>
                <w:color w:val="000000"/>
              </w:rPr>
            </w:pPr>
            <w:r>
              <w:rPr>
                <w:color w:val="000000"/>
              </w:rPr>
              <w:t>742</w:t>
            </w:r>
          </w:p>
        </w:tc>
        <w:tc>
          <w:tcPr>
            <w:tcW w:w="75" w:type="dxa"/>
            <w:tcBorders/>
            <w:shd w:fill="FFFFFF" w:val="clear"/>
            <w:vAlign w:val="bottom"/>
          </w:tcPr>
          <w:p>
            <w:pPr>
              <w:pStyle w:val="TableContents"/>
              <w:spacing w:before="0" w:after="283"/>
              <w:rPr/>
            </w:pPr>
            <w:r>
              <w:rPr/>
              <w:t> </w:t>
            </w:r>
          </w:p>
        </w:tc>
      </w:tr>
      <w:tr>
        <w:trPr/>
        <w:tc>
          <w:tcPr>
            <w:tcW w:w="4555" w:type="dxa"/>
            <w:gridSpan w:val="4"/>
            <w:tcBorders/>
            <w:shd w:fill="CCEEFF" w:val="clear"/>
            <w:vAlign w:val="bottom"/>
          </w:tcPr>
          <w:p>
            <w:pPr>
              <w:pStyle w:val="TableContents"/>
              <w:spacing w:before="0" w:after="0"/>
              <w:ind w:left="540" w:right="0" w:hanging="180"/>
              <w:rPr>
                <w:color w:val="000000"/>
              </w:rPr>
            </w:pPr>
            <w:r>
              <w:rPr>
                <w:color w:val="000000"/>
              </w:rPr>
              <w:t>Investment and insurance commissions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color w:val="000000"/>
              </w:rPr>
            </w:pPr>
            <w:r>
              <w:rPr>
                <w:color w:val="000000"/>
              </w:rPr>
              <w:t>483</w:t>
            </w:r>
          </w:p>
        </w:tc>
        <w:tc>
          <w:tcPr>
            <w:tcW w:w="75" w:type="dxa"/>
            <w:tcBorders/>
            <w:shd w:fill="CCEEFF" w:val="clear"/>
            <w:vAlign w:val="bottom"/>
          </w:tcPr>
          <w:p>
            <w:pPr>
              <w:pStyle w:val="TableContents"/>
              <w:spacing w:before="0" w:after="283"/>
              <w:rPr/>
            </w:pPr>
            <w:r>
              <w:rPr/>
              <w:t> </w:t>
            </w:r>
          </w:p>
        </w:tc>
      </w:tr>
      <w:tr>
        <w:trPr/>
        <w:tc>
          <w:tcPr>
            <w:tcW w:w="3440" w:type="dxa"/>
            <w:tcBorders/>
            <w:shd w:fill="FFFFFF" w:val="clear"/>
            <w:vAlign w:val="bottom"/>
          </w:tcPr>
          <w:p>
            <w:pPr>
              <w:pStyle w:val="TableContents"/>
              <w:spacing w:before="0" w:after="0"/>
              <w:ind w:left="540" w:right="0" w:hanging="180"/>
              <w:rPr>
                <w:color w:val="000000"/>
              </w:rPr>
            </w:pPr>
            <w:r>
              <w:rPr>
                <w:color w:val="000000"/>
              </w:rPr>
              <w:t>Bank owned life insurance</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55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90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220</w:t>
            </w:r>
          </w:p>
        </w:tc>
        <w:tc>
          <w:tcPr>
            <w:tcW w:w="75" w:type="dxa"/>
            <w:tcBorders/>
            <w:shd w:fill="FFFFFF" w:val="clear"/>
            <w:vAlign w:val="bottom"/>
          </w:tcPr>
          <w:p>
            <w:pPr>
              <w:pStyle w:val="TableContents"/>
              <w:spacing w:before="0" w:after="283"/>
              <w:rPr/>
            </w:pPr>
            <w:r>
              <w:rPr/>
              <w:t> </w:t>
            </w:r>
          </w:p>
        </w:tc>
      </w:tr>
      <w:tr>
        <w:trPr/>
        <w:tc>
          <w:tcPr>
            <w:tcW w:w="3440" w:type="dxa"/>
            <w:tcBorders/>
            <w:shd w:fill="CCEEFF" w:val="clear"/>
            <w:vAlign w:val="bottom"/>
          </w:tcPr>
          <w:p>
            <w:pPr>
              <w:pStyle w:val="TableContents"/>
              <w:spacing w:before="0" w:after="0"/>
              <w:ind w:left="540" w:right="0" w:hanging="180"/>
              <w:rPr>
                <w:color w:val="000000"/>
              </w:rPr>
            </w:pPr>
            <w:r>
              <w:rPr>
                <w:color w:val="000000"/>
              </w:rPr>
              <w:t>Other</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4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772</w:t>
            </w:r>
          </w:p>
        </w:tc>
        <w:tc>
          <w:tcPr>
            <w:tcW w:w="75" w:type="dxa"/>
            <w:tcBorders/>
            <w:shd w:fill="CCEEFF" w:val="clear"/>
            <w:vAlign w:val="bottom"/>
          </w:tcPr>
          <w:p>
            <w:pPr>
              <w:pStyle w:val="TableContents"/>
              <w:spacing w:before="0" w:after="283"/>
              <w:rPr/>
            </w:pPr>
            <w:r>
              <w:rPr/>
              <w:t> </w:t>
            </w:r>
          </w:p>
        </w:tc>
      </w:tr>
      <w:tr>
        <w:trPr/>
        <w:tc>
          <w:tcPr>
            <w:tcW w:w="3440" w:type="dxa"/>
            <w:tcBorders/>
            <w:shd w:fill="FFFFFF" w:val="clear"/>
            <w:vAlign w:val="bottom"/>
          </w:tcPr>
          <w:p>
            <w:pPr>
              <w:pStyle w:val="TableContents"/>
              <w:spacing w:before="0" w:after="0"/>
              <w:ind w:left="720" w:right="0" w:hanging="180"/>
              <w:rPr>
                <w:color w:val="000000"/>
              </w:rPr>
            </w:pPr>
            <w:r>
              <w:rPr>
                <w:color w:val="000000"/>
              </w:rPr>
              <w:t>Total</w:t>
            </w:r>
          </w:p>
        </w:tc>
        <w:tc>
          <w:tcPr>
            <w:tcW w:w="60"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84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55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90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56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2,217</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10" w:name="DSPFPageBreakArea59"/>
      <w:bookmarkStart w:id="611" w:name="DSPFPageBreakArea59"/>
      <w:bookmarkEnd w:id="6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12" w:name="DSPFPageNumber59"/>
      <w:bookmarkStart w:id="613" w:name="DSPFPageNumberArea58"/>
      <w:bookmarkEnd w:id="612"/>
      <w:bookmarkEnd w:id="613"/>
      <w:r>
        <w:rPr>
          <w:b w:val="false"/>
          <w:i w:val="false"/>
          <w:caps w:val="false"/>
          <w:smallCaps w:val="false"/>
          <w:sz w:val="13"/>
        </w:rPr>
        <w:t>60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14" w:name="DSPFPageBreak59"/>
      <w:bookmarkStart w:id="615" w:name="DSPFPageBreak59"/>
      <w:bookmarkEnd w:id="6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16" w:name="DSPFPageHeader58"/>
        <w:bookmarkEnd w:id="616"/>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Normal"/>
        <w:spacing w:before="0" w:after="0"/>
        <w:rPr>
          <w:sz w:val="4"/>
          <w:szCs w:val="4"/>
        </w:rPr>
      </w:pPr>
      <w:r>
        <w:rPr>
          <w:sz w:val="4"/>
          <w:szCs w:val="4"/>
        </w:rPr>
      </w:r>
      <w:bookmarkStart w:id="617" w:name="za65b1bb0de2648c7a2fc3f63a6c1e797"/>
      <w:bookmarkStart w:id="618" w:name="za65b1bb0de2648c7a2fc3f63a6c1e797"/>
      <w:bookmarkEnd w:id="618"/>
    </w:p>
    <w:tbl>
      <w:tblPr>
        <w:tblW w:w="10061" w:type="dxa"/>
        <w:jc w:val="left"/>
        <w:tblInd w:w="0" w:type="dxa"/>
        <w:tblCellMar>
          <w:top w:w="0" w:type="dxa"/>
          <w:left w:w="0" w:type="dxa"/>
          <w:bottom w:w="0" w:type="dxa"/>
          <w:right w:w="0" w:type="dxa"/>
        </w:tblCellMar>
      </w:tblPr>
      <w:tblGrid>
        <w:gridCol w:w="2750"/>
        <w:gridCol w:w="90"/>
        <w:gridCol w:w="317"/>
        <w:gridCol w:w="1271"/>
        <w:gridCol w:w="90"/>
        <w:gridCol w:w="90"/>
        <w:gridCol w:w="227"/>
        <w:gridCol w:w="909"/>
        <w:gridCol w:w="90"/>
        <w:gridCol w:w="90"/>
        <w:gridCol w:w="340"/>
        <w:gridCol w:w="1367"/>
        <w:gridCol w:w="60"/>
        <w:gridCol w:w="60"/>
        <w:gridCol w:w="348"/>
        <w:gridCol w:w="947"/>
        <w:gridCol w:w="60"/>
        <w:gridCol w:w="60"/>
        <w:gridCol w:w="140"/>
        <w:gridCol w:w="680"/>
        <w:gridCol w:w="75"/>
      </w:tblGrid>
      <w:tr>
        <w:trPr/>
        <w:tc>
          <w:tcPr>
            <w:tcW w:w="9986" w:type="dxa"/>
            <w:gridSpan w:val="20"/>
            <w:tcBorders/>
            <w:shd w:fill="auto" w:val="clear"/>
            <w:vAlign w:val="bottom"/>
          </w:tcPr>
          <w:p>
            <w:pPr>
              <w:pStyle w:val="TableContents"/>
              <w:spacing w:before="0" w:after="0"/>
              <w:rPr/>
            </w:pPr>
            <w:r>
              <w:rPr/>
              <w:t>Six months ending June 30, 2019</w:t>
            </w:r>
          </w:p>
        </w:tc>
        <w:tc>
          <w:tcPr>
            <w:tcW w:w="75" w:type="dxa"/>
            <w:tcBorders/>
            <w:shd w:fill="auto" w:val="clear"/>
            <w:vAlign w:val="bottom"/>
          </w:tcPr>
          <w:p>
            <w:pPr>
              <w:pStyle w:val="TableContents"/>
              <w:spacing w:before="0" w:after="283"/>
              <w:rPr/>
            </w:pPr>
            <w:r>
              <w:rPr/>
              <w:t> </w:t>
            </w:r>
          </w:p>
        </w:tc>
      </w:tr>
      <w:tr>
        <w:trPr/>
        <w:tc>
          <w:tcPr>
            <w:tcW w:w="275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588"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Service</w:t>
            </w:r>
          </w:p>
          <w:p>
            <w:pPr>
              <w:pStyle w:val="TableContents"/>
              <w:spacing w:before="0" w:after="0"/>
              <w:jc w:val="center"/>
              <w:rPr>
                <w:color w:val="000000"/>
              </w:rPr>
            </w:pPr>
            <w:r>
              <w:rPr>
                <w:color w:val="000000"/>
              </w:rPr>
              <w:t>Charges</w:t>
            </w:r>
          </w:p>
          <w:p>
            <w:pPr>
              <w:pStyle w:val="TableContents"/>
              <w:spacing w:before="0" w:after="0"/>
              <w:jc w:val="center"/>
              <w:rPr>
                <w:color w:val="000000"/>
              </w:rPr>
            </w:pPr>
            <w:r>
              <w:rPr>
                <w:color w:val="000000"/>
              </w:rPr>
              <w:t>on Deposit</w:t>
            </w:r>
          </w:p>
          <w:p>
            <w:pPr>
              <w:pStyle w:val="TableContents"/>
              <w:spacing w:before="0" w:after="0"/>
              <w:jc w:val="center"/>
              <w:rPr>
                <w:color w:val="000000"/>
              </w:rPr>
            </w:pPr>
            <w:r>
              <w:rPr>
                <w:color w:val="000000"/>
              </w:rPr>
              <w:t>Accounts</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Other</w:t>
            </w:r>
          </w:p>
          <w:p>
            <w:pPr>
              <w:pStyle w:val="TableContents"/>
              <w:spacing w:before="0" w:after="0"/>
              <w:jc w:val="center"/>
              <w:rPr>
                <w:color w:val="000000"/>
              </w:rPr>
            </w:pPr>
            <w:r>
              <w:rPr>
                <w:color w:val="000000"/>
              </w:rPr>
              <w:t>Deposit</w:t>
            </w:r>
          </w:p>
          <w:p>
            <w:pPr>
              <w:pStyle w:val="TableContents"/>
              <w:spacing w:before="0" w:after="0"/>
              <w:jc w:val="center"/>
              <w:rPr>
                <w:color w:val="000000"/>
              </w:rPr>
            </w:pPr>
            <w:r>
              <w:rPr>
                <w:color w:val="000000"/>
              </w:rPr>
              <w:t>Related</w:t>
            </w:r>
          </w:p>
          <w:p>
            <w:pPr>
              <w:pStyle w:val="TableContents"/>
              <w:spacing w:before="0" w:after="0"/>
              <w:jc w:val="center"/>
              <w:rPr>
                <w:color w:val="000000"/>
              </w:rPr>
            </w:pPr>
            <w:r>
              <w:rPr>
                <w:color w:val="000000"/>
              </w:rPr>
              <w:t>Income</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707"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Interchange</w:t>
            </w:r>
          </w:p>
          <w:p>
            <w:pPr>
              <w:pStyle w:val="TableContents"/>
              <w:spacing w:before="0" w:after="0"/>
              <w:jc w:val="center"/>
              <w:rPr>
                <w:color w:val="000000"/>
              </w:rPr>
            </w:pPr>
            <w:r>
              <w:rPr>
                <w:color w:val="000000"/>
              </w:rPr>
              <w:t>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Investment</w:t>
            </w:r>
          </w:p>
          <w:p>
            <w:pPr>
              <w:pStyle w:val="TableContents"/>
              <w:spacing w:before="0" w:after="0"/>
              <w:jc w:val="center"/>
              <w:rPr>
                <w:color w:val="000000"/>
              </w:rPr>
            </w:pPr>
            <w:r>
              <w:rPr>
                <w:color w:val="000000"/>
              </w:rPr>
              <w:t>and</w:t>
            </w:r>
          </w:p>
          <w:p>
            <w:pPr>
              <w:pStyle w:val="TableContents"/>
              <w:spacing w:before="0" w:after="0"/>
              <w:jc w:val="center"/>
              <w:rPr>
                <w:color w:val="000000"/>
              </w:rPr>
            </w:pPr>
            <w:r>
              <w:rPr>
                <w:color w:val="000000"/>
              </w:rPr>
              <w:t>Insurance</w:t>
            </w:r>
          </w:p>
          <w:p>
            <w:pPr>
              <w:pStyle w:val="TableContents"/>
              <w:spacing w:before="0" w:after="0"/>
              <w:jc w:val="center"/>
              <w:rPr>
                <w:color w:val="000000"/>
              </w:rPr>
            </w:pPr>
            <w:r>
              <w:rPr>
                <w:color w:val="000000"/>
              </w:rPr>
              <w:t>Commissions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Total</w:t>
            </w:r>
          </w:p>
        </w:tc>
        <w:tc>
          <w:tcPr>
            <w:tcW w:w="75" w:type="dxa"/>
            <w:tcBorders/>
            <w:shd w:fill="auto" w:val="clear"/>
            <w:vAlign w:val="bottom"/>
          </w:tcPr>
          <w:p>
            <w:pPr>
              <w:pStyle w:val="TableContents"/>
              <w:spacing w:before="0" w:after="283"/>
              <w:rPr/>
            </w:pPr>
            <w:r>
              <w:rPr/>
              <w:t> </w:t>
            </w:r>
          </w:p>
        </w:tc>
      </w:tr>
      <w:tr>
        <w:trPr/>
        <w:tc>
          <w:tcPr>
            <w:tcW w:w="275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7146" w:type="dxa"/>
            <w:gridSpan w:val="18"/>
            <w:tcBorders/>
            <w:shd w:fill="auto" w:val="clear"/>
            <w:vAlign w:val="bottom"/>
          </w:tcPr>
          <w:p>
            <w:pPr>
              <w:pStyle w:val="TableContents"/>
              <w:spacing w:before="0" w:after="0"/>
              <w:jc w:val="center"/>
              <w:rPr>
                <w:color w:val="000000"/>
              </w:rPr>
            </w:pPr>
            <w:r>
              <w:rPr>
                <w:color w:val="000000"/>
              </w:rPr>
              <w:t>(In thousands)</w:t>
            </w:r>
          </w:p>
        </w:tc>
        <w:tc>
          <w:tcPr>
            <w:tcW w:w="75" w:type="dxa"/>
            <w:tcBorders/>
            <w:shd w:fill="auto" w:val="clear"/>
            <w:vAlign w:val="bottom"/>
          </w:tcPr>
          <w:p>
            <w:pPr>
              <w:pStyle w:val="TableContents"/>
              <w:spacing w:before="0" w:after="283"/>
              <w:rPr/>
            </w:pPr>
            <w:r>
              <w:rPr/>
              <w:t> </w:t>
            </w:r>
          </w:p>
        </w:tc>
      </w:tr>
      <w:tr>
        <w:trPr/>
        <w:tc>
          <w:tcPr>
            <w:tcW w:w="2750" w:type="dxa"/>
            <w:tcBorders/>
            <w:shd w:fill="auto" w:val="clear"/>
            <w:vAlign w:val="bottom"/>
          </w:tcPr>
          <w:p>
            <w:pPr>
              <w:pStyle w:val="TableContents"/>
              <w:spacing w:before="0" w:after="0"/>
              <w:ind w:left="180" w:right="0" w:hanging="180"/>
              <w:rPr>
                <w:color w:val="000000"/>
              </w:rPr>
            </w:pPr>
            <w:r>
              <w:rPr>
                <w:color w:val="000000"/>
              </w:rPr>
              <w:t>Retail</w:t>
            </w:r>
          </w:p>
        </w:tc>
        <w:tc>
          <w:tcPr>
            <w:tcW w:w="90"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707"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Overdraft fees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0"/>
              <w:rPr>
                <w:color w:val="000000"/>
              </w:rPr>
            </w:pPr>
            <w:r>
              <w:rPr>
                <w:color w:val="000000"/>
              </w:rPr>
              <w:t>$</w:t>
            </w:r>
          </w:p>
        </w:tc>
        <w:tc>
          <w:tcPr>
            <w:tcW w:w="1271" w:type="dxa"/>
            <w:tcBorders/>
            <w:shd w:fill="CCEEFF" w:val="clear"/>
            <w:vAlign w:val="bottom"/>
          </w:tcPr>
          <w:p>
            <w:pPr>
              <w:pStyle w:val="TableContents"/>
              <w:spacing w:before="0" w:after="0"/>
              <w:jc w:val="right"/>
              <w:rPr>
                <w:color w:val="000000"/>
              </w:rPr>
            </w:pPr>
            <w:r>
              <w:rPr>
                <w:color w:val="000000"/>
              </w:rPr>
              <w:t>3,612</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3,612</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Account service charges</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1,057</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1,057</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ATM fees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0"/>
              <w:rPr>
                <w:color w:val="000000"/>
              </w:rPr>
            </w:pPr>
            <w:r>
              <w:rPr>
                <w:color w:val="000000"/>
              </w:rPr>
              <w:t>$</w:t>
            </w:r>
          </w:p>
        </w:tc>
        <w:tc>
          <w:tcPr>
            <w:tcW w:w="909" w:type="dxa"/>
            <w:tcBorders/>
            <w:shd w:fill="CCEEFF" w:val="clear"/>
            <w:vAlign w:val="bottom"/>
          </w:tcPr>
          <w:p>
            <w:pPr>
              <w:pStyle w:val="TableContents"/>
              <w:spacing w:before="0" w:after="0"/>
              <w:jc w:val="right"/>
              <w:rPr>
                <w:color w:val="000000"/>
              </w:rPr>
            </w:pPr>
            <w:r>
              <w:rPr>
                <w:color w:val="000000"/>
              </w:rPr>
              <w:t>668</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668</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Other</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pPr>
            <w:r>
              <w:rPr/>
              <w:t>463</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463</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180" w:right="0" w:hanging="180"/>
              <w:rPr>
                <w:color w:val="000000"/>
              </w:rPr>
            </w:pPr>
            <w:r>
              <w:rPr>
                <w:color w:val="000000"/>
              </w:rPr>
              <w:t>Business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Overdraft fees</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762</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762</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Account service charges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9</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9</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ATM fees</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color w:val="000000"/>
              </w:rPr>
            </w:pPr>
            <w:r>
              <w:rPr>
                <w:color w:val="000000"/>
              </w:rPr>
              <w:t>17</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17</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Other</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pPr>
            <w:r>
              <w:rPr/>
              <w:t>218</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218</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180" w:right="0" w:hanging="180"/>
              <w:rPr>
                <w:color w:val="000000"/>
              </w:rPr>
            </w:pPr>
            <w:r>
              <w:rPr>
                <w:color w:val="000000"/>
              </w:rPr>
              <w:t>Interchange income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0"/>
              <w:rPr>
                <w:color w:val="000000"/>
              </w:rPr>
            </w:pPr>
            <w:r>
              <w:rPr>
                <w:color w:val="000000"/>
              </w:rPr>
              <w:t>$</w:t>
            </w:r>
          </w:p>
        </w:tc>
        <w:tc>
          <w:tcPr>
            <w:tcW w:w="1367" w:type="dxa"/>
            <w:tcBorders/>
            <w:shd w:fill="FFFFFF" w:val="clear"/>
            <w:vAlign w:val="bottom"/>
          </w:tcPr>
          <w:p>
            <w:pPr>
              <w:pStyle w:val="TableContents"/>
              <w:spacing w:before="0" w:after="0"/>
              <w:jc w:val="right"/>
              <w:rPr>
                <w:color w:val="000000"/>
              </w:rPr>
            </w:pPr>
            <w:r>
              <w:rPr>
                <w:color w:val="000000"/>
              </w:rPr>
              <w:t>4,959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4,959</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180" w:right="0" w:hanging="180"/>
              <w:rPr>
                <w:color w:val="000000"/>
              </w:rPr>
            </w:pPr>
            <w:r>
              <w:rPr>
                <w:color w:val="000000"/>
              </w:rPr>
              <w:t>Asset management revenue</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0"/>
              <w:rPr>
                <w:color w:val="000000"/>
              </w:rPr>
            </w:pPr>
            <w:r>
              <w:rPr>
                <w:color w:val="000000"/>
              </w:rPr>
              <w:t>$</w:t>
            </w:r>
          </w:p>
        </w:tc>
        <w:tc>
          <w:tcPr>
            <w:tcW w:w="947" w:type="dxa"/>
            <w:tcBorders/>
            <w:shd w:fill="CCEEFF" w:val="clear"/>
            <w:vAlign w:val="bottom"/>
          </w:tcPr>
          <w:p>
            <w:pPr>
              <w:pStyle w:val="TableContents"/>
              <w:spacing w:before="0" w:after="0"/>
              <w:jc w:val="right"/>
              <w:rPr>
                <w:color w:val="000000"/>
              </w:rPr>
            </w:pPr>
            <w:r>
              <w:rPr>
                <w:color w:val="000000"/>
              </w:rPr>
              <w:t>531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531</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180" w:right="0" w:hanging="180"/>
              <w:rPr>
                <w:color w:val="000000"/>
              </w:rPr>
            </w:pPr>
            <w:r>
              <w:rPr>
                <w:color w:val="000000"/>
              </w:rPr>
              <w:t>Transaction based revenue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216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216</w:t>
            </w:r>
          </w:p>
        </w:tc>
        <w:tc>
          <w:tcPr>
            <w:tcW w:w="75" w:type="dxa"/>
            <w:tcBorders/>
            <w:shd w:fill="FFFFFF" w:val="clear"/>
            <w:vAlign w:val="bottom"/>
          </w:tcPr>
          <w:p>
            <w:pPr>
              <w:pStyle w:val="TableContents"/>
              <w:spacing w:before="0" w:after="283"/>
              <w:ind w:left="180" w:right="0" w:hanging="180"/>
              <w:rPr/>
            </w:pPr>
            <w:r>
              <w:rPr/>
              <w:t> </w:t>
            </w:r>
          </w:p>
        </w:tc>
      </w:tr>
      <w:tr>
        <w:trPr/>
        <w:tc>
          <w:tcPr>
            <w:tcW w:w="275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0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36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4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Total</w:t>
            </w:r>
          </w:p>
        </w:tc>
        <w:tc>
          <w:tcPr>
            <w:tcW w:w="90" w:type="dxa"/>
            <w:tcBorders/>
            <w:shd w:fill="FFFFFF" w:val="clear"/>
            <w:vAlign w:val="bottom"/>
          </w:tcPr>
          <w:p>
            <w:pPr>
              <w:pStyle w:val="TableContents"/>
              <w:spacing w:before="0" w:after="283"/>
              <w:rPr/>
            </w:pPr>
            <w:r>
              <w:rPr/>
              <w:t> </w:t>
            </w:r>
          </w:p>
        </w:tc>
        <w:tc>
          <w:tcPr>
            <w:tcW w:w="317"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1271"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5,440</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909"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1,366</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1367"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4,959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947"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747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12,512</w:t>
            </w:r>
          </w:p>
        </w:tc>
        <w:tc>
          <w:tcPr>
            <w:tcW w:w="75" w:type="dxa"/>
            <w:tcBorders/>
            <w:shd w:fill="FFFFFF" w:val="clear"/>
            <w:vAlign w:val="bottom"/>
          </w:tcPr>
          <w:p>
            <w:pPr>
              <w:pStyle w:val="TableContents"/>
              <w:spacing w:before="0" w:after="283"/>
              <w:ind w:left="180" w:right="0" w:hanging="180"/>
              <w:rPr/>
            </w:pPr>
            <w:r>
              <w:rPr/>
              <w:t> </w:t>
            </w:r>
          </w:p>
        </w:tc>
      </w:tr>
      <w:tr>
        <w:trPr/>
        <w:tc>
          <w:tcPr>
            <w:tcW w:w="275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7631" w:type="dxa"/>
            <w:gridSpan w:val="12"/>
            <w:tcBorders/>
            <w:shd w:fill="FFFFFF" w:val="clear"/>
            <w:vAlign w:val="bottom"/>
          </w:tcPr>
          <w:p>
            <w:pPr>
              <w:pStyle w:val="TableContents"/>
              <w:spacing w:before="0" w:after="0"/>
              <w:ind w:left="180" w:right="0" w:hanging="180"/>
              <w:rPr>
                <w:color w:val="000000"/>
              </w:rPr>
            </w:pPr>
            <w:r>
              <w:rPr>
                <w:color w:val="000000"/>
              </w:rPr>
              <w:t>Reconciliation to Condensed Consolidated Statement of Operations:</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Non-interest income - other:</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540" w:right="0" w:hanging="180"/>
              <w:rPr>
                <w:color w:val="000000"/>
              </w:rPr>
            </w:pPr>
            <w:r>
              <w:rPr>
                <w:color w:val="000000"/>
              </w:rPr>
              <w:t>Other deposit related income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color w:val="000000"/>
              </w:rPr>
            </w:pPr>
            <w:r>
              <w:rPr>
                <w:color w:val="000000"/>
              </w:rPr>
              <w:t>$</w:t>
            </w:r>
          </w:p>
        </w:tc>
        <w:tc>
          <w:tcPr>
            <w:tcW w:w="680" w:type="dxa"/>
            <w:tcBorders/>
            <w:shd w:fill="FFFFFF" w:val="clear"/>
            <w:vAlign w:val="bottom"/>
          </w:tcPr>
          <w:p>
            <w:pPr>
              <w:pStyle w:val="TableContents"/>
              <w:spacing w:before="0" w:after="0"/>
              <w:jc w:val="right"/>
              <w:rPr>
                <w:color w:val="000000"/>
              </w:rPr>
            </w:pPr>
            <w:r>
              <w:rPr>
                <w:color w:val="000000"/>
              </w:rPr>
              <w:t>1,366</w:t>
            </w:r>
          </w:p>
        </w:tc>
        <w:tc>
          <w:tcPr>
            <w:tcW w:w="75" w:type="dxa"/>
            <w:tcBorders/>
            <w:shd w:fill="FFFFFF" w:val="clear"/>
            <w:vAlign w:val="bottom"/>
          </w:tcPr>
          <w:p>
            <w:pPr>
              <w:pStyle w:val="TableContents"/>
              <w:spacing w:before="0" w:after="283"/>
              <w:rPr/>
            </w:pPr>
            <w:r>
              <w:rPr/>
              <w:t> </w:t>
            </w:r>
          </w:p>
        </w:tc>
      </w:tr>
      <w:tr>
        <w:trPr/>
        <w:tc>
          <w:tcPr>
            <w:tcW w:w="4428" w:type="dxa"/>
            <w:gridSpan w:val="4"/>
            <w:tcBorders/>
            <w:shd w:fill="CCEEFF" w:val="clear"/>
            <w:vAlign w:val="bottom"/>
          </w:tcPr>
          <w:p>
            <w:pPr>
              <w:pStyle w:val="TableContents"/>
              <w:spacing w:before="0" w:after="0"/>
              <w:ind w:left="540" w:right="0" w:hanging="180"/>
              <w:rPr>
                <w:color w:val="000000"/>
              </w:rPr>
            </w:pPr>
            <w:r>
              <w:rPr>
                <w:color w:val="000000"/>
              </w:rPr>
              <w:t>Investment and insurance commissions</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747</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540" w:right="0" w:hanging="180"/>
              <w:rPr>
                <w:color w:val="000000"/>
              </w:rPr>
            </w:pPr>
            <w:r>
              <w:rPr>
                <w:color w:val="000000"/>
              </w:rPr>
              <w:t>Bank owned life insurance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512</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540" w:right="0" w:hanging="180"/>
              <w:rPr>
                <w:color w:val="000000"/>
              </w:rPr>
            </w:pPr>
            <w:r>
              <w:rPr>
                <w:color w:val="000000"/>
              </w:rPr>
              <w:t>Other</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1,745</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720" w:right="0" w:hanging="180"/>
              <w:rPr>
                <w:color w:val="000000"/>
              </w:rPr>
            </w:pPr>
            <w:r>
              <w:rPr>
                <w:color w:val="000000"/>
              </w:rPr>
              <w:t>Total</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4,370</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19" w:name="DSPFPageBreakArea60"/>
      <w:bookmarkStart w:id="620" w:name="DSPFPageBreakArea60"/>
      <w:bookmarkEnd w:id="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21" w:name="DSPFPageNumber60"/>
      <w:bookmarkStart w:id="622" w:name="DSPFPageNumberArea59"/>
      <w:bookmarkEnd w:id="621"/>
      <w:bookmarkEnd w:id="622"/>
      <w:r>
        <w:rPr>
          <w:b w:val="false"/>
          <w:i w:val="false"/>
          <w:caps w:val="false"/>
          <w:smallCaps w:val="false"/>
          <w:sz w:val="13"/>
        </w:rPr>
        <w:t>61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23" w:name="DSPFPageBreak60"/>
      <w:bookmarkStart w:id="624" w:name="DSPFPageBreak60"/>
      <w:bookmarkEnd w:id="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25" w:name="DSPFPageHeader59"/>
        <w:bookmarkEnd w:id="62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Normal"/>
        <w:spacing w:before="0" w:after="0"/>
        <w:rPr>
          <w:sz w:val="4"/>
          <w:szCs w:val="4"/>
        </w:rPr>
      </w:pPr>
      <w:r>
        <w:rPr>
          <w:sz w:val="4"/>
          <w:szCs w:val="4"/>
        </w:rPr>
      </w:r>
      <w:bookmarkStart w:id="626" w:name="zd9901cbc952d42b091337ffcc317f124"/>
      <w:bookmarkStart w:id="627" w:name="zd9901cbc952d42b091337ffcc317f124"/>
      <w:bookmarkEnd w:id="627"/>
    </w:p>
    <w:tbl>
      <w:tblPr>
        <w:tblW w:w="10061" w:type="dxa"/>
        <w:jc w:val="left"/>
        <w:tblInd w:w="0" w:type="dxa"/>
        <w:tblCellMar>
          <w:top w:w="0" w:type="dxa"/>
          <w:left w:w="0" w:type="dxa"/>
          <w:bottom w:w="0" w:type="dxa"/>
          <w:right w:w="0" w:type="dxa"/>
        </w:tblCellMar>
      </w:tblPr>
      <w:tblGrid>
        <w:gridCol w:w="2750"/>
        <w:gridCol w:w="90"/>
        <w:gridCol w:w="317"/>
        <w:gridCol w:w="1271"/>
        <w:gridCol w:w="90"/>
        <w:gridCol w:w="90"/>
        <w:gridCol w:w="227"/>
        <w:gridCol w:w="909"/>
        <w:gridCol w:w="90"/>
        <w:gridCol w:w="90"/>
        <w:gridCol w:w="340"/>
        <w:gridCol w:w="1367"/>
        <w:gridCol w:w="60"/>
        <w:gridCol w:w="60"/>
        <w:gridCol w:w="348"/>
        <w:gridCol w:w="947"/>
        <w:gridCol w:w="60"/>
        <w:gridCol w:w="60"/>
        <w:gridCol w:w="140"/>
        <w:gridCol w:w="680"/>
        <w:gridCol w:w="75"/>
      </w:tblGrid>
      <w:tr>
        <w:trPr/>
        <w:tc>
          <w:tcPr>
            <w:tcW w:w="9986" w:type="dxa"/>
            <w:gridSpan w:val="20"/>
            <w:tcBorders/>
            <w:shd w:fill="auto" w:val="clear"/>
            <w:vAlign w:val="bottom"/>
          </w:tcPr>
          <w:p>
            <w:pPr>
              <w:pStyle w:val="TableContents"/>
              <w:spacing w:before="0" w:after="0"/>
              <w:rPr/>
            </w:pPr>
            <w:r>
              <w:rPr/>
              <w:t>Six months ending June 30, 2018</w:t>
            </w:r>
          </w:p>
        </w:tc>
        <w:tc>
          <w:tcPr>
            <w:tcW w:w="75" w:type="dxa"/>
            <w:tcBorders/>
            <w:shd w:fill="auto" w:val="clear"/>
            <w:vAlign w:val="bottom"/>
          </w:tcPr>
          <w:p>
            <w:pPr>
              <w:pStyle w:val="TableContents"/>
              <w:spacing w:before="0" w:after="283"/>
              <w:ind w:left="180" w:right="0" w:hanging="180"/>
              <w:rPr/>
            </w:pPr>
            <w:r>
              <w:rPr/>
              <w:t> </w:t>
            </w:r>
          </w:p>
        </w:tc>
      </w:tr>
      <w:tr>
        <w:trPr/>
        <w:tc>
          <w:tcPr>
            <w:tcW w:w="275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588"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Service</w:t>
            </w:r>
          </w:p>
          <w:p>
            <w:pPr>
              <w:pStyle w:val="TableContents"/>
              <w:spacing w:before="0" w:after="0"/>
              <w:jc w:val="center"/>
              <w:rPr>
                <w:color w:val="000000"/>
              </w:rPr>
            </w:pPr>
            <w:r>
              <w:rPr>
                <w:color w:val="000000"/>
              </w:rPr>
              <w:t>Charges</w:t>
            </w:r>
          </w:p>
          <w:p>
            <w:pPr>
              <w:pStyle w:val="TableContents"/>
              <w:spacing w:before="0" w:after="0"/>
              <w:jc w:val="center"/>
              <w:rPr>
                <w:color w:val="000000"/>
              </w:rPr>
            </w:pPr>
            <w:r>
              <w:rPr>
                <w:color w:val="000000"/>
              </w:rPr>
              <w:t>on Deposit</w:t>
            </w:r>
          </w:p>
          <w:p>
            <w:pPr>
              <w:pStyle w:val="TableContents"/>
              <w:spacing w:before="0" w:after="0"/>
              <w:jc w:val="center"/>
              <w:rPr>
                <w:color w:val="000000"/>
              </w:rPr>
            </w:pPr>
            <w:r>
              <w:rPr>
                <w:color w:val="000000"/>
              </w:rPr>
              <w:t>Accounts</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Other</w:t>
            </w:r>
          </w:p>
          <w:p>
            <w:pPr>
              <w:pStyle w:val="TableContents"/>
              <w:spacing w:before="0" w:after="0"/>
              <w:jc w:val="center"/>
              <w:rPr>
                <w:color w:val="000000"/>
              </w:rPr>
            </w:pPr>
            <w:r>
              <w:rPr>
                <w:color w:val="000000"/>
              </w:rPr>
              <w:t>Deposit</w:t>
            </w:r>
          </w:p>
          <w:p>
            <w:pPr>
              <w:pStyle w:val="TableContents"/>
              <w:spacing w:before="0" w:after="0"/>
              <w:jc w:val="center"/>
              <w:rPr>
                <w:color w:val="000000"/>
              </w:rPr>
            </w:pPr>
            <w:r>
              <w:rPr>
                <w:color w:val="000000"/>
              </w:rPr>
              <w:t>Related</w:t>
            </w:r>
          </w:p>
          <w:p>
            <w:pPr>
              <w:pStyle w:val="TableContents"/>
              <w:spacing w:before="0" w:after="0"/>
              <w:jc w:val="center"/>
              <w:rPr>
                <w:color w:val="000000"/>
              </w:rPr>
            </w:pPr>
            <w:r>
              <w:rPr>
                <w:color w:val="000000"/>
              </w:rPr>
              <w:t>Income</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707"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Interchange</w:t>
            </w:r>
          </w:p>
          <w:p>
            <w:pPr>
              <w:pStyle w:val="TableContents"/>
              <w:spacing w:before="0" w:after="0"/>
              <w:jc w:val="center"/>
              <w:rPr>
                <w:color w:val="000000"/>
              </w:rPr>
            </w:pPr>
            <w:r>
              <w:rPr>
                <w:color w:val="000000"/>
              </w:rPr>
              <w:t>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Investment</w:t>
            </w:r>
          </w:p>
          <w:p>
            <w:pPr>
              <w:pStyle w:val="TableContents"/>
              <w:spacing w:before="0" w:after="0"/>
              <w:jc w:val="center"/>
              <w:rPr>
                <w:color w:val="000000"/>
              </w:rPr>
            </w:pPr>
            <w:r>
              <w:rPr>
                <w:color w:val="000000"/>
              </w:rPr>
              <w:t>and</w:t>
            </w:r>
          </w:p>
          <w:p>
            <w:pPr>
              <w:pStyle w:val="TableContents"/>
              <w:spacing w:before="0" w:after="0"/>
              <w:jc w:val="center"/>
              <w:rPr>
                <w:color w:val="000000"/>
              </w:rPr>
            </w:pPr>
            <w:r>
              <w:rPr>
                <w:color w:val="000000"/>
              </w:rPr>
              <w:t>Insurance</w:t>
            </w:r>
          </w:p>
          <w:p>
            <w:pPr>
              <w:pStyle w:val="TableContents"/>
              <w:spacing w:before="0" w:after="0"/>
              <w:jc w:val="center"/>
              <w:rPr>
                <w:color w:val="000000"/>
              </w:rPr>
            </w:pPr>
            <w:r>
              <w:rPr>
                <w:color w:val="000000"/>
              </w:rPr>
              <w:t>Commissions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Total</w:t>
            </w:r>
          </w:p>
        </w:tc>
        <w:tc>
          <w:tcPr>
            <w:tcW w:w="75" w:type="dxa"/>
            <w:tcBorders/>
            <w:shd w:fill="auto" w:val="clear"/>
            <w:vAlign w:val="bottom"/>
          </w:tcPr>
          <w:p>
            <w:pPr>
              <w:pStyle w:val="TableContents"/>
              <w:spacing w:before="0" w:after="283"/>
              <w:ind w:left="180" w:right="0" w:hanging="180"/>
              <w:rPr/>
            </w:pPr>
            <w:r>
              <w:rPr/>
              <w:t> </w:t>
            </w:r>
          </w:p>
        </w:tc>
      </w:tr>
      <w:tr>
        <w:trPr/>
        <w:tc>
          <w:tcPr>
            <w:tcW w:w="275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7146" w:type="dxa"/>
            <w:gridSpan w:val="18"/>
            <w:tcBorders/>
            <w:shd w:fill="auto" w:val="clear"/>
            <w:vAlign w:val="bottom"/>
          </w:tcPr>
          <w:p>
            <w:pPr>
              <w:pStyle w:val="TableContents"/>
              <w:spacing w:before="0" w:after="0"/>
              <w:jc w:val="center"/>
              <w:rPr>
                <w:color w:val="000000"/>
              </w:rPr>
            </w:pPr>
            <w:r>
              <w:rPr>
                <w:color w:val="000000"/>
              </w:rPr>
              <w:t>(In thousands)</w:t>
            </w:r>
          </w:p>
        </w:tc>
        <w:tc>
          <w:tcPr>
            <w:tcW w:w="75" w:type="dxa"/>
            <w:tcBorders/>
            <w:shd w:fill="auto" w:val="clear"/>
            <w:vAlign w:val="bottom"/>
          </w:tcPr>
          <w:p>
            <w:pPr>
              <w:pStyle w:val="TableContents"/>
              <w:spacing w:before="0" w:after="283"/>
              <w:rPr/>
            </w:pPr>
            <w:r>
              <w:rPr/>
              <w:t> </w:t>
            </w:r>
          </w:p>
        </w:tc>
      </w:tr>
      <w:tr>
        <w:trPr/>
        <w:tc>
          <w:tcPr>
            <w:tcW w:w="2750" w:type="dxa"/>
            <w:tcBorders/>
            <w:shd w:fill="auto" w:val="clear"/>
            <w:vAlign w:val="bottom"/>
          </w:tcPr>
          <w:p>
            <w:pPr>
              <w:pStyle w:val="TableContents"/>
              <w:spacing w:before="0" w:after="0"/>
              <w:ind w:left="180" w:right="0" w:hanging="180"/>
              <w:rPr>
                <w:color w:val="000000"/>
              </w:rPr>
            </w:pPr>
            <w:r>
              <w:rPr>
                <w:color w:val="000000"/>
              </w:rPr>
              <w:t>Retail</w:t>
            </w:r>
          </w:p>
        </w:tc>
        <w:tc>
          <w:tcPr>
            <w:tcW w:w="90" w:type="dxa"/>
            <w:tcBorders/>
            <w:shd w:fill="auto" w:val="clear"/>
            <w:vAlign w:val="bottom"/>
          </w:tcPr>
          <w:p>
            <w:pPr>
              <w:pStyle w:val="TableContents"/>
              <w:spacing w:before="0" w:after="283"/>
              <w:rPr/>
            </w:pPr>
            <w:r>
              <w:rPr/>
              <w:t> </w:t>
            </w:r>
          </w:p>
        </w:tc>
        <w:tc>
          <w:tcPr>
            <w:tcW w:w="1588" w:type="dxa"/>
            <w:gridSpan w:val="2"/>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707"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Overdraft fees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0"/>
              <w:rPr>
                <w:color w:val="000000"/>
              </w:rPr>
            </w:pPr>
            <w:r>
              <w:rPr>
                <w:color w:val="000000"/>
              </w:rPr>
              <w:t>$</w:t>
            </w:r>
          </w:p>
        </w:tc>
        <w:tc>
          <w:tcPr>
            <w:tcW w:w="1271" w:type="dxa"/>
            <w:tcBorders/>
            <w:shd w:fill="CCEEFF" w:val="clear"/>
            <w:vAlign w:val="bottom"/>
          </w:tcPr>
          <w:p>
            <w:pPr>
              <w:pStyle w:val="TableContents"/>
              <w:spacing w:before="0" w:after="0"/>
              <w:jc w:val="right"/>
              <w:rPr>
                <w:color w:val="000000"/>
              </w:rPr>
            </w:pPr>
            <w:r>
              <w:rPr>
                <w:color w:val="000000"/>
              </w:rPr>
              <w:t>4,016</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4,016</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Account service charges</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1,088</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1,088</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ATM fees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0"/>
              <w:rPr>
                <w:color w:val="000000"/>
              </w:rPr>
            </w:pPr>
            <w:r>
              <w:rPr>
                <w:color w:val="000000"/>
              </w:rPr>
              <w:t>$</w:t>
            </w:r>
          </w:p>
        </w:tc>
        <w:tc>
          <w:tcPr>
            <w:tcW w:w="909" w:type="dxa"/>
            <w:tcBorders/>
            <w:shd w:fill="CCEEFF" w:val="clear"/>
            <w:vAlign w:val="bottom"/>
          </w:tcPr>
          <w:p>
            <w:pPr>
              <w:pStyle w:val="TableContents"/>
              <w:spacing w:before="0" w:after="0"/>
              <w:jc w:val="right"/>
              <w:rPr>
                <w:color w:val="000000"/>
              </w:rPr>
            </w:pPr>
            <w:r>
              <w:rPr>
                <w:color w:val="000000"/>
              </w:rPr>
              <w:t>703</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703</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Other</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pPr>
            <w:r>
              <w:rPr/>
              <w:t>437</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437</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180" w:right="0" w:hanging="180"/>
              <w:rPr>
                <w:color w:val="000000"/>
              </w:rPr>
            </w:pPr>
            <w:r>
              <w:rPr>
                <w:color w:val="000000"/>
              </w:rPr>
              <w:t>Business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Overdraft fees</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745</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745</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Account service charges</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151</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151</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ATM fees</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color w:val="000000"/>
              </w:rPr>
            </w:pPr>
            <w:r>
              <w:rPr>
                <w:color w:val="000000"/>
              </w:rPr>
              <w:t>16</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16</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Other</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pPr>
            <w:r>
              <w:rPr/>
              <w:t>275</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275</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180" w:right="0" w:hanging="180"/>
              <w:rPr>
                <w:color w:val="000000"/>
              </w:rPr>
            </w:pPr>
            <w:r>
              <w:rPr>
                <w:color w:val="000000"/>
              </w:rPr>
              <w:t>Interchange income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0"/>
              <w:rPr>
                <w:color w:val="000000"/>
              </w:rPr>
            </w:pPr>
            <w:r>
              <w:rPr>
                <w:color w:val="000000"/>
              </w:rPr>
              <w:t>$</w:t>
            </w:r>
          </w:p>
        </w:tc>
        <w:tc>
          <w:tcPr>
            <w:tcW w:w="1367" w:type="dxa"/>
            <w:tcBorders/>
            <w:shd w:fill="FFFFFF" w:val="clear"/>
            <w:vAlign w:val="bottom"/>
          </w:tcPr>
          <w:p>
            <w:pPr>
              <w:pStyle w:val="TableContents"/>
              <w:spacing w:before="0" w:after="0"/>
              <w:jc w:val="right"/>
              <w:rPr>
                <w:color w:val="000000"/>
              </w:rPr>
            </w:pPr>
            <w:r>
              <w:rPr>
                <w:color w:val="000000"/>
              </w:rPr>
              <w:t>4,750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4,750</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180" w:right="0" w:hanging="180"/>
              <w:rPr>
                <w:color w:val="000000"/>
              </w:rPr>
            </w:pPr>
            <w:r>
              <w:rPr>
                <w:color w:val="000000"/>
              </w:rPr>
              <w:t>Asset management revenue</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color w:val="000000"/>
              </w:rPr>
            </w:pPr>
            <w:r>
              <w:rPr>
                <w:color w:val="000000"/>
              </w:rPr>
              <w: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0"/>
              <w:rPr>
                <w:color w:val="000000"/>
              </w:rPr>
            </w:pPr>
            <w:r>
              <w:rPr>
                <w:color w:val="000000"/>
              </w:rPr>
              <w:t>$</w:t>
            </w:r>
          </w:p>
        </w:tc>
        <w:tc>
          <w:tcPr>
            <w:tcW w:w="947" w:type="dxa"/>
            <w:tcBorders/>
            <w:shd w:fill="CCEEFF" w:val="clear"/>
            <w:vAlign w:val="bottom"/>
          </w:tcPr>
          <w:p>
            <w:pPr>
              <w:pStyle w:val="TableContents"/>
              <w:spacing w:before="0" w:after="0"/>
              <w:jc w:val="right"/>
              <w:rPr>
                <w:color w:val="000000"/>
              </w:rPr>
            </w:pPr>
            <w:r>
              <w:rPr>
                <w:color w:val="000000"/>
              </w:rPr>
              <w:t>552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552</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180" w:right="0" w:hanging="180"/>
              <w:rPr>
                <w:color w:val="000000"/>
              </w:rPr>
            </w:pPr>
            <w:r>
              <w:rPr>
                <w:color w:val="000000"/>
              </w:rPr>
              <w:t>Transaction based revenue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0"/>
              <w:jc w:val="right"/>
              <w:rPr>
                <w:color w:val="000000"/>
              </w:rPr>
            </w:pPr>
            <w:r>
              <w:rPr>
                <w:color w:val="000000"/>
              </w:rPr>
              <w: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0"/>
              <w:jc w:val="right"/>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0"/>
              <w:jc w:val="right"/>
              <w:rPr>
                <w:color w:val="000000"/>
              </w:rPr>
            </w:pPr>
            <w:r>
              <w:rPr>
                <w:color w:val="000000"/>
              </w:rPr>
              <w:t>369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369</w:t>
            </w:r>
          </w:p>
        </w:tc>
        <w:tc>
          <w:tcPr>
            <w:tcW w:w="75" w:type="dxa"/>
            <w:tcBorders/>
            <w:shd w:fill="FFFFFF" w:val="clear"/>
            <w:vAlign w:val="bottom"/>
          </w:tcPr>
          <w:p>
            <w:pPr>
              <w:pStyle w:val="TableContents"/>
              <w:spacing w:before="0" w:after="283"/>
              <w:ind w:left="180" w:right="0" w:hanging="180"/>
              <w:rPr/>
            </w:pPr>
            <w:r>
              <w:rPr/>
              <w:t> </w:t>
            </w:r>
          </w:p>
        </w:tc>
      </w:tr>
      <w:tr>
        <w:trPr/>
        <w:tc>
          <w:tcPr>
            <w:tcW w:w="275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71"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0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36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4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360" w:right="0" w:hanging="180"/>
              <w:rPr>
                <w:color w:val="000000"/>
              </w:rPr>
            </w:pPr>
            <w:r>
              <w:rPr>
                <w:color w:val="000000"/>
              </w:rPr>
              <w:t>Total</w:t>
            </w:r>
          </w:p>
        </w:tc>
        <w:tc>
          <w:tcPr>
            <w:tcW w:w="90" w:type="dxa"/>
            <w:tcBorders/>
            <w:shd w:fill="FFFFFF" w:val="clear"/>
            <w:vAlign w:val="bottom"/>
          </w:tcPr>
          <w:p>
            <w:pPr>
              <w:pStyle w:val="TableContents"/>
              <w:spacing w:before="0" w:after="283"/>
              <w:rPr/>
            </w:pPr>
            <w:r>
              <w:rPr/>
              <w:t> </w:t>
            </w:r>
          </w:p>
        </w:tc>
        <w:tc>
          <w:tcPr>
            <w:tcW w:w="317"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1271"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6,000</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909"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1,431</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1367"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4,750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947"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921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13,102</w:t>
            </w:r>
          </w:p>
        </w:tc>
        <w:tc>
          <w:tcPr>
            <w:tcW w:w="75" w:type="dxa"/>
            <w:tcBorders/>
            <w:shd w:fill="FFFFFF" w:val="clear"/>
            <w:vAlign w:val="bottom"/>
          </w:tcPr>
          <w:p>
            <w:pPr>
              <w:pStyle w:val="TableContents"/>
              <w:spacing w:before="0" w:after="283"/>
              <w:ind w:left="180" w:right="0" w:hanging="180"/>
              <w:rPr/>
            </w:pPr>
            <w:r>
              <w:rPr/>
              <w:t> </w:t>
            </w:r>
          </w:p>
        </w:tc>
      </w:tr>
      <w:tr>
        <w:trPr/>
        <w:tc>
          <w:tcPr>
            <w:tcW w:w="275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7631" w:type="dxa"/>
            <w:gridSpan w:val="12"/>
            <w:tcBorders/>
            <w:shd w:fill="FFFFFF" w:val="clear"/>
            <w:vAlign w:val="bottom"/>
          </w:tcPr>
          <w:p>
            <w:pPr>
              <w:pStyle w:val="TableContents"/>
              <w:spacing w:before="0" w:after="0"/>
              <w:ind w:left="180" w:right="0" w:hanging="180"/>
              <w:rPr>
                <w:color w:val="000000"/>
              </w:rPr>
            </w:pPr>
            <w:r>
              <w:rPr>
                <w:color w:val="000000"/>
              </w:rPr>
              <w:t>Reconciliation to Condensed Consolidated Statement of Operations:</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360" w:right="0" w:hanging="180"/>
              <w:rPr>
                <w:color w:val="000000"/>
              </w:rPr>
            </w:pPr>
            <w:r>
              <w:rPr>
                <w:color w:val="000000"/>
              </w:rPr>
              <w:t>Non-interest income - other:</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540" w:right="0" w:hanging="180"/>
              <w:rPr>
                <w:color w:val="000000"/>
              </w:rPr>
            </w:pPr>
            <w:r>
              <w:rPr>
                <w:color w:val="000000"/>
              </w:rPr>
              <w:t>Other deposit related income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color w:val="000000"/>
              </w:rPr>
            </w:pPr>
            <w:r>
              <w:rPr>
                <w:color w:val="000000"/>
              </w:rPr>
              <w:t>$</w:t>
            </w:r>
          </w:p>
        </w:tc>
        <w:tc>
          <w:tcPr>
            <w:tcW w:w="680" w:type="dxa"/>
            <w:tcBorders/>
            <w:shd w:fill="FFFFFF" w:val="clear"/>
            <w:vAlign w:val="bottom"/>
          </w:tcPr>
          <w:p>
            <w:pPr>
              <w:pStyle w:val="TableContents"/>
              <w:spacing w:before="0" w:after="0"/>
              <w:jc w:val="right"/>
              <w:rPr>
                <w:color w:val="000000"/>
              </w:rPr>
            </w:pPr>
            <w:r>
              <w:rPr>
                <w:color w:val="000000"/>
              </w:rPr>
              <w:t>1,431</w:t>
            </w:r>
          </w:p>
        </w:tc>
        <w:tc>
          <w:tcPr>
            <w:tcW w:w="75" w:type="dxa"/>
            <w:tcBorders/>
            <w:shd w:fill="FFFFFF" w:val="clear"/>
            <w:vAlign w:val="bottom"/>
          </w:tcPr>
          <w:p>
            <w:pPr>
              <w:pStyle w:val="TableContents"/>
              <w:spacing w:before="0" w:after="283"/>
              <w:rPr/>
            </w:pPr>
            <w:r>
              <w:rPr/>
              <w:t> </w:t>
            </w:r>
          </w:p>
        </w:tc>
      </w:tr>
      <w:tr>
        <w:trPr/>
        <w:tc>
          <w:tcPr>
            <w:tcW w:w="4428" w:type="dxa"/>
            <w:gridSpan w:val="4"/>
            <w:tcBorders/>
            <w:shd w:fill="CCEEFF" w:val="clear"/>
            <w:vAlign w:val="bottom"/>
          </w:tcPr>
          <w:p>
            <w:pPr>
              <w:pStyle w:val="TableContents"/>
              <w:spacing w:before="0" w:after="0"/>
              <w:ind w:left="540" w:right="0" w:hanging="180"/>
              <w:rPr>
                <w:color w:val="000000"/>
              </w:rPr>
            </w:pPr>
            <w:r>
              <w:rPr>
                <w:color w:val="000000"/>
              </w:rPr>
              <w:t>Investment and insurance commissions</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921</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540" w:right="0" w:hanging="180"/>
              <w:rPr>
                <w:color w:val="000000"/>
              </w:rPr>
            </w:pPr>
            <w:r>
              <w:rPr>
                <w:color w:val="000000"/>
              </w:rPr>
              <w:t>Bank owned life insurance</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476</w:t>
            </w:r>
          </w:p>
        </w:tc>
        <w:tc>
          <w:tcPr>
            <w:tcW w:w="75" w:type="dxa"/>
            <w:tcBorders/>
            <w:shd w:fill="FFFFFF" w:val="clear"/>
            <w:vAlign w:val="bottom"/>
          </w:tcPr>
          <w:p>
            <w:pPr>
              <w:pStyle w:val="TableContents"/>
              <w:spacing w:before="0" w:after="283"/>
              <w:rPr/>
            </w:pPr>
            <w:r>
              <w:rPr/>
              <w:t> </w:t>
            </w:r>
          </w:p>
        </w:tc>
      </w:tr>
      <w:tr>
        <w:trPr/>
        <w:tc>
          <w:tcPr>
            <w:tcW w:w="2750" w:type="dxa"/>
            <w:tcBorders/>
            <w:shd w:fill="CCEEFF" w:val="clear"/>
            <w:vAlign w:val="bottom"/>
          </w:tcPr>
          <w:p>
            <w:pPr>
              <w:pStyle w:val="TableContents"/>
              <w:spacing w:before="0" w:after="0"/>
              <w:ind w:left="540" w:right="0" w:hanging="180"/>
              <w:rPr>
                <w:color w:val="000000"/>
              </w:rPr>
            </w:pPr>
            <w:r>
              <w:rPr>
                <w:color w:val="000000"/>
              </w:rPr>
              <w:t>Other</w:t>
            </w:r>
          </w:p>
        </w:tc>
        <w:tc>
          <w:tcPr>
            <w:tcW w:w="9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1,332</w:t>
            </w:r>
          </w:p>
        </w:tc>
        <w:tc>
          <w:tcPr>
            <w:tcW w:w="75" w:type="dxa"/>
            <w:tcBorders/>
            <w:shd w:fill="CCEEFF" w:val="clear"/>
            <w:vAlign w:val="bottom"/>
          </w:tcPr>
          <w:p>
            <w:pPr>
              <w:pStyle w:val="TableContents"/>
              <w:spacing w:before="0" w:after="283"/>
              <w:rPr/>
            </w:pPr>
            <w:r>
              <w:rPr/>
              <w:t> </w:t>
            </w:r>
          </w:p>
        </w:tc>
      </w:tr>
      <w:tr>
        <w:trPr/>
        <w:tc>
          <w:tcPr>
            <w:tcW w:w="2750" w:type="dxa"/>
            <w:tcBorders/>
            <w:shd w:fill="FFFFFF" w:val="clear"/>
            <w:vAlign w:val="bottom"/>
          </w:tcPr>
          <w:p>
            <w:pPr>
              <w:pStyle w:val="TableContents"/>
              <w:spacing w:before="0" w:after="0"/>
              <w:ind w:left="684" w:right="0" w:hanging="144"/>
              <w:rPr>
                <w:color w:val="000000"/>
              </w:rPr>
            </w:pPr>
            <w:r>
              <w:rPr>
                <w:color w:val="000000"/>
              </w:rPr>
              <w:t>Total</w:t>
            </w:r>
          </w:p>
        </w:tc>
        <w:tc>
          <w:tcPr>
            <w:tcW w:w="90" w:type="dxa"/>
            <w:tcBorders/>
            <w:shd w:fill="FFFFFF" w:val="clear"/>
            <w:vAlign w:val="bottom"/>
          </w:tcPr>
          <w:p>
            <w:pPr>
              <w:pStyle w:val="TableContents"/>
              <w:spacing w:before="0" w:after="283"/>
              <w:rPr/>
            </w:pPr>
            <w:r>
              <w:rPr/>
              <w:t> </w:t>
            </w:r>
          </w:p>
        </w:tc>
        <w:tc>
          <w:tcPr>
            <w:tcW w:w="317" w:type="dxa"/>
            <w:tcBorders/>
            <w:shd w:fill="FFFFFF" w:val="clear"/>
            <w:vAlign w:val="bottom"/>
          </w:tcPr>
          <w:p>
            <w:pPr>
              <w:pStyle w:val="TableContents"/>
              <w:spacing w:before="0" w:after="283"/>
              <w:rPr/>
            </w:pPr>
            <w:r>
              <w:rPr/>
              <w:t> </w:t>
            </w:r>
          </w:p>
        </w:tc>
        <w:tc>
          <w:tcPr>
            <w:tcW w:w="1271"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227" w:type="dxa"/>
            <w:tcBorders/>
            <w:shd w:fill="FFFFFF" w:val="clear"/>
            <w:vAlign w:val="bottom"/>
          </w:tcPr>
          <w:p>
            <w:pPr>
              <w:pStyle w:val="TableContents"/>
              <w:spacing w:before="0" w:after="283"/>
              <w:rPr/>
            </w:pPr>
            <w:r>
              <w:rPr/>
              <w:t> </w:t>
            </w:r>
          </w:p>
        </w:tc>
        <w:tc>
          <w:tcPr>
            <w:tcW w:w="909"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rPr/>
            </w:pPr>
            <w:r>
              <w:rPr/>
              <w:t> </w:t>
            </w:r>
          </w:p>
        </w:tc>
        <w:tc>
          <w:tcPr>
            <w:tcW w:w="340" w:type="dxa"/>
            <w:tcBorders/>
            <w:shd w:fill="FFFFFF" w:val="clear"/>
            <w:vAlign w:val="bottom"/>
          </w:tcPr>
          <w:p>
            <w:pPr>
              <w:pStyle w:val="TableContents"/>
              <w:spacing w:before="0" w:after="283"/>
              <w:rPr/>
            </w:pPr>
            <w:r>
              <w:rPr/>
              <w:t> </w:t>
            </w:r>
          </w:p>
        </w:tc>
        <w:tc>
          <w:tcPr>
            <w:tcW w:w="136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48"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4,160</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rPr/>
      </w:pPr>
      <w:r>
        <w:rPr/>
        <w:t xml:space="preserve">16.  </w:t>
      </w:r>
      <w:r>
        <w:rPr>
          <w:u w:val="single"/>
        </w:rPr>
        <w:t>Leases</w:t>
      </w:r>
    </w:p>
    <w:p>
      <w:pPr>
        <w:pStyle w:val="TextBody"/>
        <w:spacing w:before="0" w:after="0"/>
        <w:rPr/>
      </w:pPr>
      <w:r>
        <w:rPr/>
      </w:r>
    </w:p>
    <w:p>
      <w:pPr>
        <w:pStyle w:val="TextBody"/>
        <w:spacing w:before="0" w:after="0"/>
        <w:jc w:val="both"/>
        <w:rPr/>
      </w:pPr>
      <w:r>
        <w:rPr/>
        <w:t>We have operating leases, primarily relating to certain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for all leases.  Most of our leases include one or more options to renew. The exercise of lease renewal options is typically at our sole discretion and are included in our ROU assets and lease liabilities if they are reasonably certain of exercise.  As most of our leases do not provide an implicit rate, we use our incremental borrowing rate based on the information available at the lease commencement date in determining the present value of the lease payments.</w:t>
      </w:r>
    </w:p>
    <w:p>
      <w:pPr>
        <w:pStyle w:val="TextBody"/>
        <w:spacing w:before="0" w:after="0"/>
        <w:rPr/>
      </w:pPr>
      <w:r>
        <w:rPr/>
      </w:r>
    </w:p>
    <w:p>
      <w:pPr>
        <w:pStyle w:val="TextBody"/>
        <w:spacing w:before="0" w:after="0"/>
        <w:rPr/>
      </w:pPr>
      <w:r>
        <w:rPr/>
        <w:t>The cost components of our operating leases follows:</w:t>
      </w:r>
    </w:p>
    <w:p>
      <w:pPr>
        <w:pStyle w:val="TextBody"/>
        <w:spacing w:before="0" w:after="0"/>
        <w:rPr/>
      </w:pPr>
      <w:r>
        <w:rPr/>
      </w:r>
    </w:p>
    <w:p>
      <w:pPr>
        <w:pStyle w:val="Normal"/>
        <w:spacing w:before="0" w:after="0"/>
        <w:rPr>
          <w:sz w:val="4"/>
          <w:szCs w:val="4"/>
        </w:rPr>
      </w:pPr>
      <w:r>
        <w:rPr>
          <w:sz w:val="4"/>
          <w:szCs w:val="4"/>
        </w:rPr>
      </w:r>
      <w:bookmarkStart w:id="628" w:name="z3b9e4cf9a59447ed9413df4947103bea"/>
      <w:bookmarkStart w:id="629" w:name="z3b9e4cf9a59447ed9413df4947103bea"/>
      <w:bookmarkEnd w:id="629"/>
    </w:p>
    <w:tbl>
      <w:tblPr>
        <w:tblW w:w="4695" w:type="dxa"/>
        <w:jc w:val="left"/>
        <w:tblInd w:w="0" w:type="dxa"/>
        <w:tblCellMar>
          <w:top w:w="0" w:type="dxa"/>
          <w:left w:w="0" w:type="dxa"/>
          <w:bottom w:w="0" w:type="dxa"/>
          <w:right w:w="0" w:type="dxa"/>
        </w:tblCellMar>
      </w:tblPr>
      <w:tblGrid>
        <w:gridCol w:w="1985"/>
        <w:gridCol w:w="60"/>
        <w:gridCol w:w="364"/>
        <w:gridCol w:w="991"/>
        <w:gridCol w:w="60"/>
        <w:gridCol w:w="60"/>
        <w:gridCol w:w="223"/>
        <w:gridCol w:w="892"/>
        <w:gridCol w:w="60"/>
      </w:tblGrid>
      <w:tr>
        <w:trPr/>
        <w:tc>
          <w:tcPr>
            <w:tcW w:w="19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bottom"/>
          </w:tcPr>
          <w:p>
            <w:pPr>
              <w:pStyle w:val="TableContents"/>
              <w:spacing w:before="0" w:after="0"/>
              <w:jc w:val="center"/>
              <w:rPr/>
            </w:pPr>
            <w:r>
              <w:rPr/>
              <w:t>Three Months</w:t>
            </w:r>
          </w:p>
          <w:p>
            <w:pPr>
              <w:pStyle w:val="TableContents"/>
              <w:spacing w:before="0" w:after="0"/>
              <w:jc w:val="center"/>
              <w:rPr/>
            </w:pPr>
            <w:r>
              <w:rPr/>
              <w:t>Ended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12" w:space="0" w:color="000000"/>
            </w:tcBorders>
            <w:shd w:fill="auto" w:val="clear"/>
            <w:tcMar>
              <w:bottom w:w="28" w:type="dxa"/>
            </w:tcMar>
            <w:vAlign w:val="bottom"/>
          </w:tcPr>
          <w:p>
            <w:pPr>
              <w:pStyle w:val="TableContents"/>
              <w:spacing w:before="0" w:after="0"/>
              <w:jc w:val="center"/>
              <w:rPr/>
            </w:pPr>
            <w:r>
              <w:rPr/>
              <w:t>Six Months</w:t>
            </w:r>
          </w:p>
          <w:p>
            <w:pPr>
              <w:pStyle w:val="TableContents"/>
              <w:spacing w:before="0" w:after="0"/>
              <w:jc w:val="center"/>
              <w:rPr/>
            </w:pPr>
            <w:r>
              <w:rPr/>
              <w:t>Ended</w:t>
            </w:r>
          </w:p>
        </w:tc>
        <w:tc>
          <w:tcPr>
            <w:tcW w:w="60" w:type="dxa"/>
            <w:tcBorders/>
            <w:shd w:fill="auto" w:val="clear"/>
            <w:vAlign w:val="bottom"/>
          </w:tcPr>
          <w:p>
            <w:pPr>
              <w:pStyle w:val="TableContents"/>
              <w:spacing w:before="0" w:after="283"/>
              <w:rPr/>
            </w:pPr>
            <w:r>
              <w:rPr/>
              <w:t> </w:t>
            </w:r>
          </w:p>
        </w:tc>
      </w:tr>
      <w:tr>
        <w:trPr/>
        <w:tc>
          <w:tcPr>
            <w:tcW w:w="19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0" w:type="dxa"/>
            <w:gridSpan w:val="6"/>
            <w:tcBorders>
              <w:bottom w:val="single" w:sz="12" w:space="0" w:color="000000"/>
            </w:tcBorders>
            <w:shd w:fill="auto" w:val="clear"/>
            <w:tcMar>
              <w:bottom w:w="28" w:type="dxa"/>
            </w:tcMar>
            <w:vAlign w:val="bottom"/>
          </w:tcPr>
          <w:p>
            <w:pPr>
              <w:pStyle w:val="TableContents"/>
              <w:spacing w:before="0" w:after="0"/>
              <w:jc w:val="center"/>
              <w:rPr/>
            </w:pPr>
            <w:r>
              <w:rPr/>
              <w:t>June 30, 2019</w:t>
            </w:r>
          </w:p>
        </w:tc>
        <w:tc>
          <w:tcPr>
            <w:tcW w:w="60" w:type="dxa"/>
            <w:tcBorders/>
            <w:shd w:fill="auto" w:val="clear"/>
            <w:vAlign w:val="bottom"/>
          </w:tcPr>
          <w:p>
            <w:pPr>
              <w:pStyle w:val="TableContents"/>
              <w:spacing w:before="0" w:after="283"/>
              <w:rPr/>
            </w:pPr>
            <w:r>
              <w:rPr/>
              <w:t> </w:t>
            </w:r>
          </w:p>
        </w:tc>
      </w:tr>
      <w:tr>
        <w:trPr/>
        <w:tc>
          <w:tcPr>
            <w:tcW w:w="19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0" w:type="dxa"/>
            <w:gridSpan w:val="6"/>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r>
      <w:tr>
        <w:trPr/>
        <w:tc>
          <w:tcPr>
            <w:tcW w:w="1985" w:type="dxa"/>
            <w:tcBorders/>
            <w:shd w:fill="CCEEFF" w:val="clear"/>
            <w:vAlign w:val="bottom"/>
          </w:tcPr>
          <w:p>
            <w:pPr>
              <w:pStyle w:val="TableContents"/>
              <w:spacing w:before="0" w:after="0"/>
              <w:ind w:left="144" w:right="0" w:hanging="144"/>
              <w:rPr/>
            </w:pPr>
            <w:r>
              <w:rPr/>
              <w:t>Operating lease cost</w:t>
            </w:r>
          </w:p>
        </w:tc>
        <w:tc>
          <w:tcPr>
            <w:tcW w:w="60"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0"/>
              <w:rPr/>
            </w:pPr>
            <w:r>
              <w:rPr/>
              <w:t>$</w:t>
            </w:r>
          </w:p>
        </w:tc>
        <w:tc>
          <w:tcPr>
            <w:tcW w:w="991" w:type="dxa"/>
            <w:tcBorders/>
            <w:shd w:fill="CCEEFF" w:val="clear"/>
            <w:vAlign w:val="bottom"/>
          </w:tcPr>
          <w:p>
            <w:pPr>
              <w:pStyle w:val="TableContents"/>
              <w:spacing w:before="0" w:after="0"/>
              <w:jc w:val="right"/>
              <w:rPr/>
            </w:pPr>
            <w:r>
              <w:rPr/>
              <w:t>563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0"/>
              <w:rPr/>
            </w:pPr>
            <w:r>
              <w:rPr/>
              <w:t>$</w:t>
            </w:r>
          </w:p>
        </w:tc>
        <w:tc>
          <w:tcPr>
            <w:tcW w:w="892" w:type="dxa"/>
            <w:tcBorders/>
            <w:shd w:fill="CCEEFF" w:val="clear"/>
            <w:vAlign w:val="bottom"/>
          </w:tcPr>
          <w:p>
            <w:pPr>
              <w:pStyle w:val="TableContents"/>
              <w:spacing w:before="0" w:after="0"/>
              <w:jc w:val="right"/>
              <w:rPr/>
            </w:pPr>
            <w:r>
              <w:rPr/>
              <w:t>1,127</w:t>
            </w:r>
          </w:p>
        </w:tc>
        <w:tc>
          <w:tcPr>
            <w:tcW w:w="60" w:type="dxa"/>
            <w:tcBorders/>
            <w:shd w:fill="CCEEFF" w:val="clear"/>
            <w:vAlign w:val="bottom"/>
          </w:tcPr>
          <w:p>
            <w:pPr>
              <w:pStyle w:val="TableContents"/>
              <w:spacing w:before="0" w:after="283"/>
              <w:rPr/>
            </w:pPr>
            <w:r>
              <w:rPr/>
              <w:t> </w:t>
            </w:r>
          </w:p>
        </w:tc>
      </w:tr>
      <w:tr>
        <w:trPr/>
        <w:tc>
          <w:tcPr>
            <w:tcW w:w="1985" w:type="dxa"/>
            <w:tcBorders/>
            <w:shd w:fill="FFFFFF" w:val="clear"/>
            <w:vAlign w:val="bottom"/>
          </w:tcPr>
          <w:p>
            <w:pPr>
              <w:pStyle w:val="TableContents"/>
              <w:spacing w:before="0" w:after="0"/>
              <w:ind w:left="144" w:right="0" w:hanging="144"/>
              <w:rPr/>
            </w:pPr>
            <w:r>
              <w:rPr/>
              <w:t>Variable lease cost</w:t>
            </w:r>
          </w:p>
        </w:tc>
        <w:tc>
          <w:tcPr>
            <w:tcW w:w="60" w:type="dxa"/>
            <w:tcBorders/>
            <w:shd w:fill="FFFFFF" w:val="clear"/>
            <w:vAlign w:val="bottom"/>
          </w:tcPr>
          <w:p>
            <w:pPr>
              <w:pStyle w:val="TableContents"/>
              <w:spacing w:before="0" w:after="283"/>
              <w:rPr/>
            </w:pPr>
            <w:r>
              <w:rPr/>
              <w:t> </w:t>
            </w:r>
          </w:p>
        </w:tc>
        <w:tc>
          <w:tcPr>
            <w:tcW w:w="364" w:type="dxa"/>
            <w:tcBorders/>
            <w:shd w:fill="FFFFFF" w:val="clear"/>
            <w:vAlign w:val="bottom"/>
          </w:tcPr>
          <w:p>
            <w:pPr>
              <w:pStyle w:val="TableContents"/>
              <w:spacing w:before="0" w:after="283"/>
              <w:rPr/>
            </w:pPr>
            <w:r>
              <w:rPr/>
              <w:t> </w:t>
            </w:r>
          </w:p>
        </w:tc>
        <w:tc>
          <w:tcPr>
            <w:tcW w:w="991" w:type="dxa"/>
            <w:tcBorders/>
            <w:shd w:fill="FFFFFF" w:val="clear"/>
            <w:vAlign w:val="bottom"/>
          </w:tcPr>
          <w:p>
            <w:pPr>
              <w:pStyle w:val="TableContents"/>
              <w:spacing w:before="0" w:after="0"/>
              <w:jc w:val="right"/>
              <w:rPr/>
            </w:pPr>
            <w:r>
              <w:rPr/>
              <w:t>49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3" w:type="dxa"/>
            <w:tcBorders/>
            <w:shd w:fill="FFFFFF" w:val="clear"/>
            <w:vAlign w:val="bottom"/>
          </w:tcPr>
          <w:p>
            <w:pPr>
              <w:pStyle w:val="TableContents"/>
              <w:spacing w:before="0" w:after="283"/>
              <w:rPr/>
            </w:pPr>
            <w:r>
              <w:rPr/>
              <w:t> </w:t>
            </w:r>
          </w:p>
        </w:tc>
        <w:tc>
          <w:tcPr>
            <w:tcW w:w="892" w:type="dxa"/>
            <w:tcBorders/>
            <w:shd w:fill="FFFFFF" w:val="clear"/>
            <w:vAlign w:val="bottom"/>
          </w:tcPr>
          <w:p>
            <w:pPr>
              <w:pStyle w:val="TableContents"/>
              <w:spacing w:before="0" w:after="0"/>
              <w:jc w:val="right"/>
              <w:rPr/>
            </w:pPr>
            <w:r>
              <w:rPr/>
              <w:t>72</w:t>
            </w:r>
          </w:p>
        </w:tc>
        <w:tc>
          <w:tcPr>
            <w:tcW w:w="60" w:type="dxa"/>
            <w:tcBorders/>
            <w:shd w:fill="FFFFFF" w:val="clear"/>
            <w:vAlign w:val="bottom"/>
          </w:tcPr>
          <w:p>
            <w:pPr>
              <w:pStyle w:val="TableContents"/>
              <w:spacing w:before="0" w:after="283"/>
              <w:rPr/>
            </w:pPr>
            <w:r>
              <w:rPr/>
              <w:t> </w:t>
            </w:r>
          </w:p>
        </w:tc>
      </w:tr>
      <w:tr>
        <w:trPr/>
        <w:tc>
          <w:tcPr>
            <w:tcW w:w="1985" w:type="dxa"/>
            <w:tcBorders/>
            <w:shd w:fill="CCEEFF" w:val="clear"/>
            <w:vAlign w:val="bottom"/>
          </w:tcPr>
          <w:p>
            <w:pPr>
              <w:pStyle w:val="TableContents"/>
              <w:spacing w:before="0" w:after="0"/>
              <w:ind w:left="144" w:right="0" w:hanging="144"/>
              <w:rPr/>
            </w:pPr>
            <w:r>
              <w:rPr/>
              <w:t>Short-term lease cost</w:t>
            </w:r>
          </w:p>
        </w:tc>
        <w:tc>
          <w:tcPr>
            <w:tcW w:w="60" w:type="dxa"/>
            <w:tcBorders/>
            <w:shd w:fill="CCEEFF" w:val="clear"/>
            <w:vAlign w:val="bottom"/>
          </w:tcPr>
          <w:p>
            <w:pPr>
              <w:pStyle w:val="TableContents"/>
              <w:spacing w:before="0" w:after="283"/>
              <w:rPr/>
            </w:pPr>
            <w:r>
              <w:rPr/>
              <w:t> </w:t>
            </w:r>
          </w:p>
        </w:tc>
        <w:tc>
          <w:tcPr>
            <w:tcW w:w="36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91" w:type="dxa"/>
            <w:tcBorders>
              <w:bottom w:val="single" w:sz="12" w:space="0" w:color="000000"/>
            </w:tcBorders>
            <w:shd w:fill="CCEEFF" w:val="clear"/>
            <w:tcMar>
              <w:bottom w:w="28" w:type="dxa"/>
            </w:tcMar>
            <w:vAlign w:val="bottom"/>
          </w:tcPr>
          <w:p>
            <w:pPr>
              <w:pStyle w:val="TableContents"/>
              <w:spacing w:before="0" w:after="0"/>
              <w:jc w:val="right"/>
              <w:rPr/>
            </w:pPr>
            <w:r>
              <w:rPr/>
              <w:t>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92" w:type="dxa"/>
            <w:tcBorders>
              <w:bottom w:val="single" w:sz="12" w:space="0" w:color="000000"/>
            </w:tcBorders>
            <w:shd w:fill="CCEEFF" w:val="clear"/>
            <w:tcMar>
              <w:bottom w:w="28" w:type="dxa"/>
            </w:tcMar>
            <w:vAlign w:val="bottom"/>
          </w:tcPr>
          <w:p>
            <w:pPr>
              <w:pStyle w:val="TableContents"/>
              <w:spacing w:before="0" w:after="0"/>
              <w:jc w:val="right"/>
              <w:rPr/>
            </w:pPr>
            <w:r>
              <w:rPr/>
              <w:t>10</w:t>
            </w:r>
          </w:p>
        </w:tc>
        <w:tc>
          <w:tcPr>
            <w:tcW w:w="60" w:type="dxa"/>
            <w:tcBorders/>
            <w:shd w:fill="CCEEFF" w:val="clear"/>
            <w:vAlign w:val="bottom"/>
          </w:tcPr>
          <w:p>
            <w:pPr>
              <w:pStyle w:val="TableContents"/>
              <w:spacing w:before="0" w:after="283"/>
              <w:rPr/>
            </w:pPr>
            <w:r>
              <w:rPr/>
              <w:t> </w:t>
            </w:r>
          </w:p>
        </w:tc>
      </w:tr>
      <w:tr>
        <w:trPr/>
        <w:tc>
          <w:tcPr>
            <w:tcW w:w="1985" w:type="dxa"/>
            <w:tcBorders/>
            <w:shd w:fill="FFFFFF" w:val="clear"/>
            <w:vAlign w:val="bottom"/>
          </w:tcPr>
          <w:p>
            <w:pPr>
              <w:pStyle w:val="TableContents"/>
              <w:spacing w:before="0" w:after="0"/>
              <w:ind w:left="324" w:right="0" w:hanging="144"/>
              <w:rPr/>
            </w:pPr>
            <w:r>
              <w:rPr/>
              <w:t>Total</w:t>
            </w:r>
          </w:p>
        </w:tc>
        <w:tc>
          <w:tcPr>
            <w:tcW w:w="60" w:type="dxa"/>
            <w:tcBorders/>
            <w:shd w:fill="FFFFFF" w:val="clear"/>
            <w:vAlign w:val="bottom"/>
          </w:tcPr>
          <w:p>
            <w:pPr>
              <w:pStyle w:val="TableContents"/>
              <w:spacing w:before="0" w:after="283"/>
              <w:rPr/>
            </w:pPr>
            <w:r>
              <w:rPr/>
              <w:t> </w:t>
            </w:r>
          </w:p>
        </w:tc>
        <w:tc>
          <w:tcPr>
            <w:tcW w:w="364" w:type="dxa"/>
            <w:tcBorders>
              <w:bottom w:val="double" w:sz="8" w:space="0" w:color="000000"/>
            </w:tcBorders>
            <w:shd w:fill="FFFFFF" w:val="clear"/>
            <w:tcMar>
              <w:bottom w:w="28" w:type="dxa"/>
            </w:tcMar>
            <w:vAlign w:val="bottom"/>
          </w:tcPr>
          <w:p>
            <w:pPr>
              <w:pStyle w:val="TableContents"/>
              <w:spacing w:before="0" w:after="0"/>
              <w:rPr/>
            </w:pPr>
            <w:r>
              <w:rPr/>
              <w:t>$</w:t>
            </w:r>
          </w:p>
        </w:tc>
        <w:tc>
          <w:tcPr>
            <w:tcW w:w="991" w:type="dxa"/>
            <w:tcBorders>
              <w:bottom w:val="double" w:sz="8" w:space="0" w:color="000000"/>
            </w:tcBorders>
            <w:shd w:fill="FFFFFF" w:val="clear"/>
            <w:tcMar>
              <w:bottom w:w="28" w:type="dxa"/>
            </w:tcMar>
            <w:vAlign w:val="bottom"/>
          </w:tcPr>
          <w:p>
            <w:pPr>
              <w:pStyle w:val="TableContents"/>
              <w:spacing w:before="0" w:after="0"/>
              <w:jc w:val="right"/>
              <w:rPr/>
            </w:pPr>
            <w:r>
              <w:rPr/>
              <w:t>617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23" w:type="dxa"/>
            <w:tcBorders>
              <w:bottom w:val="double" w:sz="8" w:space="0" w:color="000000"/>
            </w:tcBorders>
            <w:shd w:fill="FFFFFF" w:val="clear"/>
            <w:tcMar>
              <w:bottom w:w="28" w:type="dxa"/>
            </w:tcMar>
            <w:vAlign w:val="bottom"/>
          </w:tcPr>
          <w:p>
            <w:pPr>
              <w:pStyle w:val="TableContents"/>
              <w:spacing w:before="0" w:after="0"/>
              <w:rPr/>
            </w:pPr>
            <w:r>
              <w:rPr/>
              <w:t>$</w:t>
            </w:r>
          </w:p>
        </w:tc>
        <w:tc>
          <w:tcPr>
            <w:tcW w:w="892" w:type="dxa"/>
            <w:tcBorders>
              <w:bottom w:val="double" w:sz="8" w:space="0" w:color="000000"/>
            </w:tcBorders>
            <w:shd w:fill="FFFFFF" w:val="clear"/>
            <w:tcMar>
              <w:bottom w:w="28" w:type="dxa"/>
            </w:tcMar>
            <w:vAlign w:val="bottom"/>
          </w:tcPr>
          <w:p>
            <w:pPr>
              <w:pStyle w:val="TableContents"/>
              <w:spacing w:before="0" w:after="0"/>
              <w:jc w:val="right"/>
              <w:rPr/>
            </w:pPr>
            <w:r>
              <w:rPr/>
              <w:t>1,209</w:t>
            </w:r>
          </w:p>
        </w:tc>
        <w:tc>
          <w:tcPr>
            <w:tcW w:w="60" w:type="dxa"/>
            <w:tcBorders/>
            <w:shd w:fill="FFFF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30" w:name="DSPFPageBreakArea61"/>
      <w:bookmarkStart w:id="631" w:name="DSPFPageBreakArea61"/>
      <w:bookmarkEnd w:id="6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32" w:name="DSPFPageNumber61"/>
      <w:bookmarkStart w:id="633" w:name="DSPFPageNumberArea60"/>
      <w:bookmarkEnd w:id="632"/>
      <w:bookmarkEnd w:id="633"/>
      <w:r>
        <w:rPr>
          <w:b w:val="false"/>
          <w:i w:val="false"/>
          <w:caps w:val="false"/>
          <w:smallCaps w:val="false"/>
          <w:sz w:val="13"/>
        </w:rPr>
        <w:t>62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34" w:name="DSPFPageBreak61"/>
      <w:bookmarkStart w:id="635" w:name="DSPFPageBreak61"/>
      <w:bookmarkEnd w:id="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36" w:name="DSPFPageHeader60"/>
        <w:bookmarkEnd w:id="636"/>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Variable lease costs consist primarily of taxes, insurance, and common area or other maintenance costs for our leased facilities.</w:t>
      </w:r>
    </w:p>
    <w:p>
      <w:pPr>
        <w:pStyle w:val="TextBody"/>
        <w:spacing w:before="0" w:after="0"/>
        <w:rPr/>
      </w:pPr>
      <w:r>
        <w:rPr/>
      </w:r>
    </w:p>
    <w:p>
      <w:pPr>
        <w:pStyle w:val="TextBody"/>
        <w:spacing w:before="0" w:after="0"/>
        <w:rPr/>
      </w:pPr>
      <w:r>
        <w:rPr/>
        <w:t>Supplemental balance sheet information related to our operating leases follows:</w:t>
      </w:r>
    </w:p>
    <w:p>
      <w:pPr>
        <w:pStyle w:val="TextBody"/>
        <w:spacing w:before="0" w:after="0"/>
        <w:rPr/>
      </w:pPr>
      <w:r>
        <w:rPr/>
      </w:r>
    </w:p>
    <w:p>
      <w:pPr>
        <w:pStyle w:val="Normal"/>
        <w:spacing w:before="0" w:after="0"/>
        <w:rPr>
          <w:sz w:val="4"/>
          <w:szCs w:val="4"/>
        </w:rPr>
      </w:pPr>
      <w:r>
        <w:rPr>
          <w:sz w:val="4"/>
          <w:szCs w:val="4"/>
        </w:rPr>
      </w:r>
      <w:bookmarkStart w:id="637" w:name="z4b09f19056384e05b6b1de6164250852"/>
      <w:bookmarkStart w:id="638" w:name="z4b09f19056384e05b6b1de6164250852"/>
      <w:bookmarkEnd w:id="638"/>
    </w:p>
    <w:tbl>
      <w:tblPr>
        <w:tblW w:w="6120" w:type="dxa"/>
        <w:jc w:val="left"/>
        <w:tblInd w:w="0" w:type="dxa"/>
        <w:tblCellMar>
          <w:top w:w="0" w:type="dxa"/>
          <w:left w:w="0" w:type="dxa"/>
          <w:bottom w:w="0" w:type="dxa"/>
          <w:right w:w="0" w:type="dxa"/>
        </w:tblCellMar>
      </w:tblPr>
      <w:tblGrid>
        <w:gridCol w:w="4460"/>
        <w:gridCol w:w="60"/>
        <w:gridCol w:w="274"/>
        <w:gridCol w:w="1096"/>
        <w:gridCol w:w="230"/>
      </w:tblGrid>
      <w:tr>
        <w:trPr/>
        <w:tc>
          <w:tcPr>
            <w:tcW w:w="44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bottom"/>
          </w:tcPr>
          <w:p>
            <w:pPr>
              <w:pStyle w:val="TableContents"/>
              <w:spacing w:before="0" w:after="0"/>
              <w:jc w:val="center"/>
              <w:rPr/>
            </w:pPr>
            <w:r>
              <w:rPr/>
              <w:t>June 30, 2019</w:t>
            </w:r>
          </w:p>
        </w:tc>
        <w:tc>
          <w:tcPr>
            <w:tcW w:w="230" w:type="dxa"/>
            <w:tcBorders/>
            <w:shd w:fill="auto" w:val="clear"/>
            <w:vAlign w:val="bottom"/>
          </w:tcPr>
          <w:p>
            <w:pPr>
              <w:pStyle w:val="TableContents"/>
              <w:spacing w:before="0" w:after="283"/>
              <w:rPr/>
            </w:pPr>
            <w:r>
              <w:rPr/>
              <w:t> </w:t>
            </w:r>
          </w:p>
        </w:tc>
      </w:tr>
      <w:tr>
        <w:trPr/>
        <w:tc>
          <w:tcPr>
            <w:tcW w:w="44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0"/>
              <w:jc w:val="center"/>
              <w:rPr/>
            </w:pPr>
            <w:r>
              <w:rPr/>
              <w:t>(In thousands)</w:t>
            </w:r>
          </w:p>
        </w:tc>
        <w:tc>
          <w:tcPr>
            <w:tcW w:w="230" w:type="dxa"/>
            <w:tcBorders/>
            <w:shd w:fill="auto" w:val="clear"/>
            <w:vAlign w:val="bottom"/>
          </w:tcPr>
          <w:p>
            <w:pPr>
              <w:pStyle w:val="TableContents"/>
              <w:spacing w:before="0" w:after="283"/>
              <w:rPr/>
            </w:pPr>
            <w:r>
              <w:rPr/>
              <w:t> </w:t>
            </w:r>
          </w:p>
        </w:tc>
      </w:tr>
      <w:tr>
        <w:trPr/>
        <w:tc>
          <w:tcPr>
            <w:tcW w:w="4460" w:type="dxa"/>
            <w:tcBorders/>
            <w:shd w:fill="CCEEFF" w:val="clear"/>
            <w:vAlign w:val="bottom"/>
          </w:tcPr>
          <w:p>
            <w:pPr>
              <w:pStyle w:val="TableContents"/>
              <w:spacing w:before="0" w:after="0"/>
              <w:ind w:left="144" w:right="0" w:hanging="144"/>
              <w:rPr/>
            </w:pPr>
            <w:r>
              <w:rPr/>
              <w:t>Lease right of use asset (1)</w:t>
            </w:r>
          </w:p>
        </w:tc>
        <w:tc>
          <w:tcPr>
            <w:tcW w:w="60" w:type="dxa"/>
            <w:tcBorders/>
            <w:shd w:fill="CCEEFF" w:val="clear"/>
            <w:vAlign w:val="bottom"/>
          </w:tcPr>
          <w:p>
            <w:pPr>
              <w:pStyle w:val="TableContents"/>
              <w:spacing w:before="0" w:after="283"/>
              <w:rPr/>
            </w:pPr>
            <w:r>
              <w:rPr/>
              <w:t> </w:t>
            </w:r>
          </w:p>
        </w:tc>
        <w:tc>
          <w:tcPr>
            <w:tcW w:w="274" w:type="dxa"/>
            <w:tcBorders>
              <w:bottom w:val="double" w:sz="8" w:space="0" w:color="000000"/>
            </w:tcBorders>
            <w:shd w:fill="CCEEFF" w:val="clear"/>
            <w:tcMar>
              <w:bottom w:w="28" w:type="dxa"/>
            </w:tcMar>
            <w:vAlign w:val="bottom"/>
          </w:tcPr>
          <w:p>
            <w:pPr>
              <w:pStyle w:val="TableContents"/>
              <w:spacing w:before="0" w:after="0"/>
              <w:rPr/>
            </w:pPr>
            <w:r>
              <w:rPr/>
              <w:t>$</w:t>
            </w:r>
          </w:p>
        </w:tc>
        <w:tc>
          <w:tcPr>
            <w:tcW w:w="1096" w:type="dxa"/>
            <w:tcBorders>
              <w:bottom w:val="double" w:sz="8" w:space="0" w:color="000000"/>
            </w:tcBorders>
            <w:shd w:fill="CCEEFF" w:val="clear"/>
            <w:tcMar>
              <w:bottom w:w="28" w:type="dxa"/>
            </w:tcMar>
            <w:vAlign w:val="bottom"/>
          </w:tcPr>
          <w:p>
            <w:pPr>
              <w:pStyle w:val="TableContents"/>
              <w:spacing w:before="0" w:after="0"/>
              <w:jc w:val="right"/>
              <w:rPr/>
            </w:pPr>
            <w:r>
              <w:rPr/>
              <w:t>6,692</w:t>
            </w:r>
          </w:p>
        </w:tc>
        <w:tc>
          <w:tcPr>
            <w:tcW w:w="230" w:type="dxa"/>
            <w:tcBorders/>
            <w:shd w:fill="CCEEFF" w:val="clear"/>
            <w:vAlign w:val="bottom"/>
          </w:tcPr>
          <w:p>
            <w:pPr>
              <w:pStyle w:val="TableContents"/>
              <w:spacing w:before="0" w:after="283"/>
              <w:rPr/>
            </w:pPr>
            <w:r>
              <w:rPr/>
              <w:t> </w:t>
            </w:r>
          </w:p>
        </w:tc>
      </w:tr>
      <w:tr>
        <w:trPr/>
        <w:tc>
          <w:tcPr>
            <w:tcW w:w="4460" w:type="dxa"/>
            <w:tcBorders/>
            <w:shd w:fill="FFFFFF" w:val="clear"/>
            <w:vAlign w:val="bottom"/>
          </w:tcPr>
          <w:p>
            <w:pPr>
              <w:pStyle w:val="TableContents"/>
              <w:spacing w:before="0" w:after="0"/>
              <w:ind w:left="144" w:right="0" w:hanging="144"/>
              <w:rPr/>
            </w:pPr>
            <w:r>
              <w:rPr/>
              <w:t>Lease liabilities (2)</w:t>
            </w:r>
          </w:p>
        </w:tc>
        <w:tc>
          <w:tcPr>
            <w:tcW w:w="60" w:type="dxa"/>
            <w:tcBorders/>
            <w:shd w:fill="FFFFFF" w:val="clear"/>
            <w:vAlign w:val="bottom"/>
          </w:tcPr>
          <w:p>
            <w:pPr>
              <w:pStyle w:val="TableContents"/>
              <w:spacing w:before="0" w:after="283"/>
              <w:rPr/>
            </w:pPr>
            <w:r>
              <w:rPr/>
              <w:t> </w:t>
            </w:r>
          </w:p>
        </w:tc>
        <w:tc>
          <w:tcPr>
            <w:tcW w:w="274" w:type="dxa"/>
            <w:tcBorders>
              <w:bottom w:val="double" w:sz="8" w:space="0" w:color="000000"/>
            </w:tcBorders>
            <w:shd w:fill="FFFFFF" w:val="clear"/>
            <w:tcMar>
              <w:bottom w:w="28" w:type="dxa"/>
            </w:tcMar>
            <w:vAlign w:val="bottom"/>
          </w:tcPr>
          <w:p>
            <w:pPr>
              <w:pStyle w:val="TableContents"/>
              <w:spacing w:before="0" w:after="0"/>
              <w:rPr/>
            </w:pPr>
            <w:r>
              <w:rPr/>
              <w:t>$</w:t>
            </w:r>
          </w:p>
        </w:tc>
        <w:tc>
          <w:tcPr>
            <w:tcW w:w="1096" w:type="dxa"/>
            <w:tcBorders>
              <w:bottom w:val="double" w:sz="8" w:space="0" w:color="000000"/>
            </w:tcBorders>
            <w:shd w:fill="FFFFFF" w:val="clear"/>
            <w:tcMar>
              <w:bottom w:w="28" w:type="dxa"/>
            </w:tcMar>
            <w:vAlign w:val="bottom"/>
          </w:tcPr>
          <w:p>
            <w:pPr>
              <w:pStyle w:val="TableContents"/>
              <w:spacing w:before="0" w:after="0"/>
              <w:jc w:val="right"/>
              <w:rPr/>
            </w:pPr>
            <w:r>
              <w:rPr/>
              <w:t>6,700</w:t>
            </w:r>
          </w:p>
        </w:tc>
        <w:tc>
          <w:tcPr>
            <w:tcW w:w="230" w:type="dxa"/>
            <w:tcBorders/>
            <w:shd w:fill="FFFFFF" w:val="clear"/>
            <w:vAlign w:val="bottom"/>
          </w:tcPr>
          <w:p>
            <w:pPr>
              <w:pStyle w:val="TableContents"/>
              <w:spacing w:before="0" w:after="283"/>
              <w:rPr/>
            </w:pPr>
            <w:r>
              <w:rPr/>
              <w:t> </w:t>
            </w:r>
          </w:p>
        </w:tc>
      </w:tr>
      <w:tr>
        <w:trPr/>
        <w:tc>
          <w:tcPr>
            <w:tcW w:w="44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 </w:t>
            </w:r>
          </w:p>
        </w:tc>
        <w:tc>
          <w:tcPr>
            <w:tcW w:w="230" w:type="dxa"/>
            <w:tcBorders/>
            <w:shd w:fill="CCEEFF" w:val="clear"/>
            <w:vAlign w:val="bottom"/>
          </w:tcPr>
          <w:p>
            <w:pPr>
              <w:pStyle w:val="TableContents"/>
              <w:spacing w:before="0" w:after="283"/>
              <w:rPr/>
            </w:pPr>
            <w:r>
              <w:rPr/>
              <w:t> </w:t>
            </w:r>
          </w:p>
        </w:tc>
      </w:tr>
      <w:tr>
        <w:trPr/>
        <w:tc>
          <w:tcPr>
            <w:tcW w:w="4460" w:type="dxa"/>
            <w:tcBorders/>
            <w:shd w:fill="FFFFFF" w:val="clear"/>
            <w:vAlign w:val="bottom"/>
          </w:tcPr>
          <w:p>
            <w:pPr>
              <w:pStyle w:val="TableContents"/>
              <w:spacing w:before="0" w:after="0"/>
              <w:ind w:left="144" w:right="0" w:hanging="144"/>
              <w:rPr/>
            </w:pPr>
            <w:r>
              <w:rPr/>
              <w:t>Weighted average remaining lease term (years)</w:t>
            </w:r>
          </w:p>
        </w:tc>
        <w:tc>
          <w:tcPr>
            <w:tcW w:w="60" w:type="dxa"/>
            <w:tcBorders/>
            <w:shd w:fill="FFFFFF" w:val="clear"/>
            <w:vAlign w:val="bottom"/>
          </w:tcPr>
          <w:p>
            <w:pPr>
              <w:pStyle w:val="TableContents"/>
              <w:spacing w:before="0" w:after="283"/>
              <w:rPr/>
            </w:pPr>
            <w:r>
              <w:rPr/>
              <w:t> </w:t>
            </w:r>
          </w:p>
        </w:tc>
        <w:tc>
          <w:tcPr>
            <w:tcW w:w="274" w:type="dxa"/>
            <w:tcBorders>
              <w:bottom w:val="double" w:sz="8" w:space="0" w:color="000000"/>
            </w:tcBorders>
            <w:shd w:fill="FFFFFF" w:val="clear"/>
            <w:tcMar>
              <w:bottom w:w="28" w:type="dxa"/>
            </w:tcMar>
            <w:vAlign w:val="bottom"/>
          </w:tcPr>
          <w:p>
            <w:pPr>
              <w:pStyle w:val="TableContents"/>
              <w:spacing w:before="0" w:after="283"/>
              <w:rPr/>
            </w:pPr>
            <w:r>
              <w:rPr/>
              <w:t> </w:t>
            </w:r>
          </w:p>
        </w:tc>
        <w:tc>
          <w:tcPr>
            <w:tcW w:w="1096" w:type="dxa"/>
            <w:tcBorders>
              <w:bottom w:val="double" w:sz="8" w:space="0" w:color="000000"/>
            </w:tcBorders>
            <w:shd w:fill="FFFFFF" w:val="clear"/>
            <w:tcMar>
              <w:bottom w:w="28" w:type="dxa"/>
            </w:tcMar>
            <w:vAlign w:val="bottom"/>
          </w:tcPr>
          <w:p>
            <w:pPr>
              <w:pStyle w:val="TableContents"/>
              <w:spacing w:before="0" w:after="0"/>
              <w:jc w:val="right"/>
              <w:rPr/>
            </w:pPr>
            <w:r>
              <w:rPr/>
              <w:t>5.58</w:t>
            </w:r>
          </w:p>
        </w:tc>
        <w:tc>
          <w:tcPr>
            <w:tcW w:w="230" w:type="dxa"/>
            <w:tcBorders/>
            <w:shd w:fill="FFFFFF" w:val="clear"/>
            <w:vAlign w:val="bottom"/>
          </w:tcPr>
          <w:p>
            <w:pPr>
              <w:pStyle w:val="TableContents"/>
              <w:spacing w:before="0" w:after="283"/>
              <w:rPr/>
            </w:pPr>
            <w:r>
              <w:rPr/>
              <w:t> </w:t>
            </w:r>
          </w:p>
        </w:tc>
      </w:tr>
      <w:tr>
        <w:trPr/>
        <w:tc>
          <w:tcPr>
            <w:tcW w:w="4460" w:type="dxa"/>
            <w:tcBorders/>
            <w:shd w:fill="CCEEFF" w:val="clear"/>
            <w:vAlign w:val="bottom"/>
          </w:tcPr>
          <w:p>
            <w:pPr>
              <w:pStyle w:val="TableContents"/>
              <w:spacing w:before="0" w:after="0"/>
              <w:ind w:left="144" w:right="0" w:hanging="144"/>
              <w:rPr/>
            </w:pPr>
            <w:r>
              <w:rPr/>
              <w:t>Weighted average discount rate</w:t>
            </w:r>
          </w:p>
        </w:tc>
        <w:tc>
          <w:tcPr>
            <w:tcW w:w="60" w:type="dxa"/>
            <w:tcBorders/>
            <w:shd w:fill="CCEEFF" w:val="clear"/>
            <w:vAlign w:val="bottom"/>
          </w:tcPr>
          <w:p>
            <w:pPr>
              <w:pStyle w:val="TableContents"/>
              <w:spacing w:before="0" w:after="283"/>
              <w:rPr/>
            </w:pPr>
            <w:r>
              <w:rPr/>
              <w:t> </w:t>
            </w:r>
          </w:p>
        </w:tc>
        <w:tc>
          <w:tcPr>
            <w:tcW w:w="274"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96" w:type="dxa"/>
            <w:tcBorders>
              <w:bottom w:val="double" w:sz="8" w:space="0" w:color="000000"/>
            </w:tcBorders>
            <w:shd w:fill="CCEEFF" w:val="clear"/>
            <w:tcMar>
              <w:bottom w:w="28" w:type="dxa"/>
            </w:tcMar>
            <w:vAlign w:val="bottom"/>
          </w:tcPr>
          <w:p>
            <w:pPr>
              <w:pStyle w:val="TableContents"/>
              <w:spacing w:before="0" w:after="0"/>
              <w:jc w:val="right"/>
              <w:rPr/>
            </w:pPr>
            <w:r>
              <w:rPr/>
              <w:t>3.2</w:t>
            </w:r>
          </w:p>
        </w:tc>
        <w:tc>
          <w:tcPr>
            <w:tcW w:w="230" w:type="dxa"/>
            <w:tcBorders/>
            <w:shd w:fill="CCEEFF" w:val="clear"/>
            <w:vAlign w:val="bottom"/>
          </w:tcPr>
          <w:p>
            <w:pPr>
              <w:pStyle w:val="TableContents"/>
              <w:spacing w:before="0" w:after="0"/>
              <w:rPr/>
            </w:pPr>
            <w:r>
              <w:rPr/>
              <w:t>%</w:t>
            </w:r>
          </w:p>
        </w:tc>
      </w:tr>
    </w:tbl>
    <w:p>
      <w:pPr>
        <w:pStyle w:val="TextBody"/>
        <w:spacing w:before="0" w:after="0"/>
        <w:rPr/>
      </w:pPr>
      <w:r>
        <w:rPr/>
      </w:r>
    </w:p>
    <w:p>
      <w:pPr>
        <w:pStyle w:val="Normal"/>
        <w:spacing w:before="0" w:after="0"/>
        <w:rPr>
          <w:sz w:val="4"/>
          <w:szCs w:val="4"/>
        </w:rPr>
      </w:pPr>
      <w:r>
        <w:rPr>
          <w:sz w:val="4"/>
          <w:szCs w:val="4"/>
        </w:rPr>
      </w:r>
      <w:bookmarkStart w:id="639" w:name="zce5e1385aa82400185f6eed43f42b263"/>
      <w:bookmarkStart w:id="640" w:name="zce5e1385aa82400185f6eed43f42b263"/>
      <w:bookmarkEnd w:id="640"/>
    </w:p>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0"/>
              <w:rPr/>
            </w:pPr>
            <w:r>
              <w:rPr/>
              <w:t>(1)</w:t>
            </w:r>
          </w:p>
        </w:tc>
        <w:tc>
          <w:tcPr>
            <w:tcW w:w="9907" w:type="dxa"/>
            <w:tcBorders/>
            <w:shd w:fill="auto" w:val="clear"/>
            <w:vAlign w:val="center"/>
          </w:tcPr>
          <w:p>
            <w:pPr>
              <w:pStyle w:val="TableContents"/>
              <w:spacing w:before="0" w:after="0"/>
              <w:rPr/>
            </w:pPr>
            <w:r>
              <w:rPr/>
              <w:t> </w:t>
            </w:r>
            <w:r>
              <w:rPr/>
              <w:t>Included in Accrued income and other assets in our Condensed Consolidated Statements of Financial Condition.</w:t>
            </w:r>
          </w:p>
        </w:tc>
      </w:tr>
    </w:tbl>
    <w:p>
      <w:pPr>
        <w:pStyle w:val="Normal"/>
        <w:spacing w:before="0" w:after="0"/>
        <w:rPr>
          <w:sz w:val="4"/>
          <w:szCs w:val="4"/>
        </w:rPr>
      </w:pPr>
      <w:r>
        <w:rPr>
          <w:sz w:val="4"/>
          <w:szCs w:val="4"/>
        </w:rPr>
      </w:r>
      <w:bookmarkStart w:id="641" w:name="za1b765294ef542ff81f9fc1387aece53"/>
      <w:bookmarkStart w:id="642" w:name="za1b765294ef542ff81f9fc1387aece53"/>
      <w:bookmarkEnd w:id="642"/>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0"/>
              <w:rPr/>
            </w:pPr>
            <w:r>
              <w:rPr/>
              <w:t>(2)</w:t>
            </w:r>
          </w:p>
        </w:tc>
        <w:tc>
          <w:tcPr>
            <w:tcW w:w="9910" w:type="dxa"/>
            <w:tcBorders/>
            <w:shd w:fill="auto" w:val="clear"/>
            <w:vAlign w:val="center"/>
          </w:tcPr>
          <w:p>
            <w:pPr>
              <w:pStyle w:val="TableContents"/>
              <w:spacing w:before="0" w:after="0"/>
              <w:rPr/>
            </w:pPr>
            <w:r>
              <w:rPr/>
              <w:t> </w:t>
            </w:r>
            <w:r>
              <w:rPr/>
              <w:t>Included in Accrued expenses and other liabilities in our Condensed Consolidated Statements of Financial Condition.</w:t>
            </w:r>
          </w:p>
        </w:tc>
      </w:tr>
    </w:tbl>
    <w:p>
      <w:pPr>
        <w:pStyle w:val="TextBody"/>
        <w:spacing w:before="0" w:after="0"/>
        <w:rPr/>
      </w:pPr>
      <w:r>
        <w:rPr/>
      </w:r>
    </w:p>
    <w:p>
      <w:pPr>
        <w:pStyle w:val="TextBody"/>
        <w:spacing w:before="0" w:after="0"/>
        <w:rPr/>
      </w:pPr>
      <w:r>
        <w:rPr/>
        <w:t>Maturity analysis of our lease liabilities at June 30, 2019 based on required contractual payments follows:</w:t>
      </w:r>
    </w:p>
    <w:p>
      <w:pPr>
        <w:pStyle w:val="TextBody"/>
        <w:spacing w:before="0" w:after="0"/>
        <w:rPr/>
      </w:pPr>
      <w:r>
        <w:rPr/>
      </w:r>
    </w:p>
    <w:p>
      <w:pPr>
        <w:pStyle w:val="Normal"/>
        <w:spacing w:before="0" w:after="0"/>
        <w:rPr>
          <w:sz w:val="4"/>
          <w:szCs w:val="4"/>
        </w:rPr>
      </w:pPr>
      <w:r>
        <w:rPr>
          <w:sz w:val="4"/>
          <w:szCs w:val="4"/>
        </w:rPr>
      </w:r>
      <w:bookmarkStart w:id="643" w:name="z399a04e537044279aacd61b0cf374814"/>
      <w:bookmarkStart w:id="644" w:name="z399a04e537044279aacd61b0cf374814"/>
      <w:bookmarkEnd w:id="644"/>
    </w:p>
    <w:tbl>
      <w:tblPr>
        <w:tblW w:w="5400" w:type="dxa"/>
        <w:jc w:val="left"/>
        <w:tblInd w:w="0" w:type="dxa"/>
        <w:tblCellMar>
          <w:top w:w="0" w:type="dxa"/>
          <w:left w:w="0" w:type="dxa"/>
          <w:bottom w:w="0" w:type="dxa"/>
          <w:right w:w="0" w:type="dxa"/>
        </w:tblCellMar>
      </w:tblPr>
      <w:tblGrid>
        <w:gridCol w:w="3740"/>
        <w:gridCol w:w="60"/>
        <w:gridCol w:w="298"/>
        <w:gridCol w:w="1192"/>
        <w:gridCol w:w="110"/>
      </w:tblGrid>
      <w:tr>
        <w:trPr/>
        <w:tc>
          <w:tcPr>
            <w:tcW w:w="3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0"/>
              <w:jc w:val="center"/>
              <w:rPr>
                <w:b/>
              </w:rPr>
            </w:pPr>
            <w:r>
              <w:rPr>
                <w:b/>
              </w:rPr>
              <w:t>(In thousands)</w:t>
            </w:r>
          </w:p>
        </w:tc>
        <w:tc>
          <w:tcPr>
            <w:tcW w:w="110" w:type="dxa"/>
            <w:tcBorders/>
            <w:shd w:fill="auto" w:val="clear"/>
            <w:vAlign w:val="bottom"/>
          </w:tcPr>
          <w:p>
            <w:pPr>
              <w:pStyle w:val="TableContents"/>
              <w:spacing w:before="0" w:after="283"/>
              <w:rPr/>
            </w:pPr>
            <w:r>
              <w:rPr/>
              <w:t> </w:t>
            </w:r>
          </w:p>
        </w:tc>
      </w:tr>
      <w:tr>
        <w:trPr/>
        <w:tc>
          <w:tcPr>
            <w:tcW w:w="37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3740" w:type="dxa"/>
            <w:tcBorders/>
            <w:shd w:fill="CCEEFF" w:val="clear"/>
            <w:vAlign w:val="bottom"/>
          </w:tcPr>
          <w:p>
            <w:pPr>
              <w:pStyle w:val="TableContents"/>
              <w:spacing w:before="0" w:after="0"/>
              <w:ind w:left="144" w:right="0" w:hanging="144"/>
              <w:rPr/>
            </w:pPr>
            <w:r>
              <w:rPr/>
              <w:t>Six months ending December 31, 2019</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0"/>
              <w:rPr/>
            </w:pPr>
            <w:r>
              <w:rPr/>
              <w:t>$</w:t>
            </w:r>
          </w:p>
        </w:tc>
        <w:tc>
          <w:tcPr>
            <w:tcW w:w="1192" w:type="dxa"/>
            <w:tcBorders/>
            <w:shd w:fill="CCEEFF" w:val="clear"/>
            <w:vAlign w:val="bottom"/>
          </w:tcPr>
          <w:p>
            <w:pPr>
              <w:pStyle w:val="TableContents"/>
              <w:spacing w:before="0" w:after="0"/>
              <w:jc w:val="right"/>
              <w:rPr/>
            </w:pPr>
            <w:r>
              <w:rPr/>
              <w:t>1,098</w:t>
            </w:r>
          </w:p>
        </w:tc>
        <w:tc>
          <w:tcPr>
            <w:tcW w:w="110" w:type="dxa"/>
            <w:tcBorders/>
            <w:shd w:fill="CCEEFF" w:val="clear"/>
            <w:vAlign w:val="bottom"/>
          </w:tcPr>
          <w:p>
            <w:pPr>
              <w:pStyle w:val="TableContents"/>
              <w:spacing w:before="0" w:after="283"/>
              <w:rPr/>
            </w:pPr>
            <w:r>
              <w:rPr/>
              <w:t> </w:t>
            </w:r>
          </w:p>
        </w:tc>
      </w:tr>
      <w:tr>
        <w:trPr/>
        <w:tc>
          <w:tcPr>
            <w:tcW w:w="3740" w:type="dxa"/>
            <w:tcBorders/>
            <w:shd w:fill="FFFFFF" w:val="clear"/>
            <w:vAlign w:val="bottom"/>
          </w:tcPr>
          <w:p>
            <w:pPr>
              <w:pStyle w:val="TableContents"/>
              <w:spacing w:before="0" w:after="0"/>
              <w:ind w:left="144" w:right="0" w:hanging="144"/>
              <w:rPr/>
            </w:pPr>
            <w:r>
              <w:rPr/>
              <w:t>2020</w:t>
            </w:r>
          </w:p>
        </w:tc>
        <w:tc>
          <w:tcPr>
            <w:tcW w:w="60" w:type="dxa"/>
            <w:tcBorders/>
            <w:shd w:fill="FFFFFF" w:val="clear"/>
            <w:vAlign w:val="bottom"/>
          </w:tcPr>
          <w:p>
            <w:pPr>
              <w:pStyle w:val="TableContents"/>
              <w:spacing w:before="0" w:after="283"/>
              <w:rPr/>
            </w:pPr>
            <w:r>
              <w:rPr/>
              <w:t> </w:t>
            </w:r>
          </w:p>
        </w:tc>
        <w:tc>
          <w:tcPr>
            <w:tcW w:w="298" w:type="dxa"/>
            <w:tcBorders/>
            <w:shd w:fill="FFFFFF" w:val="clear"/>
            <w:vAlign w:val="bottom"/>
          </w:tcPr>
          <w:p>
            <w:pPr>
              <w:pStyle w:val="TableContents"/>
              <w:spacing w:before="0" w:after="283"/>
              <w:rPr/>
            </w:pPr>
            <w:r>
              <w:rPr/>
              <w:t> </w:t>
            </w:r>
          </w:p>
        </w:tc>
        <w:tc>
          <w:tcPr>
            <w:tcW w:w="1192" w:type="dxa"/>
            <w:tcBorders/>
            <w:shd w:fill="FFFFFF" w:val="clear"/>
            <w:vAlign w:val="bottom"/>
          </w:tcPr>
          <w:p>
            <w:pPr>
              <w:pStyle w:val="TableContents"/>
              <w:spacing w:before="0" w:after="0"/>
              <w:jc w:val="right"/>
              <w:rPr/>
            </w:pPr>
            <w:r>
              <w:rPr/>
              <w:t>1,711</w:t>
            </w:r>
          </w:p>
        </w:tc>
        <w:tc>
          <w:tcPr>
            <w:tcW w:w="110" w:type="dxa"/>
            <w:tcBorders/>
            <w:shd w:fill="FFFFFF" w:val="clear"/>
            <w:vAlign w:val="bottom"/>
          </w:tcPr>
          <w:p>
            <w:pPr>
              <w:pStyle w:val="TableContents"/>
              <w:spacing w:before="0" w:after="283"/>
              <w:rPr/>
            </w:pPr>
            <w:r>
              <w:rPr/>
              <w:t> </w:t>
            </w:r>
          </w:p>
        </w:tc>
      </w:tr>
      <w:tr>
        <w:trPr/>
        <w:tc>
          <w:tcPr>
            <w:tcW w:w="3740" w:type="dxa"/>
            <w:tcBorders/>
            <w:shd w:fill="CCEEFF" w:val="clear"/>
            <w:vAlign w:val="bottom"/>
          </w:tcPr>
          <w:p>
            <w:pPr>
              <w:pStyle w:val="TableContents"/>
              <w:spacing w:before="0" w:after="0"/>
              <w:ind w:left="144" w:right="0" w:hanging="144"/>
              <w:rPr/>
            </w:pPr>
            <w:r>
              <w:rPr/>
              <w:t>2021</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0"/>
              <w:jc w:val="right"/>
              <w:rPr/>
            </w:pPr>
            <w:r>
              <w:rPr/>
              <w:t>1,248</w:t>
            </w:r>
          </w:p>
        </w:tc>
        <w:tc>
          <w:tcPr>
            <w:tcW w:w="110" w:type="dxa"/>
            <w:tcBorders/>
            <w:shd w:fill="CCEEFF" w:val="clear"/>
            <w:vAlign w:val="bottom"/>
          </w:tcPr>
          <w:p>
            <w:pPr>
              <w:pStyle w:val="TableContents"/>
              <w:spacing w:before="0" w:after="283"/>
              <w:rPr/>
            </w:pPr>
            <w:r>
              <w:rPr/>
              <w:t> </w:t>
            </w:r>
          </w:p>
        </w:tc>
      </w:tr>
      <w:tr>
        <w:trPr/>
        <w:tc>
          <w:tcPr>
            <w:tcW w:w="3740" w:type="dxa"/>
            <w:tcBorders/>
            <w:shd w:fill="FFFFFF" w:val="clear"/>
            <w:vAlign w:val="bottom"/>
          </w:tcPr>
          <w:p>
            <w:pPr>
              <w:pStyle w:val="TableContents"/>
              <w:spacing w:before="0" w:after="0"/>
              <w:ind w:left="144" w:right="0" w:hanging="144"/>
              <w:rPr/>
            </w:pPr>
            <w:r>
              <w:rPr/>
              <w:t>2022</w:t>
            </w:r>
          </w:p>
        </w:tc>
        <w:tc>
          <w:tcPr>
            <w:tcW w:w="60" w:type="dxa"/>
            <w:tcBorders/>
            <w:shd w:fill="FFFFFF" w:val="clear"/>
            <w:vAlign w:val="bottom"/>
          </w:tcPr>
          <w:p>
            <w:pPr>
              <w:pStyle w:val="TableContents"/>
              <w:spacing w:before="0" w:after="283"/>
              <w:rPr/>
            </w:pPr>
            <w:r>
              <w:rPr/>
              <w:t> </w:t>
            </w:r>
          </w:p>
        </w:tc>
        <w:tc>
          <w:tcPr>
            <w:tcW w:w="298" w:type="dxa"/>
            <w:tcBorders/>
            <w:shd w:fill="FFFFFF" w:val="clear"/>
            <w:vAlign w:val="bottom"/>
          </w:tcPr>
          <w:p>
            <w:pPr>
              <w:pStyle w:val="TableContents"/>
              <w:spacing w:before="0" w:after="283"/>
              <w:rPr/>
            </w:pPr>
            <w:r>
              <w:rPr/>
              <w:t> </w:t>
            </w:r>
          </w:p>
        </w:tc>
        <w:tc>
          <w:tcPr>
            <w:tcW w:w="1192" w:type="dxa"/>
            <w:tcBorders/>
            <w:shd w:fill="FFFFFF" w:val="clear"/>
            <w:vAlign w:val="bottom"/>
          </w:tcPr>
          <w:p>
            <w:pPr>
              <w:pStyle w:val="TableContents"/>
              <w:spacing w:before="0" w:after="0"/>
              <w:jc w:val="right"/>
              <w:rPr/>
            </w:pPr>
            <w:r>
              <w:rPr/>
              <w:t>963</w:t>
            </w:r>
          </w:p>
        </w:tc>
        <w:tc>
          <w:tcPr>
            <w:tcW w:w="110" w:type="dxa"/>
            <w:tcBorders/>
            <w:shd w:fill="FFFFFF" w:val="clear"/>
            <w:vAlign w:val="bottom"/>
          </w:tcPr>
          <w:p>
            <w:pPr>
              <w:pStyle w:val="TableContents"/>
              <w:spacing w:before="0" w:after="283"/>
              <w:rPr/>
            </w:pPr>
            <w:r>
              <w:rPr/>
              <w:t> </w:t>
            </w:r>
          </w:p>
        </w:tc>
      </w:tr>
      <w:tr>
        <w:trPr/>
        <w:tc>
          <w:tcPr>
            <w:tcW w:w="3740" w:type="dxa"/>
            <w:tcBorders/>
            <w:shd w:fill="CCEEFF" w:val="clear"/>
            <w:vAlign w:val="bottom"/>
          </w:tcPr>
          <w:p>
            <w:pPr>
              <w:pStyle w:val="TableContents"/>
              <w:spacing w:before="0" w:after="0"/>
              <w:ind w:left="144" w:right="0" w:hanging="144"/>
              <w:rPr/>
            </w:pPr>
            <w:r>
              <w:rPr/>
              <w:t>2023</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0"/>
              <w:jc w:val="right"/>
              <w:rPr/>
            </w:pPr>
            <w:r>
              <w:rPr/>
              <w:t>925</w:t>
            </w:r>
          </w:p>
        </w:tc>
        <w:tc>
          <w:tcPr>
            <w:tcW w:w="110" w:type="dxa"/>
            <w:tcBorders/>
            <w:shd w:fill="CCEEFF" w:val="clear"/>
            <w:vAlign w:val="bottom"/>
          </w:tcPr>
          <w:p>
            <w:pPr>
              <w:pStyle w:val="TableContents"/>
              <w:spacing w:before="0" w:after="283"/>
              <w:rPr/>
            </w:pPr>
            <w:r>
              <w:rPr/>
              <w:t> </w:t>
            </w:r>
          </w:p>
        </w:tc>
      </w:tr>
      <w:tr>
        <w:trPr/>
        <w:tc>
          <w:tcPr>
            <w:tcW w:w="3740" w:type="dxa"/>
            <w:tcBorders/>
            <w:shd w:fill="FFFFFF" w:val="clear"/>
            <w:vAlign w:val="bottom"/>
          </w:tcPr>
          <w:p>
            <w:pPr>
              <w:pStyle w:val="TableContents"/>
              <w:spacing w:before="0" w:after="0"/>
              <w:ind w:left="144" w:right="0" w:hanging="144"/>
              <w:rPr/>
            </w:pPr>
            <w:r>
              <w:rPr/>
              <w:t>2024 and thereafter</w:t>
            </w:r>
          </w:p>
        </w:tc>
        <w:tc>
          <w:tcPr>
            <w:tcW w:w="60" w:type="dxa"/>
            <w:tcBorders/>
            <w:shd w:fill="FFFFFF" w:val="clear"/>
            <w:vAlign w:val="bottom"/>
          </w:tcPr>
          <w:p>
            <w:pPr>
              <w:pStyle w:val="TableContents"/>
              <w:spacing w:before="0" w:after="283"/>
              <w:rPr/>
            </w:pPr>
            <w:r>
              <w:rPr/>
              <w:t> </w:t>
            </w:r>
          </w:p>
        </w:tc>
        <w:tc>
          <w:tcPr>
            <w:tcW w:w="29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92" w:type="dxa"/>
            <w:tcBorders>
              <w:bottom w:val="single" w:sz="12" w:space="0" w:color="000000"/>
            </w:tcBorders>
            <w:shd w:fill="FFFFFF" w:val="clear"/>
            <w:tcMar>
              <w:bottom w:w="28" w:type="dxa"/>
            </w:tcMar>
            <w:vAlign w:val="bottom"/>
          </w:tcPr>
          <w:p>
            <w:pPr>
              <w:pStyle w:val="TableContents"/>
              <w:spacing w:before="0" w:after="0"/>
              <w:jc w:val="right"/>
              <w:rPr/>
            </w:pPr>
            <w:r>
              <w:rPr/>
              <w:t>1,428</w:t>
            </w:r>
          </w:p>
        </w:tc>
        <w:tc>
          <w:tcPr>
            <w:tcW w:w="110" w:type="dxa"/>
            <w:tcBorders/>
            <w:shd w:fill="FFFFFF" w:val="clear"/>
            <w:vAlign w:val="bottom"/>
          </w:tcPr>
          <w:p>
            <w:pPr>
              <w:pStyle w:val="TableContents"/>
              <w:spacing w:before="0" w:after="283"/>
              <w:rPr/>
            </w:pPr>
            <w:r>
              <w:rPr/>
              <w:t> </w:t>
            </w:r>
          </w:p>
        </w:tc>
      </w:tr>
      <w:tr>
        <w:trPr/>
        <w:tc>
          <w:tcPr>
            <w:tcW w:w="3740" w:type="dxa"/>
            <w:tcBorders/>
            <w:shd w:fill="CCEEFF" w:val="clear"/>
            <w:vAlign w:val="bottom"/>
          </w:tcPr>
          <w:p>
            <w:pPr>
              <w:pStyle w:val="TableContents"/>
              <w:spacing w:before="0" w:after="0"/>
              <w:ind w:left="324" w:right="0" w:hanging="144"/>
              <w:rPr/>
            </w:pPr>
            <w:r>
              <w:rPr/>
              <w:t>Total lease payments</w:t>
            </w:r>
          </w:p>
        </w:tc>
        <w:tc>
          <w:tcPr>
            <w:tcW w:w="60"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0"/>
              <w:jc w:val="right"/>
              <w:rPr/>
            </w:pPr>
            <w:r>
              <w:rPr/>
              <w:t>7,373</w:t>
            </w:r>
          </w:p>
        </w:tc>
        <w:tc>
          <w:tcPr>
            <w:tcW w:w="110" w:type="dxa"/>
            <w:tcBorders/>
            <w:shd w:fill="CCEEFF" w:val="clear"/>
            <w:vAlign w:val="bottom"/>
          </w:tcPr>
          <w:p>
            <w:pPr>
              <w:pStyle w:val="TableContents"/>
              <w:spacing w:before="0" w:after="283"/>
              <w:rPr/>
            </w:pPr>
            <w:r>
              <w:rPr/>
              <w:t> </w:t>
            </w:r>
          </w:p>
        </w:tc>
      </w:tr>
      <w:tr>
        <w:trPr/>
        <w:tc>
          <w:tcPr>
            <w:tcW w:w="3740" w:type="dxa"/>
            <w:tcBorders/>
            <w:shd w:fill="FFFFFF" w:val="clear"/>
            <w:vAlign w:val="bottom"/>
          </w:tcPr>
          <w:p>
            <w:pPr>
              <w:pStyle w:val="TableContents"/>
              <w:spacing w:before="0" w:after="0"/>
              <w:ind w:left="144" w:right="0" w:hanging="144"/>
              <w:rPr/>
            </w:pPr>
            <w:r>
              <w:rPr/>
              <w:t>Less imputed interest</w:t>
            </w:r>
          </w:p>
        </w:tc>
        <w:tc>
          <w:tcPr>
            <w:tcW w:w="60" w:type="dxa"/>
            <w:tcBorders/>
            <w:shd w:fill="FFFFFF" w:val="clear"/>
            <w:vAlign w:val="bottom"/>
          </w:tcPr>
          <w:p>
            <w:pPr>
              <w:pStyle w:val="TableContents"/>
              <w:spacing w:before="0" w:after="283"/>
              <w:rPr/>
            </w:pPr>
            <w:r>
              <w:rPr/>
              <w:t> </w:t>
            </w:r>
          </w:p>
        </w:tc>
        <w:tc>
          <w:tcPr>
            <w:tcW w:w="29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92" w:type="dxa"/>
            <w:tcBorders>
              <w:bottom w:val="single" w:sz="12" w:space="0" w:color="000000"/>
            </w:tcBorders>
            <w:shd w:fill="FFFFFF" w:val="clear"/>
            <w:tcMar>
              <w:bottom w:w="28" w:type="dxa"/>
            </w:tcMar>
            <w:vAlign w:val="bottom"/>
          </w:tcPr>
          <w:p>
            <w:pPr>
              <w:pStyle w:val="TableContents"/>
              <w:spacing w:before="0" w:after="0"/>
              <w:jc w:val="right"/>
              <w:rPr/>
            </w:pPr>
            <w:r>
              <w:rPr/>
              <w:t>(673</w:t>
            </w:r>
          </w:p>
        </w:tc>
        <w:tc>
          <w:tcPr>
            <w:tcW w:w="110" w:type="dxa"/>
            <w:tcBorders/>
            <w:shd w:fill="FFFFFF" w:val="clear"/>
            <w:vAlign w:val="bottom"/>
          </w:tcPr>
          <w:p>
            <w:pPr>
              <w:pStyle w:val="TableContents"/>
              <w:spacing w:before="0" w:after="0"/>
              <w:rPr/>
            </w:pPr>
            <w:r>
              <w:rPr/>
              <w:t>)</w:t>
            </w:r>
          </w:p>
        </w:tc>
      </w:tr>
      <w:tr>
        <w:trPr/>
        <w:tc>
          <w:tcPr>
            <w:tcW w:w="3740" w:type="dxa"/>
            <w:tcBorders/>
            <w:shd w:fill="CCEEFF" w:val="clear"/>
            <w:vAlign w:val="bottom"/>
          </w:tcPr>
          <w:p>
            <w:pPr>
              <w:pStyle w:val="TableContents"/>
              <w:spacing w:before="0" w:after="0"/>
              <w:ind w:left="324" w:right="0" w:hanging="144"/>
              <w:rPr/>
            </w:pPr>
            <w:r>
              <w:rPr/>
              <w:t>Total</w:t>
            </w:r>
          </w:p>
        </w:tc>
        <w:tc>
          <w:tcPr>
            <w:tcW w:w="60" w:type="dxa"/>
            <w:tcBorders/>
            <w:shd w:fill="CCEEFF" w:val="clear"/>
            <w:vAlign w:val="bottom"/>
          </w:tcPr>
          <w:p>
            <w:pPr>
              <w:pStyle w:val="TableContents"/>
              <w:spacing w:before="0" w:after="283"/>
              <w:rPr/>
            </w:pPr>
            <w:r>
              <w:rPr/>
              <w:t> </w:t>
            </w:r>
          </w:p>
        </w:tc>
        <w:tc>
          <w:tcPr>
            <w:tcW w:w="298" w:type="dxa"/>
            <w:tcBorders>
              <w:bottom w:val="double" w:sz="8" w:space="0" w:color="000000"/>
            </w:tcBorders>
            <w:shd w:fill="CCEEFF" w:val="clear"/>
            <w:tcMar>
              <w:bottom w:w="28" w:type="dxa"/>
            </w:tcMar>
            <w:vAlign w:val="bottom"/>
          </w:tcPr>
          <w:p>
            <w:pPr>
              <w:pStyle w:val="TableContents"/>
              <w:spacing w:before="0" w:after="0"/>
              <w:rPr/>
            </w:pPr>
            <w:r>
              <w:rPr/>
              <w:t>$</w:t>
            </w:r>
          </w:p>
        </w:tc>
        <w:tc>
          <w:tcPr>
            <w:tcW w:w="1192" w:type="dxa"/>
            <w:tcBorders>
              <w:bottom w:val="double" w:sz="8" w:space="0" w:color="000000"/>
            </w:tcBorders>
            <w:shd w:fill="CCEEFF" w:val="clear"/>
            <w:tcMar>
              <w:bottom w:w="28" w:type="dxa"/>
            </w:tcMar>
            <w:vAlign w:val="bottom"/>
          </w:tcPr>
          <w:p>
            <w:pPr>
              <w:pStyle w:val="TableContents"/>
              <w:spacing w:before="0" w:after="0"/>
              <w:jc w:val="right"/>
              <w:rPr/>
            </w:pPr>
            <w:r>
              <w:rPr/>
              <w:t>6,700</w:t>
            </w:r>
          </w:p>
        </w:tc>
        <w:tc>
          <w:tcPr>
            <w:tcW w:w="110" w:type="dxa"/>
            <w:tcBorders/>
            <w:shd w:fill="CCEE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45" w:name="DSPFPageBreakArea62"/>
      <w:bookmarkStart w:id="646" w:name="DSPFPageBreakArea62"/>
      <w:bookmarkEnd w:id="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47" w:name="DSPFPageNumber62"/>
      <w:bookmarkStart w:id="648" w:name="DSPFPageNumberArea61"/>
      <w:bookmarkEnd w:id="647"/>
      <w:bookmarkEnd w:id="648"/>
      <w:r>
        <w:rPr>
          <w:b w:val="false"/>
          <w:i w:val="false"/>
          <w:caps w:val="false"/>
          <w:smallCaps w:val="false"/>
          <w:sz w:val="13"/>
        </w:rPr>
        <w:t>63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49" w:name="DSPFPageBreak62"/>
      <w:bookmarkStart w:id="650" w:name="DSPFPageBreak62"/>
      <w:bookmarkEnd w:id="6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51" w:name="DSPFPageHeader61"/>
        <w:bookmarkEnd w:id="651"/>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rPr/>
      </w:pPr>
      <w:r>
        <w:rPr/>
        <w:t xml:space="preserve">17.  </w:t>
      </w:r>
      <w:r>
        <w:rPr>
          <w:u w:val="single"/>
        </w:rPr>
        <w:t>Recent Acquisition</w:t>
      </w:r>
    </w:p>
    <w:p>
      <w:pPr>
        <w:pStyle w:val="TextBody"/>
        <w:spacing w:before="0" w:after="0"/>
        <w:rPr/>
      </w:pPr>
      <w:r>
        <w:rPr/>
      </w:r>
    </w:p>
    <w:p>
      <w:pPr>
        <w:pStyle w:val="TextBody"/>
        <w:spacing w:before="0" w:after="0"/>
        <w:jc w:val="both"/>
        <w:rPr/>
      </w:pPr>
      <w:r>
        <w:rPr/>
        <w:t>Effective April 1, 2018, we completed the acquisition of all of the issued and outstanding shares of common stock of TCSB through a merger of TCSB into Independent Bank Corporation (“IBCP”), with IBCP as the surviving corporation (the ‘‘Merger’’).  On that same date we also consolidated Traverse City State Bank, TCSB’s wholly-owned subsidiary bank, into Independent Bank (with Independent Bank as the surviving institution).  Under the terms of the merger agreement each holder of TCSB common stock received 1.1166 shares of IBCP common stock plus cash in lieu of fractional shares totaling $0.005 million.  TCSB option holders had their options converted into IBCP stock options.  As a result we issued 2.71 million shares of common stock and 0.19 million stock options with a fair value of approximately $64.5 million to the shareholders and option holders of TCSB.  The fair value of common stock and stock options issued as the consideration paid for TCSB was determined using the closing price of our common stock on the acquisition date.  This acquisition was accounted for under the acquisition method of accounting.  Accordingly, we recognized amounts for identifiable assets acquired and liabilities assumed at their estimated acquisition date fair values.  TCSB results of operations are included in our results beginning April 1, 2018.</w:t>
      </w:r>
    </w:p>
    <w:p>
      <w:pPr>
        <w:pStyle w:val="TextBody"/>
        <w:spacing w:before="0" w:after="0"/>
        <w:rPr/>
      </w:pPr>
      <w:r>
        <w:rPr/>
      </w:r>
    </w:p>
    <w:p>
      <w:pPr>
        <w:pStyle w:val="TextBody"/>
        <w:spacing w:before="0" w:after="0"/>
        <w:jc w:val="both"/>
        <w:rPr/>
      </w:pPr>
      <w:r>
        <w:rPr/>
        <w:t>The following table reflects our final valuation of the assets acquired and liabilities assumed:</w:t>
      </w:r>
    </w:p>
    <w:p>
      <w:pPr>
        <w:pStyle w:val="TextBody"/>
        <w:spacing w:before="0" w:after="0"/>
        <w:rPr/>
      </w:pPr>
      <w:r>
        <w:rPr/>
      </w:r>
    </w:p>
    <w:p>
      <w:pPr>
        <w:pStyle w:val="Normal"/>
        <w:spacing w:before="0" w:after="0"/>
        <w:rPr>
          <w:sz w:val="4"/>
          <w:szCs w:val="4"/>
        </w:rPr>
      </w:pPr>
      <w:r>
        <w:rPr>
          <w:sz w:val="4"/>
          <w:szCs w:val="4"/>
        </w:rPr>
      </w:r>
      <w:bookmarkStart w:id="652" w:name="zca0d060a155e432782e419e61cfc9ea1"/>
      <w:bookmarkStart w:id="653" w:name="zca0d060a155e432782e419e61cfc9ea1"/>
      <w:bookmarkEnd w:id="653"/>
    </w:p>
    <w:tbl>
      <w:tblPr>
        <w:tblW w:w="5590" w:type="dxa"/>
        <w:jc w:val="left"/>
        <w:tblInd w:w="0" w:type="dxa"/>
        <w:tblCellMar>
          <w:top w:w="0" w:type="dxa"/>
          <w:left w:w="0" w:type="dxa"/>
          <w:bottom w:w="0" w:type="dxa"/>
          <w:right w:w="0" w:type="dxa"/>
        </w:tblCellMar>
      </w:tblPr>
      <w:tblGrid>
        <w:gridCol w:w="4085"/>
        <w:gridCol w:w="60"/>
        <w:gridCol w:w="204"/>
        <w:gridCol w:w="1166"/>
        <w:gridCol w:w="75"/>
      </w:tblGrid>
      <w:tr>
        <w:trPr/>
        <w:tc>
          <w:tcPr>
            <w:tcW w:w="4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0"/>
              <w:jc w:val="center"/>
              <w:rPr/>
            </w:pPr>
            <w:r>
              <w:rPr/>
              <w:t>(In thousands)</w:t>
            </w:r>
          </w:p>
        </w:tc>
        <w:tc>
          <w:tcPr>
            <w:tcW w:w="75" w:type="dxa"/>
            <w:tcBorders/>
            <w:shd w:fill="auto" w:val="clear"/>
            <w:vAlign w:val="bottom"/>
          </w:tcPr>
          <w:p>
            <w:pPr>
              <w:pStyle w:val="TableContents"/>
              <w:spacing w:before="0" w:after="283"/>
              <w:rPr/>
            </w:pPr>
            <w:r>
              <w:rPr/>
              <w:t> </w:t>
            </w:r>
          </w:p>
        </w:tc>
      </w:tr>
      <w:tr>
        <w:trPr/>
        <w:tc>
          <w:tcPr>
            <w:tcW w:w="4085" w:type="dxa"/>
            <w:tcBorders/>
            <w:shd w:fill="CCEEFF" w:val="clear"/>
            <w:vAlign w:val="bottom"/>
          </w:tcPr>
          <w:p>
            <w:pPr>
              <w:pStyle w:val="TableContents"/>
              <w:spacing w:before="0" w:after="0"/>
              <w:ind w:left="144" w:right="0" w:hanging="144"/>
              <w:rPr/>
            </w:pPr>
            <w:r>
              <w:rPr/>
              <w:t>Cash and cash equivalents</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0"/>
              <w:rPr/>
            </w:pPr>
            <w:r>
              <w:rPr/>
              <w:t>$</w:t>
            </w:r>
          </w:p>
        </w:tc>
        <w:tc>
          <w:tcPr>
            <w:tcW w:w="1166" w:type="dxa"/>
            <w:tcBorders/>
            <w:shd w:fill="CCEEFF" w:val="clear"/>
            <w:vAlign w:val="bottom"/>
          </w:tcPr>
          <w:p>
            <w:pPr>
              <w:pStyle w:val="TableContents"/>
              <w:spacing w:before="0" w:after="0"/>
              <w:jc w:val="right"/>
              <w:rPr/>
            </w:pPr>
            <w:r>
              <w:rPr/>
              <w:t>23,521</w:t>
            </w:r>
          </w:p>
        </w:tc>
        <w:tc>
          <w:tcPr>
            <w:tcW w:w="75" w:type="dxa"/>
            <w:tcBorders/>
            <w:shd w:fill="CCEEFF" w:val="clear"/>
            <w:vAlign w:val="bottom"/>
          </w:tcPr>
          <w:p>
            <w:pPr>
              <w:pStyle w:val="TableContents"/>
              <w:spacing w:before="0" w:after="283"/>
              <w:rPr/>
            </w:pPr>
            <w:r>
              <w:rPr/>
              <w:t> </w:t>
            </w:r>
          </w:p>
        </w:tc>
      </w:tr>
      <w:tr>
        <w:trPr/>
        <w:tc>
          <w:tcPr>
            <w:tcW w:w="4085" w:type="dxa"/>
            <w:tcBorders/>
            <w:shd w:fill="FFFFFF" w:val="clear"/>
            <w:vAlign w:val="bottom"/>
          </w:tcPr>
          <w:p>
            <w:pPr>
              <w:pStyle w:val="TableContents"/>
              <w:spacing w:before="0" w:after="0"/>
              <w:ind w:left="144" w:right="0" w:hanging="144"/>
              <w:rPr/>
            </w:pPr>
            <w:r>
              <w:rPr/>
              <w:t>Interest bearing deposits - time</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6" w:type="dxa"/>
            <w:tcBorders/>
            <w:shd w:fill="FFFFFF" w:val="clear"/>
            <w:vAlign w:val="bottom"/>
          </w:tcPr>
          <w:p>
            <w:pPr>
              <w:pStyle w:val="TableContents"/>
              <w:spacing w:before="0" w:after="0"/>
              <w:jc w:val="right"/>
              <w:rPr/>
            </w:pPr>
            <w:r>
              <w:rPr/>
              <w:t>4,054</w:t>
            </w:r>
          </w:p>
        </w:tc>
        <w:tc>
          <w:tcPr>
            <w:tcW w:w="75" w:type="dxa"/>
            <w:tcBorders/>
            <w:shd w:fill="FFFFFF" w:val="clear"/>
            <w:vAlign w:val="bottom"/>
          </w:tcPr>
          <w:p>
            <w:pPr>
              <w:pStyle w:val="TableContents"/>
              <w:spacing w:before="0" w:after="283"/>
              <w:rPr/>
            </w:pPr>
            <w:r>
              <w:rPr/>
              <w:t> </w:t>
            </w:r>
          </w:p>
        </w:tc>
      </w:tr>
      <w:tr>
        <w:trPr/>
        <w:tc>
          <w:tcPr>
            <w:tcW w:w="4085" w:type="dxa"/>
            <w:tcBorders/>
            <w:shd w:fill="CCEEFF" w:val="clear"/>
            <w:vAlign w:val="bottom"/>
          </w:tcPr>
          <w:p>
            <w:pPr>
              <w:pStyle w:val="TableContents"/>
              <w:spacing w:before="0" w:after="0"/>
              <w:ind w:left="144" w:right="0" w:hanging="144"/>
              <w:rPr/>
            </w:pPr>
            <w:r>
              <w:rPr/>
              <w:t>Securities available for sale</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0"/>
              <w:jc w:val="right"/>
              <w:rPr/>
            </w:pPr>
            <w:r>
              <w:rPr/>
              <w:t>6,066</w:t>
            </w:r>
          </w:p>
        </w:tc>
        <w:tc>
          <w:tcPr>
            <w:tcW w:w="75" w:type="dxa"/>
            <w:tcBorders/>
            <w:shd w:fill="CCEEFF" w:val="clear"/>
            <w:vAlign w:val="bottom"/>
          </w:tcPr>
          <w:p>
            <w:pPr>
              <w:pStyle w:val="TableContents"/>
              <w:spacing w:before="0" w:after="283"/>
              <w:rPr/>
            </w:pPr>
            <w:r>
              <w:rPr/>
              <w:t> </w:t>
            </w:r>
          </w:p>
        </w:tc>
      </w:tr>
      <w:tr>
        <w:trPr/>
        <w:tc>
          <w:tcPr>
            <w:tcW w:w="4085" w:type="dxa"/>
            <w:tcBorders/>
            <w:shd w:fill="FFFFFF" w:val="clear"/>
            <w:vAlign w:val="bottom"/>
          </w:tcPr>
          <w:p>
            <w:pPr>
              <w:pStyle w:val="TableContents"/>
              <w:spacing w:before="0" w:after="0"/>
              <w:ind w:left="144" w:right="0" w:hanging="144"/>
              <w:rPr/>
            </w:pPr>
            <w:r>
              <w:rPr/>
              <w:t>Federal Home Loan Bank stock</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6" w:type="dxa"/>
            <w:tcBorders/>
            <w:shd w:fill="FFFFFF" w:val="clear"/>
            <w:vAlign w:val="bottom"/>
          </w:tcPr>
          <w:p>
            <w:pPr>
              <w:pStyle w:val="TableContents"/>
              <w:spacing w:before="0" w:after="0"/>
              <w:jc w:val="right"/>
              <w:rPr/>
            </w:pPr>
            <w:r>
              <w:rPr/>
              <w:t>778</w:t>
            </w:r>
          </w:p>
        </w:tc>
        <w:tc>
          <w:tcPr>
            <w:tcW w:w="75" w:type="dxa"/>
            <w:tcBorders/>
            <w:shd w:fill="FFFFFF" w:val="clear"/>
            <w:vAlign w:val="bottom"/>
          </w:tcPr>
          <w:p>
            <w:pPr>
              <w:pStyle w:val="TableContents"/>
              <w:spacing w:before="0" w:after="283"/>
              <w:rPr/>
            </w:pPr>
            <w:r>
              <w:rPr/>
              <w:t> </w:t>
            </w:r>
          </w:p>
        </w:tc>
      </w:tr>
      <w:tr>
        <w:trPr/>
        <w:tc>
          <w:tcPr>
            <w:tcW w:w="4085" w:type="dxa"/>
            <w:tcBorders/>
            <w:shd w:fill="CCEEFF" w:val="clear"/>
            <w:vAlign w:val="bottom"/>
          </w:tcPr>
          <w:p>
            <w:pPr>
              <w:pStyle w:val="TableContents"/>
              <w:spacing w:before="0" w:after="0"/>
              <w:ind w:left="144" w:right="0" w:hanging="144"/>
              <w:rPr/>
            </w:pPr>
            <w:r>
              <w:rPr/>
              <w:t>Loans, net</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0"/>
              <w:jc w:val="right"/>
              <w:rPr/>
            </w:pPr>
            <w:r>
              <w:rPr/>
              <w:t>295,799</w:t>
            </w:r>
          </w:p>
        </w:tc>
        <w:tc>
          <w:tcPr>
            <w:tcW w:w="75" w:type="dxa"/>
            <w:tcBorders/>
            <w:shd w:fill="CCEEFF" w:val="clear"/>
            <w:vAlign w:val="bottom"/>
          </w:tcPr>
          <w:p>
            <w:pPr>
              <w:pStyle w:val="TableContents"/>
              <w:spacing w:before="0" w:after="283"/>
              <w:rPr/>
            </w:pPr>
            <w:r>
              <w:rPr/>
              <w:t> </w:t>
            </w:r>
          </w:p>
        </w:tc>
      </w:tr>
      <w:tr>
        <w:trPr/>
        <w:tc>
          <w:tcPr>
            <w:tcW w:w="4085" w:type="dxa"/>
            <w:tcBorders/>
            <w:shd w:fill="FFFFFF" w:val="clear"/>
            <w:vAlign w:val="bottom"/>
          </w:tcPr>
          <w:p>
            <w:pPr>
              <w:pStyle w:val="TableContents"/>
              <w:spacing w:before="0" w:after="0"/>
              <w:ind w:left="144" w:right="0" w:hanging="144"/>
              <w:rPr/>
            </w:pPr>
            <w:r>
              <w:rPr/>
              <w:t>Property and equipement, net</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6" w:type="dxa"/>
            <w:tcBorders/>
            <w:shd w:fill="FFFFFF" w:val="clear"/>
            <w:vAlign w:val="bottom"/>
          </w:tcPr>
          <w:p>
            <w:pPr>
              <w:pStyle w:val="TableContents"/>
              <w:spacing w:before="0" w:after="0"/>
              <w:jc w:val="right"/>
              <w:rPr/>
            </w:pPr>
            <w:r>
              <w:rPr/>
              <w:t>1,067</w:t>
            </w:r>
          </w:p>
        </w:tc>
        <w:tc>
          <w:tcPr>
            <w:tcW w:w="75" w:type="dxa"/>
            <w:tcBorders/>
            <w:shd w:fill="FFFFFF" w:val="clear"/>
            <w:vAlign w:val="bottom"/>
          </w:tcPr>
          <w:p>
            <w:pPr>
              <w:pStyle w:val="TableContents"/>
              <w:spacing w:before="0" w:after="283"/>
              <w:rPr/>
            </w:pPr>
            <w:r>
              <w:rPr/>
              <w:t> </w:t>
            </w:r>
          </w:p>
        </w:tc>
      </w:tr>
      <w:tr>
        <w:trPr/>
        <w:tc>
          <w:tcPr>
            <w:tcW w:w="4085" w:type="dxa"/>
            <w:tcBorders/>
            <w:shd w:fill="CCEEFF" w:val="clear"/>
            <w:vAlign w:val="bottom"/>
          </w:tcPr>
          <w:p>
            <w:pPr>
              <w:pStyle w:val="TableContents"/>
              <w:spacing w:before="0" w:after="0"/>
              <w:ind w:left="144" w:right="0" w:hanging="144"/>
              <w:rPr/>
            </w:pPr>
            <w:r>
              <w:rPr/>
              <w:t>Capitalized mortgage loan servicing rights</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0"/>
              <w:jc w:val="right"/>
              <w:rPr/>
            </w:pPr>
            <w:r>
              <w:rPr/>
              <w:t>3,047</w:t>
            </w:r>
          </w:p>
        </w:tc>
        <w:tc>
          <w:tcPr>
            <w:tcW w:w="75" w:type="dxa"/>
            <w:tcBorders/>
            <w:shd w:fill="CCEEFF" w:val="clear"/>
            <w:vAlign w:val="bottom"/>
          </w:tcPr>
          <w:p>
            <w:pPr>
              <w:pStyle w:val="TableContents"/>
              <w:spacing w:before="0" w:after="283"/>
              <w:rPr/>
            </w:pPr>
            <w:r>
              <w:rPr/>
              <w:t> </w:t>
            </w:r>
          </w:p>
        </w:tc>
      </w:tr>
      <w:tr>
        <w:trPr/>
        <w:tc>
          <w:tcPr>
            <w:tcW w:w="4085" w:type="dxa"/>
            <w:tcBorders/>
            <w:shd w:fill="FFFFFF" w:val="clear"/>
            <w:vAlign w:val="bottom"/>
          </w:tcPr>
          <w:p>
            <w:pPr>
              <w:pStyle w:val="TableContents"/>
              <w:spacing w:before="0" w:after="0"/>
              <w:ind w:left="144" w:right="0" w:hanging="144"/>
              <w:rPr/>
            </w:pPr>
            <w:r>
              <w:rPr/>
              <w:t>Accrued income and other assets</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6" w:type="dxa"/>
            <w:tcBorders/>
            <w:shd w:fill="FFFFFF" w:val="clear"/>
            <w:vAlign w:val="bottom"/>
          </w:tcPr>
          <w:p>
            <w:pPr>
              <w:pStyle w:val="TableContents"/>
              <w:spacing w:before="0" w:after="0"/>
              <w:jc w:val="right"/>
              <w:rPr/>
            </w:pPr>
            <w:r>
              <w:rPr/>
              <w:t>3,362</w:t>
            </w:r>
          </w:p>
        </w:tc>
        <w:tc>
          <w:tcPr>
            <w:tcW w:w="75" w:type="dxa"/>
            <w:tcBorders/>
            <w:shd w:fill="FFFFFF" w:val="clear"/>
            <w:vAlign w:val="bottom"/>
          </w:tcPr>
          <w:p>
            <w:pPr>
              <w:pStyle w:val="TableContents"/>
              <w:spacing w:before="0" w:after="283"/>
              <w:rPr/>
            </w:pPr>
            <w:r>
              <w:rPr/>
              <w:t> </w:t>
            </w:r>
          </w:p>
        </w:tc>
      </w:tr>
      <w:tr>
        <w:trPr/>
        <w:tc>
          <w:tcPr>
            <w:tcW w:w="4085" w:type="dxa"/>
            <w:tcBorders/>
            <w:shd w:fill="CCEEFF" w:val="clear"/>
            <w:vAlign w:val="bottom"/>
          </w:tcPr>
          <w:p>
            <w:pPr>
              <w:pStyle w:val="TableContents"/>
              <w:spacing w:before="0" w:after="0"/>
              <w:ind w:left="144" w:right="0" w:hanging="144"/>
              <w:rPr/>
            </w:pPr>
            <w:r>
              <w:rPr/>
              <w:t>Other intangibles (1)</w:t>
            </w:r>
          </w:p>
        </w:tc>
        <w:tc>
          <w:tcPr>
            <w:tcW w:w="60" w:type="dxa"/>
            <w:tcBorders/>
            <w:shd w:fill="CCEEFF" w:val="clear"/>
            <w:vAlign w:val="bottom"/>
          </w:tcPr>
          <w:p>
            <w:pPr>
              <w:pStyle w:val="TableContents"/>
              <w:spacing w:before="0" w:after="283"/>
              <w:rPr/>
            </w:pPr>
            <w:r>
              <w:rPr/>
              <w:t> </w:t>
            </w:r>
          </w:p>
        </w:tc>
        <w:tc>
          <w:tcPr>
            <w:tcW w:w="20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66" w:type="dxa"/>
            <w:tcBorders>
              <w:bottom w:val="single" w:sz="12" w:space="0" w:color="000000"/>
            </w:tcBorders>
            <w:shd w:fill="CCEEFF" w:val="clear"/>
            <w:tcMar>
              <w:bottom w:w="28" w:type="dxa"/>
            </w:tcMar>
            <w:vAlign w:val="bottom"/>
          </w:tcPr>
          <w:p>
            <w:pPr>
              <w:pStyle w:val="TableContents"/>
              <w:spacing w:before="0" w:after="0"/>
              <w:jc w:val="right"/>
              <w:rPr/>
            </w:pPr>
            <w:r>
              <w:rPr/>
              <w:t>5,798</w:t>
            </w:r>
          </w:p>
        </w:tc>
        <w:tc>
          <w:tcPr>
            <w:tcW w:w="75" w:type="dxa"/>
            <w:tcBorders/>
            <w:shd w:fill="CCEEFF" w:val="clear"/>
            <w:vAlign w:val="bottom"/>
          </w:tcPr>
          <w:p>
            <w:pPr>
              <w:pStyle w:val="TableContents"/>
              <w:spacing w:before="0" w:after="283"/>
              <w:rPr/>
            </w:pPr>
            <w:r>
              <w:rPr/>
              <w:t> </w:t>
            </w:r>
          </w:p>
        </w:tc>
      </w:tr>
      <w:tr>
        <w:trPr/>
        <w:tc>
          <w:tcPr>
            <w:tcW w:w="4085" w:type="dxa"/>
            <w:tcBorders/>
            <w:shd w:fill="FFFFFF" w:val="clear"/>
            <w:vAlign w:val="bottom"/>
          </w:tcPr>
          <w:p>
            <w:pPr>
              <w:pStyle w:val="TableContents"/>
              <w:spacing w:before="0" w:after="0"/>
              <w:ind w:left="324" w:right="0" w:hanging="144"/>
              <w:rPr/>
            </w:pPr>
            <w:r>
              <w:rPr/>
              <w:t>Total assets acquired</w:t>
            </w:r>
          </w:p>
        </w:tc>
        <w:tc>
          <w:tcPr>
            <w:tcW w:w="60" w:type="dxa"/>
            <w:tcBorders/>
            <w:shd w:fill="FFFFFF" w:val="clear"/>
            <w:vAlign w:val="bottom"/>
          </w:tcPr>
          <w:p>
            <w:pPr>
              <w:pStyle w:val="TableContents"/>
              <w:spacing w:before="0" w:after="283"/>
              <w:rPr/>
            </w:pPr>
            <w:r>
              <w:rPr/>
              <w:t> </w:t>
            </w:r>
          </w:p>
        </w:tc>
        <w:tc>
          <w:tcPr>
            <w:tcW w:w="20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66" w:type="dxa"/>
            <w:tcBorders>
              <w:bottom w:val="single" w:sz="12" w:space="0" w:color="000000"/>
            </w:tcBorders>
            <w:shd w:fill="FFFFFF" w:val="clear"/>
            <w:tcMar>
              <w:bottom w:w="28" w:type="dxa"/>
            </w:tcMar>
            <w:vAlign w:val="bottom"/>
          </w:tcPr>
          <w:p>
            <w:pPr>
              <w:pStyle w:val="TableContents"/>
              <w:spacing w:before="0" w:after="0"/>
              <w:jc w:val="right"/>
              <w:rPr/>
            </w:pPr>
            <w:r>
              <w:rPr/>
              <w:t>343,492</w:t>
            </w:r>
          </w:p>
        </w:tc>
        <w:tc>
          <w:tcPr>
            <w:tcW w:w="75" w:type="dxa"/>
            <w:tcBorders/>
            <w:shd w:fill="FFFFFF" w:val="clear"/>
            <w:vAlign w:val="bottom"/>
          </w:tcPr>
          <w:p>
            <w:pPr>
              <w:pStyle w:val="TableContents"/>
              <w:spacing w:before="0" w:after="283"/>
              <w:rPr/>
            </w:pPr>
            <w:r>
              <w:rPr/>
              <w:t> </w:t>
            </w:r>
          </w:p>
        </w:tc>
      </w:tr>
      <w:tr>
        <w:trPr/>
        <w:tc>
          <w:tcPr>
            <w:tcW w:w="40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rPr/>
            </w:pPr>
            <w:r>
              <w:rPr/>
              <w:t> </w:t>
            </w:r>
          </w:p>
        </w:tc>
      </w:tr>
      <w:tr>
        <w:trPr/>
        <w:tc>
          <w:tcPr>
            <w:tcW w:w="4085" w:type="dxa"/>
            <w:tcBorders/>
            <w:shd w:fill="FFFFFF" w:val="clear"/>
            <w:vAlign w:val="bottom"/>
          </w:tcPr>
          <w:p>
            <w:pPr>
              <w:pStyle w:val="TableContents"/>
              <w:spacing w:before="0" w:after="0"/>
              <w:ind w:left="144" w:right="0" w:hanging="144"/>
              <w:rPr/>
            </w:pPr>
            <w:r>
              <w:rPr/>
              <w:t>Deposits</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6" w:type="dxa"/>
            <w:tcBorders/>
            <w:shd w:fill="FFFFFF" w:val="clear"/>
            <w:vAlign w:val="bottom"/>
          </w:tcPr>
          <w:p>
            <w:pPr>
              <w:pStyle w:val="TableContents"/>
              <w:spacing w:before="0" w:after="0"/>
              <w:jc w:val="right"/>
              <w:rPr/>
            </w:pPr>
            <w:r>
              <w:rPr/>
              <w:t>287,710</w:t>
            </w:r>
          </w:p>
        </w:tc>
        <w:tc>
          <w:tcPr>
            <w:tcW w:w="75" w:type="dxa"/>
            <w:tcBorders/>
            <w:shd w:fill="FFFFFF" w:val="clear"/>
            <w:vAlign w:val="bottom"/>
          </w:tcPr>
          <w:p>
            <w:pPr>
              <w:pStyle w:val="TableContents"/>
              <w:spacing w:before="0" w:after="283"/>
              <w:rPr/>
            </w:pPr>
            <w:r>
              <w:rPr/>
              <w:t> </w:t>
            </w:r>
          </w:p>
        </w:tc>
      </w:tr>
      <w:tr>
        <w:trPr/>
        <w:tc>
          <w:tcPr>
            <w:tcW w:w="4085" w:type="dxa"/>
            <w:tcBorders/>
            <w:shd w:fill="CCEEFF" w:val="clear"/>
            <w:vAlign w:val="bottom"/>
          </w:tcPr>
          <w:p>
            <w:pPr>
              <w:pStyle w:val="TableContents"/>
              <w:spacing w:before="0" w:after="0"/>
              <w:ind w:left="144" w:right="0" w:hanging="144"/>
              <w:rPr/>
            </w:pPr>
            <w:r>
              <w:rPr/>
              <w:t>Other borrowings</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0"/>
              <w:jc w:val="right"/>
              <w:rPr/>
            </w:pPr>
            <w:r>
              <w:rPr/>
              <w:t>14,345</w:t>
            </w:r>
          </w:p>
        </w:tc>
        <w:tc>
          <w:tcPr>
            <w:tcW w:w="75" w:type="dxa"/>
            <w:tcBorders/>
            <w:shd w:fill="CCEEFF" w:val="clear"/>
            <w:vAlign w:val="bottom"/>
          </w:tcPr>
          <w:p>
            <w:pPr>
              <w:pStyle w:val="TableContents"/>
              <w:spacing w:before="0" w:after="283"/>
              <w:rPr/>
            </w:pPr>
            <w:r>
              <w:rPr/>
              <w:t> </w:t>
            </w:r>
          </w:p>
        </w:tc>
      </w:tr>
      <w:tr>
        <w:trPr/>
        <w:tc>
          <w:tcPr>
            <w:tcW w:w="4085" w:type="dxa"/>
            <w:tcBorders/>
            <w:shd w:fill="FFFFFF" w:val="clear"/>
            <w:vAlign w:val="bottom"/>
          </w:tcPr>
          <w:p>
            <w:pPr>
              <w:pStyle w:val="TableContents"/>
              <w:spacing w:before="0" w:after="0"/>
              <w:ind w:left="144" w:right="0" w:hanging="144"/>
              <w:rPr/>
            </w:pPr>
            <w:r>
              <w:rPr/>
              <w:t>Subordinated debentures</w:t>
            </w:r>
          </w:p>
        </w:tc>
        <w:tc>
          <w:tcPr>
            <w:tcW w:w="60"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66" w:type="dxa"/>
            <w:tcBorders/>
            <w:shd w:fill="FFFFFF" w:val="clear"/>
            <w:vAlign w:val="bottom"/>
          </w:tcPr>
          <w:p>
            <w:pPr>
              <w:pStyle w:val="TableContents"/>
              <w:spacing w:before="0" w:after="0"/>
              <w:jc w:val="right"/>
              <w:rPr/>
            </w:pPr>
            <w:r>
              <w:rPr/>
              <w:t>3,768</w:t>
            </w:r>
          </w:p>
        </w:tc>
        <w:tc>
          <w:tcPr>
            <w:tcW w:w="75" w:type="dxa"/>
            <w:tcBorders/>
            <w:shd w:fill="FFFFFF" w:val="clear"/>
            <w:vAlign w:val="bottom"/>
          </w:tcPr>
          <w:p>
            <w:pPr>
              <w:pStyle w:val="TableContents"/>
              <w:spacing w:before="0" w:after="283"/>
              <w:rPr/>
            </w:pPr>
            <w:r>
              <w:rPr/>
              <w:t> </w:t>
            </w:r>
          </w:p>
        </w:tc>
      </w:tr>
      <w:tr>
        <w:trPr/>
        <w:tc>
          <w:tcPr>
            <w:tcW w:w="4085" w:type="dxa"/>
            <w:tcBorders/>
            <w:shd w:fill="CCEEFF" w:val="clear"/>
            <w:vAlign w:val="bottom"/>
          </w:tcPr>
          <w:p>
            <w:pPr>
              <w:pStyle w:val="TableContents"/>
              <w:spacing w:before="0" w:after="0"/>
              <w:ind w:left="144" w:right="0" w:hanging="144"/>
              <w:rPr/>
            </w:pPr>
            <w:r>
              <w:rPr/>
              <w:t>Accrued expenses and other liabilities</w:t>
            </w:r>
          </w:p>
        </w:tc>
        <w:tc>
          <w:tcPr>
            <w:tcW w:w="60" w:type="dxa"/>
            <w:tcBorders/>
            <w:shd w:fill="CCEEFF" w:val="clear"/>
            <w:vAlign w:val="bottom"/>
          </w:tcPr>
          <w:p>
            <w:pPr>
              <w:pStyle w:val="TableContents"/>
              <w:spacing w:before="0" w:after="283"/>
              <w:rPr/>
            </w:pPr>
            <w:r>
              <w:rPr/>
              <w:t> </w:t>
            </w:r>
          </w:p>
        </w:tc>
        <w:tc>
          <w:tcPr>
            <w:tcW w:w="20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66" w:type="dxa"/>
            <w:tcBorders>
              <w:bottom w:val="single" w:sz="12" w:space="0" w:color="000000"/>
            </w:tcBorders>
            <w:shd w:fill="CCEEFF" w:val="clear"/>
            <w:tcMar>
              <w:bottom w:w="28" w:type="dxa"/>
            </w:tcMar>
            <w:vAlign w:val="bottom"/>
          </w:tcPr>
          <w:p>
            <w:pPr>
              <w:pStyle w:val="TableContents"/>
              <w:spacing w:before="0" w:after="0"/>
              <w:jc w:val="right"/>
              <w:rPr/>
            </w:pPr>
            <w:r>
              <w:rPr/>
              <w:t>1,429</w:t>
            </w:r>
          </w:p>
        </w:tc>
        <w:tc>
          <w:tcPr>
            <w:tcW w:w="75" w:type="dxa"/>
            <w:tcBorders/>
            <w:shd w:fill="CCEEFF" w:val="clear"/>
            <w:vAlign w:val="bottom"/>
          </w:tcPr>
          <w:p>
            <w:pPr>
              <w:pStyle w:val="TableContents"/>
              <w:spacing w:before="0" w:after="283"/>
              <w:rPr/>
            </w:pPr>
            <w:r>
              <w:rPr/>
              <w:t> </w:t>
            </w:r>
          </w:p>
        </w:tc>
      </w:tr>
      <w:tr>
        <w:trPr/>
        <w:tc>
          <w:tcPr>
            <w:tcW w:w="4085" w:type="dxa"/>
            <w:tcBorders/>
            <w:shd w:fill="FFFFFF" w:val="clear"/>
            <w:vAlign w:val="bottom"/>
          </w:tcPr>
          <w:p>
            <w:pPr>
              <w:pStyle w:val="TableContents"/>
              <w:spacing w:before="0" w:after="0"/>
              <w:ind w:left="324" w:right="0" w:hanging="144"/>
              <w:rPr/>
            </w:pPr>
            <w:r>
              <w:rPr/>
              <w:t>Total liabilities assumed</w:t>
            </w:r>
          </w:p>
        </w:tc>
        <w:tc>
          <w:tcPr>
            <w:tcW w:w="60" w:type="dxa"/>
            <w:tcBorders/>
            <w:shd w:fill="FFFFFF" w:val="clear"/>
            <w:vAlign w:val="bottom"/>
          </w:tcPr>
          <w:p>
            <w:pPr>
              <w:pStyle w:val="TableContents"/>
              <w:spacing w:before="0" w:after="283"/>
              <w:rPr/>
            </w:pPr>
            <w:r>
              <w:rPr/>
              <w:t> </w:t>
            </w:r>
          </w:p>
        </w:tc>
        <w:tc>
          <w:tcPr>
            <w:tcW w:w="20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66" w:type="dxa"/>
            <w:tcBorders>
              <w:bottom w:val="single" w:sz="12" w:space="0" w:color="000000"/>
            </w:tcBorders>
            <w:shd w:fill="FFFFFF" w:val="clear"/>
            <w:tcMar>
              <w:bottom w:w="28" w:type="dxa"/>
            </w:tcMar>
            <w:vAlign w:val="bottom"/>
          </w:tcPr>
          <w:p>
            <w:pPr>
              <w:pStyle w:val="TableContents"/>
              <w:spacing w:before="0" w:after="0"/>
              <w:jc w:val="right"/>
              <w:rPr/>
            </w:pPr>
            <w:r>
              <w:rPr/>
              <w:t>307,252</w:t>
            </w:r>
          </w:p>
        </w:tc>
        <w:tc>
          <w:tcPr>
            <w:tcW w:w="75" w:type="dxa"/>
            <w:tcBorders/>
            <w:shd w:fill="FFFFFF" w:val="clear"/>
            <w:vAlign w:val="bottom"/>
          </w:tcPr>
          <w:p>
            <w:pPr>
              <w:pStyle w:val="TableContents"/>
              <w:spacing w:before="0" w:after="283"/>
              <w:rPr/>
            </w:pPr>
            <w:r>
              <w:rPr/>
              <w:t> </w:t>
            </w:r>
          </w:p>
        </w:tc>
      </w:tr>
      <w:tr>
        <w:trPr/>
        <w:tc>
          <w:tcPr>
            <w:tcW w:w="4085" w:type="dxa"/>
            <w:tcBorders/>
            <w:shd w:fill="CCEEFF" w:val="clear"/>
            <w:vAlign w:val="bottom"/>
          </w:tcPr>
          <w:p>
            <w:pPr>
              <w:pStyle w:val="TableContents"/>
              <w:spacing w:before="0" w:after="0"/>
              <w:ind w:left="324" w:right="0" w:hanging="144"/>
              <w:rPr/>
            </w:pPr>
            <w:r>
              <w:rPr/>
              <w:t>Net assets acquired</w:t>
            </w:r>
          </w:p>
        </w:tc>
        <w:tc>
          <w:tcPr>
            <w:tcW w:w="60" w:type="dxa"/>
            <w:tcBorders/>
            <w:shd w:fill="CCEEFF" w:val="clear"/>
            <w:vAlign w:val="bottom"/>
          </w:tcPr>
          <w:p>
            <w:pPr>
              <w:pStyle w:val="TableContents"/>
              <w:spacing w:before="0" w:after="283"/>
              <w:rPr/>
            </w:pPr>
            <w:r>
              <w:rPr/>
              <w:t> </w:t>
            </w:r>
          </w:p>
        </w:tc>
        <w:tc>
          <w:tcPr>
            <w:tcW w:w="20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66" w:type="dxa"/>
            <w:tcBorders>
              <w:bottom w:val="single" w:sz="12" w:space="0" w:color="000000"/>
            </w:tcBorders>
            <w:shd w:fill="CCEEFF" w:val="clear"/>
            <w:tcMar>
              <w:bottom w:w="28" w:type="dxa"/>
            </w:tcMar>
            <w:vAlign w:val="bottom"/>
          </w:tcPr>
          <w:p>
            <w:pPr>
              <w:pStyle w:val="TableContents"/>
              <w:spacing w:before="0" w:after="0"/>
              <w:jc w:val="right"/>
              <w:rPr/>
            </w:pPr>
            <w:r>
              <w:rPr/>
              <w:t>36,240</w:t>
            </w:r>
          </w:p>
        </w:tc>
        <w:tc>
          <w:tcPr>
            <w:tcW w:w="75" w:type="dxa"/>
            <w:tcBorders/>
            <w:shd w:fill="CCEEFF" w:val="clear"/>
            <w:vAlign w:val="bottom"/>
          </w:tcPr>
          <w:p>
            <w:pPr>
              <w:pStyle w:val="TableContents"/>
              <w:spacing w:before="0" w:after="283"/>
              <w:rPr/>
            </w:pPr>
            <w:r>
              <w:rPr/>
              <w:t> </w:t>
            </w:r>
          </w:p>
        </w:tc>
      </w:tr>
      <w:tr>
        <w:trPr/>
        <w:tc>
          <w:tcPr>
            <w:tcW w:w="4085" w:type="dxa"/>
            <w:tcBorders/>
            <w:shd w:fill="FFFFFF" w:val="clear"/>
            <w:vAlign w:val="bottom"/>
          </w:tcPr>
          <w:p>
            <w:pPr>
              <w:pStyle w:val="TableContents"/>
              <w:spacing w:before="0" w:after="0"/>
              <w:ind w:left="144" w:right="0" w:hanging="144"/>
              <w:rPr/>
            </w:pPr>
            <w:r>
              <w:rPr/>
              <w:t>Goodwill</w:t>
            </w:r>
          </w:p>
        </w:tc>
        <w:tc>
          <w:tcPr>
            <w:tcW w:w="60" w:type="dxa"/>
            <w:tcBorders/>
            <w:shd w:fill="FFFFFF" w:val="clear"/>
            <w:vAlign w:val="bottom"/>
          </w:tcPr>
          <w:p>
            <w:pPr>
              <w:pStyle w:val="TableContents"/>
              <w:spacing w:before="0" w:after="283"/>
              <w:rPr/>
            </w:pPr>
            <w:r>
              <w:rPr/>
              <w:t> </w:t>
            </w:r>
          </w:p>
        </w:tc>
        <w:tc>
          <w:tcPr>
            <w:tcW w:w="20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66" w:type="dxa"/>
            <w:tcBorders>
              <w:bottom w:val="single" w:sz="12" w:space="0" w:color="000000"/>
            </w:tcBorders>
            <w:shd w:fill="FFFFFF" w:val="clear"/>
            <w:tcMar>
              <w:bottom w:w="28" w:type="dxa"/>
            </w:tcMar>
            <w:vAlign w:val="bottom"/>
          </w:tcPr>
          <w:p>
            <w:pPr>
              <w:pStyle w:val="TableContents"/>
              <w:spacing w:before="0" w:after="0"/>
              <w:jc w:val="right"/>
              <w:rPr/>
            </w:pPr>
            <w:r>
              <w:rPr/>
              <w:t>28,300</w:t>
            </w:r>
          </w:p>
        </w:tc>
        <w:tc>
          <w:tcPr>
            <w:tcW w:w="75" w:type="dxa"/>
            <w:tcBorders/>
            <w:shd w:fill="FFFFFF" w:val="clear"/>
            <w:vAlign w:val="bottom"/>
          </w:tcPr>
          <w:p>
            <w:pPr>
              <w:pStyle w:val="TableContents"/>
              <w:spacing w:before="0" w:after="283"/>
              <w:rPr/>
            </w:pPr>
            <w:r>
              <w:rPr/>
              <w:t> </w:t>
            </w:r>
          </w:p>
        </w:tc>
      </w:tr>
      <w:tr>
        <w:trPr/>
        <w:tc>
          <w:tcPr>
            <w:tcW w:w="4085" w:type="dxa"/>
            <w:tcBorders/>
            <w:shd w:fill="CCEEFF" w:val="clear"/>
            <w:vAlign w:val="bottom"/>
          </w:tcPr>
          <w:p>
            <w:pPr>
              <w:pStyle w:val="TableContents"/>
              <w:spacing w:before="0" w:after="0"/>
              <w:ind w:left="144" w:right="0" w:hanging="144"/>
              <w:rPr/>
            </w:pPr>
            <w:r>
              <w:rPr/>
              <w:t>Purchase price (fair value of consideration)</w:t>
            </w:r>
          </w:p>
        </w:tc>
        <w:tc>
          <w:tcPr>
            <w:tcW w:w="60" w:type="dxa"/>
            <w:tcBorders/>
            <w:shd w:fill="CCEEFF" w:val="clear"/>
            <w:vAlign w:val="bottom"/>
          </w:tcPr>
          <w:p>
            <w:pPr>
              <w:pStyle w:val="TableContents"/>
              <w:spacing w:before="0" w:after="283"/>
              <w:rPr/>
            </w:pPr>
            <w:r>
              <w:rPr/>
              <w:t> </w:t>
            </w:r>
          </w:p>
        </w:tc>
        <w:tc>
          <w:tcPr>
            <w:tcW w:w="204" w:type="dxa"/>
            <w:tcBorders>
              <w:bottom w:val="double" w:sz="8" w:space="0" w:color="000000"/>
            </w:tcBorders>
            <w:shd w:fill="CCEEFF" w:val="clear"/>
            <w:tcMar>
              <w:bottom w:w="28" w:type="dxa"/>
            </w:tcMar>
            <w:vAlign w:val="bottom"/>
          </w:tcPr>
          <w:p>
            <w:pPr>
              <w:pStyle w:val="TableContents"/>
              <w:spacing w:before="0" w:after="0"/>
              <w:rPr/>
            </w:pPr>
            <w:r>
              <w:rPr/>
              <w:t>$</w:t>
            </w:r>
          </w:p>
        </w:tc>
        <w:tc>
          <w:tcPr>
            <w:tcW w:w="1166" w:type="dxa"/>
            <w:tcBorders>
              <w:bottom w:val="double" w:sz="8" w:space="0" w:color="000000"/>
            </w:tcBorders>
            <w:shd w:fill="CCEEFF" w:val="clear"/>
            <w:tcMar>
              <w:bottom w:w="28" w:type="dxa"/>
            </w:tcMar>
            <w:vAlign w:val="bottom"/>
          </w:tcPr>
          <w:p>
            <w:pPr>
              <w:pStyle w:val="TableContents"/>
              <w:spacing w:before="0" w:after="0"/>
              <w:jc w:val="right"/>
              <w:rPr/>
            </w:pPr>
            <w:r>
              <w:rPr/>
              <w:t>64,540</w:t>
            </w:r>
          </w:p>
        </w:tc>
        <w:tc>
          <w:tcPr>
            <w:tcW w:w="75" w:type="dxa"/>
            <w:tcBorders/>
            <w:shd w:fill="CCEE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654" w:name="z148b4c4cbc6b4f16bb86baa5c5490f29"/>
      <w:bookmarkStart w:id="655" w:name="z148b4c4cbc6b4f16bb86baa5c5490f29"/>
      <w:bookmarkEnd w:id="655"/>
    </w:p>
    <w:tbl>
      <w:tblPr>
        <w:tblW w:w="4885" w:type="dxa"/>
        <w:jc w:val="left"/>
        <w:tblInd w:w="0" w:type="dxa"/>
        <w:tblCellMar>
          <w:top w:w="0" w:type="dxa"/>
          <w:left w:w="0" w:type="dxa"/>
          <w:bottom w:w="0" w:type="dxa"/>
          <w:right w:w="0" w:type="dxa"/>
        </w:tblCellMar>
      </w:tblPr>
      <w:tblGrid>
        <w:gridCol w:w="305"/>
        <w:gridCol w:w="4580"/>
      </w:tblGrid>
      <w:tr>
        <w:trPr/>
        <w:tc>
          <w:tcPr>
            <w:tcW w:w="305" w:type="dxa"/>
            <w:tcBorders/>
            <w:shd w:fill="auto" w:val="clear"/>
            <w:vAlign w:val="center"/>
          </w:tcPr>
          <w:p>
            <w:pPr>
              <w:pStyle w:val="TableContents"/>
              <w:spacing w:before="0" w:after="283"/>
              <w:rPr/>
            </w:pPr>
            <w:r>
              <w:rPr/>
              <w:t>(1)</w:t>
            </w:r>
          </w:p>
        </w:tc>
        <w:tc>
          <w:tcPr>
            <w:tcW w:w="4580" w:type="dxa"/>
            <w:tcBorders/>
            <w:shd w:fill="auto" w:val="clear"/>
            <w:vAlign w:val="center"/>
          </w:tcPr>
          <w:p>
            <w:pPr>
              <w:pStyle w:val="TableContents"/>
              <w:spacing w:before="0" w:after="0"/>
              <w:jc w:val="both"/>
              <w:rPr/>
            </w:pPr>
            <w:r>
              <w:rPr/>
              <w:t>Relates to core deposit intangibles (see note #7).</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56" w:name="DSPFPageBreakArea63"/>
      <w:bookmarkStart w:id="657" w:name="DSPFPageBreakArea63"/>
      <w:bookmarkEnd w:id="6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58" w:name="DSPFPageNumber63"/>
      <w:bookmarkStart w:id="659" w:name="DSPFPageNumberArea62"/>
      <w:bookmarkEnd w:id="658"/>
      <w:bookmarkEnd w:id="659"/>
      <w:r>
        <w:rPr>
          <w:b w:val="false"/>
          <w:i w:val="false"/>
          <w:caps w:val="false"/>
          <w:smallCaps w:val="false"/>
          <w:sz w:val="13"/>
        </w:rPr>
        <w:t>64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0" w:name="DSPFPageBreak63"/>
      <w:bookmarkStart w:id="661" w:name="DSPFPageBreak63"/>
      <w:bookmarkEnd w:id="6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62" w:name="DSPFPageHeader62"/>
        <w:bookmarkEnd w:id="662"/>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NOTES TO INTERIM CONDENSED CONSOLIDATED FINANCIAL STATEMENTS (continued)</w:t>
      </w:r>
    </w:p>
    <w:p>
      <w:pPr>
        <w:pStyle w:val="TextBody"/>
        <w:spacing w:before="0" w:after="0"/>
        <w:jc w:val="center"/>
        <w:rPr/>
      </w:pPr>
      <w:r>
        <w:rPr/>
        <w:t>(unaudited)</w:t>
      </w:r>
    </w:p>
    <w:p>
      <w:pPr>
        <w:pStyle w:val="TextBody"/>
        <w:spacing w:before="0" w:after="0"/>
        <w:rPr/>
      </w:pPr>
      <w:r>
        <w:rPr/>
      </w:r>
    </w:p>
    <w:p>
      <w:pPr>
        <w:pStyle w:val="TextBody"/>
        <w:spacing w:before="0" w:after="0"/>
        <w:jc w:val="both"/>
        <w:rPr/>
      </w:pPr>
      <w:r>
        <w:rPr/>
        <w:t>Management views the disclosed fair values presented above to be final as the one-year measurement period for finalizing acquisition-date fair values has expired.  During this measurement period we had one adjustment to our acquisition date fair values.  During the third quarter of 2018, goodwill was reduced by $0.7 million (to $28.3 million) related to the collection of a TCSB acquired loan that had been charged off in full prior to the Merger.  Because of the status of the collection activities related to this loan at the time of the Merger, we determined that this transaction was a measurement period adjustment and reduced goodwill accordingly.</w:t>
      </w:r>
    </w:p>
    <w:p>
      <w:pPr>
        <w:pStyle w:val="TextBody"/>
        <w:spacing w:before="0" w:after="0"/>
        <w:rPr/>
      </w:pPr>
      <w:r>
        <w:rPr/>
      </w:r>
    </w:p>
    <w:p>
      <w:pPr>
        <w:pStyle w:val="TextBody"/>
        <w:spacing w:before="0" w:after="0"/>
        <w:jc w:val="both"/>
        <w:rPr/>
      </w:pPr>
      <w:r>
        <w:rPr/>
        <w:t>Goodwill related to this acquisition will not be deductible for tax purposes and consists largely of synergies and cost savings resulting from the combining of the operations of TCSB into ours as well as expansion into a new market.</w:t>
      </w:r>
    </w:p>
    <w:p>
      <w:pPr>
        <w:pStyle w:val="TextBody"/>
        <w:spacing w:before="0" w:after="0"/>
        <w:rPr/>
      </w:pPr>
      <w:r>
        <w:rPr/>
      </w:r>
    </w:p>
    <w:p>
      <w:pPr>
        <w:pStyle w:val="TextBody"/>
        <w:spacing w:before="0" w:after="0"/>
        <w:jc w:val="both"/>
        <w:rPr/>
      </w:pPr>
      <w:r>
        <w:rPr/>
        <w:t>The estimated fair value of the core deposit intangible was $5.8 million and is being amortized over an estimated useful life of 10 years.</w:t>
      </w:r>
    </w:p>
    <w:p>
      <w:pPr>
        <w:pStyle w:val="TextBody"/>
        <w:spacing w:before="0" w:after="0"/>
        <w:rPr/>
      </w:pPr>
      <w:r>
        <w:rPr/>
      </w:r>
    </w:p>
    <w:p>
      <w:pPr>
        <w:pStyle w:val="TextBody"/>
        <w:spacing w:before="0" w:after="0"/>
        <w:jc w:val="both"/>
        <w:rPr/>
      </w:pPr>
      <w:r>
        <w:rPr/>
        <w:t>The fair value of net assets acquired includes fair value adjustments to certain receivables that were not considered impaired as of the acquisition date. The fair value adjustments were determined using discounted contractual cash flows.  However, we believe that all contractual cash flows related to these financial instruments will be collected.  As such, these receivables were not considered impaired at the acquisition date and were not subject to the guidance relating to purchased credit impaired loans which have shown evidence of credit deterioration since origination.  Receivables acquired that are not subject to these requirements included non-impaired customer receivables with a fair value and gross contractual amounts receivable of $292.9 million and $298.6 million on the date of acquisition.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63" w:name="DSPFPageBreakArea64"/>
      <w:bookmarkStart w:id="664" w:name="DSPFPageBreakArea64"/>
      <w:bookmarkEnd w:id="6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65" w:name="DSPFPageNumber64"/>
      <w:bookmarkStart w:id="666" w:name="DSPFPageNumberArea63"/>
      <w:bookmarkEnd w:id="665"/>
      <w:bookmarkEnd w:id="666"/>
      <w:r>
        <w:rPr>
          <w:b w:val="false"/>
          <w:i w:val="false"/>
          <w:caps w:val="false"/>
          <w:smallCaps w:val="false"/>
          <w:sz w:val="13"/>
        </w:rPr>
        <w:t>65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7" w:name="DSPFPageBreak64"/>
      <w:bookmarkStart w:id="668" w:name="DSPFPageBreak64"/>
      <w:bookmarkEnd w:id="6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69" w:name="DSPFPageHeader63"/>
        <w:bookmarkEnd w:id="669"/>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rPr>
      </w:pPr>
      <w:r>
        <w:rPr>
          <w:b/>
        </w:rPr>
        <w:t>ITEM 2.</w:t>
      </w:r>
    </w:p>
    <w:p>
      <w:pPr>
        <w:pStyle w:val="TextBody"/>
        <w:spacing w:before="0" w:after="0"/>
        <w:rPr/>
      </w:pPr>
      <w:r>
        <w:rPr/>
      </w:r>
    </w:p>
    <w:p>
      <w:pPr>
        <w:pStyle w:val="TextBody"/>
        <w:spacing w:before="0" w:after="0"/>
        <w:jc w:val="center"/>
        <w:rPr>
          <w:b/>
          <w:smallCaps/>
        </w:rPr>
      </w:pPr>
      <w:bookmarkStart w:id="670" w:name="ManagementsDiscussionandA"/>
      <w:bookmarkEnd w:id="670"/>
      <w:r>
        <w:rPr>
          <w:b/>
          <w:smallCaps/>
        </w:rPr>
        <w:t>Management’s Discussion and Analysis</w:t>
      </w:r>
    </w:p>
    <w:p>
      <w:pPr>
        <w:pStyle w:val="TextBody"/>
        <w:spacing w:before="0" w:after="0"/>
        <w:jc w:val="center"/>
        <w:rPr>
          <w:b/>
          <w:smallCaps/>
        </w:rPr>
      </w:pPr>
      <w:r>
        <w:rPr>
          <w:b/>
          <w:smallCaps/>
        </w:rPr>
        <w:t>of Financial Condition and Results of Operations</w:t>
      </w:r>
    </w:p>
    <w:p>
      <w:pPr>
        <w:pStyle w:val="TextBody"/>
        <w:spacing w:before="0" w:after="0"/>
        <w:rPr/>
      </w:pPr>
      <w:r>
        <w:rPr/>
      </w:r>
    </w:p>
    <w:p>
      <w:pPr>
        <w:pStyle w:val="TextBody"/>
        <w:spacing w:before="0" w:after="0"/>
        <w:jc w:val="both"/>
        <w:rPr/>
      </w:pPr>
      <w:r>
        <w:rPr>
          <w:b/>
          <w:color w:val="000000"/>
        </w:rPr>
        <w:t>Introduction</w:t>
      </w:r>
      <w:r>
        <w:rPr>
          <w:color w:val="000000"/>
        </w:rPr>
        <w:t xml:space="preserve">. </w:t>
      </w:r>
      <w:r>
        <w:rPr/>
        <w:t>The following section presents additional information to assess the financial condition and results of operations of Independent Bank Corporation (“IBCP”), its wholly-owned bank, Independent Bank (the “Bank”), and their subsidiaries. This section should be read in conjunction with the Condensed Consolidated Financial Statements. We also encourage you to read our 2018 Annual Report on Form 10-K filed with the U.S. Securities and Exchange Commission (“SEC”). That report includes a list of risk factors that you should consider in connection with any decision to buy or sell our securities.</w:t>
      </w:r>
    </w:p>
    <w:p>
      <w:pPr>
        <w:pStyle w:val="TextBody"/>
        <w:spacing w:before="0" w:after="0"/>
        <w:rPr/>
      </w:pPr>
      <w:r>
        <w:rPr/>
      </w:r>
    </w:p>
    <w:p>
      <w:pPr>
        <w:pStyle w:val="TextBody"/>
        <w:spacing w:before="0" w:after="0"/>
        <w:jc w:val="both"/>
        <w:rPr>
          <w:color w:val="000000"/>
        </w:rPr>
      </w:pPr>
      <w:r>
        <w:rPr>
          <w:b/>
          <w:color w:val="000000"/>
        </w:rPr>
        <w:t>Overview</w:t>
      </w:r>
      <w:r>
        <w:rPr>
          <w:color w:val="000000"/>
        </w:rPr>
        <w:t>. We provide banking services to customers located primarily in Michigan’s Lower Peninsula.  We also have two loan production offices in Ohio (Columbus and Fairlawn).  As a result, our success depends to a great extent upon the economic conditions in Michigan’s Lower Peninsula.</w:t>
      </w:r>
    </w:p>
    <w:p>
      <w:pPr>
        <w:pStyle w:val="TextBody"/>
        <w:spacing w:before="0" w:after="0"/>
        <w:jc w:val="both"/>
        <w:rPr/>
      </w:pPr>
      <w:r>
        <w:rPr/>
      </w:r>
    </w:p>
    <w:p>
      <w:pPr>
        <w:pStyle w:val="TextBody"/>
        <w:spacing w:before="0" w:after="0"/>
        <w:ind w:left="0" w:right="100" w:hanging="0"/>
        <w:jc w:val="both"/>
        <w:rPr/>
      </w:pPr>
      <w:r>
        <w:rPr>
          <w:b/>
          <w:color w:val="000000"/>
        </w:rPr>
        <w:t>Recent Developments</w:t>
      </w:r>
      <w:r>
        <w:rPr>
          <w:color w:val="000000"/>
        </w:rPr>
        <w:t xml:space="preserve">. </w:t>
      </w:r>
      <w:r>
        <w:rPr>
          <w:color w:val="231F20"/>
        </w:rPr>
        <w:t>On December 4, 2017, we entered into an Agreement and Plan of Merger with TCSB Bancorp, Inc. (“TCSB”) (the “Merger Agreement”) providing for a business combination of IBCP and TCSB.  On April 1, 2018, TCSB was merged with and into IBCP, with IBCP as the surviving corporation (the “Merger”).  In connection with the Merger, on April 1, 2018, IBCP consolidated Traverse City State Bank, TCSB’s wholly-owned subsidiary bank, with and into Independent Bank (with Independent Bank as the surviving institution). See note #17.</w:t>
      </w:r>
    </w:p>
    <w:p>
      <w:pPr>
        <w:pStyle w:val="TextBody"/>
        <w:spacing w:before="0" w:after="0"/>
        <w:rPr/>
      </w:pPr>
      <w:r>
        <w:rPr/>
      </w:r>
    </w:p>
    <w:p>
      <w:pPr>
        <w:pStyle w:val="TextBody"/>
        <w:spacing w:before="0" w:after="0"/>
        <w:jc w:val="both"/>
        <w:rPr/>
      </w:pPr>
      <w:r>
        <w:rPr/>
        <w:t>It is against this backdrop that we discuss our results of operations and financial condition in the second quarter and first six months of 2019 as compared to 2018.</w:t>
      </w:r>
    </w:p>
    <w:p>
      <w:pPr>
        <w:pStyle w:val="TextBody"/>
        <w:spacing w:before="0" w:after="0"/>
        <w:rPr/>
      </w:pPr>
      <w:r>
        <w:rPr/>
      </w:r>
    </w:p>
    <w:p>
      <w:pPr>
        <w:pStyle w:val="TextBody"/>
        <w:spacing w:before="0" w:after="0"/>
        <w:jc w:val="center"/>
        <w:rPr>
          <w:b/>
          <w:smallCaps/>
        </w:rPr>
      </w:pPr>
      <w:r>
        <w:rPr>
          <w:b/>
          <w:smallCaps/>
        </w:rPr>
        <w:t>Results of Operations</w:t>
      </w:r>
    </w:p>
    <w:p>
      <w:pPr>
        <w:pStyle w:val="TextBody"/>
        <w:spacing w:before="0" w:after="0"/>
        <w:rPr/>
      </w:pPr>
      <w:r>
        <w:rPr/>
      </w:r>
    </w:p>
    <w:p>
      <w:pPr>
        <w:pStyle w:val="TextBody"/>
        <w:spacing w:before="0" w:after="0"/>
        <w:jc w:val="both"/>
        <w:rPr/>
      </w:pPr>
      <w:r>
        <w:rPr>
          <w:b/>
        </w:rPr>
        <w:t xml:space="preserve">Summary.  </w:t>
      </w:r>
      <w:r>
        <w:rPr/>
        <w:t>We recorded net income of $10.7 million and $8.8 million during the three months ended June 30, 2019 and 2018, respectively.  The increase in 2019 second quarter results as compared to 2018 primarily reflects an increase in net interest income and a decrease in non-interest expense that were partially offset by a decline in non-interest income and an increase in income tax expense.</w:t>
      </w:r>
    </w:p>
    <w:p>
      <w:pPr>
        <w:pStyle w:val="TextBody"/>
        <w:spacing w:before="0" w:after="0"/>
        <w:rPr/>
      </w:pPr>
      <w:r>
        <w:rPr/>
      </w:r>
    </w:p>
    <w:p>
      <w:pPr>
        <w:pStyle w:val="TextBody"/>
        <w:spacing w:before="0" w:after="0"/>
        <w:jc w:val="both"/>
        <w:rPr/>
      </w:pPr>
      <w:r>
        <w:rPr/>
        <w:t>We recorded net income of $20.1 million and $18.0 million during the six months ended June 30, 2019 and 2018, respectively.  The increase in 2019 year-to-date results as compared to 2018 is primarily due to an increase in net interest income that was partially offset by a decline in non-interest income as well as increases in the provision for loan losses, non-interest expense and income tax expense.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71" w:name="DSPFPageBreakArea65"/>
      <w:bookmarkStart w:id="672" w:name="DSPFPageBreakArea65"/>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73" w:name="DSPFPageNumber65"/>
      <w:bookmarkStart w:id="674" w:name="DSPFPageNumberArea64"/>
      <w:bookmarkEnd w:id="673"/>
      <w:bookmarkEnd w:id="674"/>
      <w:r>
        <w:rPr>
          <w:b w:val="false"/>
          <w:i w:val="false"/>
          <w:caps w:val="false"/>
          <w:smallCaps w:val="false"/>
          <w:sz w:val="13"/>
        </w:rPr>
        <w:t>66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75" w:name="DSPFPageBreak65"/>
      <w:bookmarkStart w:id="676" w:name="DSPFPageBreak65"/>
      <w:bookmarkEnd w:id="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77" w:name="DSPFPageHeader64"/>
        <w:bookmarkEnd w:id="677"/>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color w:val="000000"/>
        </w:rPr>
      </w:pPr>
      <w:r>
        <w:rPr>
          <w:b/>
          <w:color w:val="000000"/>
        </w:rPr>
        <w:t>Key performance ratios</w:t>
      </w:r>
    </w:p>
    <w:p>
      <w:pPr>
        <w:pStyle w:val="TextBody"/>
        <w:spacing w:before="0" w:after="0"/>
        <w:rPr>
          <w:b/>
          <w:color w:val="000000"/>
        </w:rPr>
      </w:pPr>
      <w:r>
        <w:rPr>
          <w:b/>
          <w:color w:val="000000"/>
        </w:rPr>
      </w:r>
    </w:p>
    <w:p>
      <w:pPr>
        <w:pStyle w:val="Normal"/>
        <w:spacing w:before="0" w:after="0"/>
        <w:rPr>
          <w:sz w:val="4"/>
          <w:szCs w:val="4"/>
        </w:rPr>
      </w:pPr>
      <w:r>
        <w:rPr>
          <w:sz w:val="4"/>
          <w:szCs w:val="4"/>
        </w:rPr>
      </w:r>
      <w:bookmarkStart w:id="678" w:name="z027139e684a64c67bd06f1a5366bb24b"/>
      <w:bookmarkStart w:id="679" w:name="z027139e684a64c67bd06f1a5366bb24b"/>
      <w:bookmarkEnd w:id="679"/>
    </w:p>
    <w:tbl>
      <w:tblPr>
        <w:tblW w:w="7895" w:type="dxa"/>
        <w:jc w:val="left"/>
        <w:tblInd w:w="0" w:type="dxa"/>
        <w:tblCellMar>
          <w:top w:w="0" w:type="dxa"/>
          <w:left w:w="0" w:type="dxa"/>
          <w:bottom w:w="0" w:type="dxa"/>
          <w:right w:w="0" w:type="dxa"/>
        </w:tblCellMar>
      </w:tblPr>
      <w:tblGrid>
        <w:gridCol w:w="3680"/>
        <w:gridCol w:w="60"/>
        <w:gridCol w:w="163"/>
        <w:gridCol w:w="653"/>
        <w:gridCol w:w="250"/>
        <w:gridCol w:w="70"/>
        <w:gridCol w:w="163"/>
        <w:gridCol w:w="653"/>
        <w:gridCol w:w="215"/>
        <w:gridCol w:w="60"/>
        <w:gridCol w:w="143"/>
        <w:gridCol w:w="573"/>
        <w:gridCol w:w="220"/>
        <w:gridCol w:w="61"/>
        <w:gridCol w:w="143"/>
        <w:gridCol w:w="573"/>
        <w:gridCol w:w="215"/>
      </w:tblGrid>
      <w:tr>
        <w:trPr/>
        <w:tc>
          <w:tcPr>
            <w:tcW w:w="368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1952" w:type="dxa"/>
            <w:gridSpan w:val="6"/>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Three months ended</w:t>
            </w:r>
          </w:p>
          <w:p>
            <w:pPr>
              <w:pStyle w:val="TableContents"/>
              <w:spacing w:before="0" w:after="0"/>
              <w:jc w:val="center"/>
              <w:rPr>
                <w:color w:val="000000"/>
              </w:rPr>
            </w:pPr>
            <w:r>
              <w:rPr>
                <w:color w:val="000000"/>
              </w:rPr>
              <w:t>June 30,</w:t>
            </w:r>
          </w:p>
        </w:tc>
        <w:tc>
          <w:tcPr>
            <w:tcW w:w="21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1713" w:type="dxa"/>
            <w:gridSpan w:val="6"/>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Six months ended</w:t>
            </w:r>
          </w:p>
          <w:p>
            <w:pPr>
              <w:pStyle w:val="TableContents"/>
              <w:spacing w:before="0" w:after="0"/>
              <w:jc w:val="center"/>
              <w:rPr>
                <w:color w:val="000000"/>
              </w:rPr>
            </w:pPr>
            <w:r>
              <w:rPr>
                <w:color w:val="000000"/>
              </w:rPr>
              <w:t>June 30,</w:t>
            </w:r>
          </w:p>
        </w:tc>
        <w:tc>
          <w:tcPr>
            <w:tcW w:w="215" w:type="dxa"/>
            <w:tcBorders/>
            <w:shd w:fill="auto" w:val="clear"/>
            <w:vAlign w:val="bottom"/>
          </w:tcPr>
          <w:p>
            <w:pPr>
              <w:pStyle w:val="TableContents"/>
              <w:spacing w:before="0" w:after="283"/>
              <w:rPr/>
            </w:pPr>
            <w:r>
              <w:rPr/>
            </w:r>
          </w:p>
        </w:tc>
      </w:tr>
      <w:tr>
        <w:trPr/>
        <w:tc>
          <w:tcPr>
            <w:tcW w:w="3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6"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2019</w:t>
            </w:r>
          </w:p>
        </w:tc>
        <w:tc>
          <w:tcPr>
            <w:tcW w:w="25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16"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2018</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6"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2019</w:t>
            </w:r>
          </w:p>
        </w:tc>
        <w:tc>
          <w:tcPr>
            <w:tcW w:w="22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6"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2018</w:t>
            </w:r>
          </w:p>
        </w:tc>
        <w:tc>
          <w:tcPr>
            <w:tcW w:w="215" w:type="dxa"/>
            <w:tcBorders/>
            <w:shd w:fill="auto"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0"/>
              <w:rPr>
                <w:color w:val="000000"/>
              </w:rPr>
            </w:pPr>
            <w:r>
              <w:rPr>
                <w:color w:val="000000"/>
              </w:rPr>
              <w:t>Net income (annualized) to</w:t>
            </w:r>
          </w:p>
        </w:tc>
        <w:tc>
          <w:tcPr>
            <w:tcW w:w="60" w:type="dxa"/>
            <w:tcBorders/>
            <w:shd w:fill="auto" w:val="clear"/>
            <w:vAlign w:val="bottom"/>
          </w:tcPr>
          <w:p>
            <w:pPr>
              <w:pStyle w:val="TableContents"/>
              <w:spacing w:before="0" w:after="283"/>
              <w:rPr/>
            </w:pPr>
            <w:r>
              <w:rPr/>
              <w:t> </w:t>
            </w:r>
          </w:p>
        </w:tc>
        <w:tc>
          <w:tcPr>
            <w:tcW w:w="816" w:type="dxa"/>
            <w:gridSpan w:val="2"/>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16"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6" w:type="dxa"/>
            <w:gridSpan w:val="2"/>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716"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680" w:type="dxa"/>
            <w:tcBorders/>
            <w:shd w:fill="CCEEFF" w:val="clear"/>
            <w:vAlign w:val="bottom"/>
          </w:tcPr>
          <w:p>
            <w:pPr>
              <w:pStyle w:val="TableContents"/>
              <w:spacing w:before="0" w:after="0"/>
              <w:ind w:left="180" w:right="0" w:hanging="0"/>
              <w:rPr>
                <w:color w:val="000000"/>
              </w:rPr>
            </w:pPr>
            <w:r>
              <w:rPr>
                <w:color w:val="000000"/>
              </w:rPr>
              <w:t>Average assets</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0"/>
              <w:jc w:val="right"/>
              <w:rPr>
                <w:color w:val="000000"/>
              </w:rPr>
            </w:pPr>
            <w:r>
              <w:rPr>
                <w:color w:val="000000"/>
              </w:rPr>
              <w:t>1.27</w:t>
            </w:r>
          </w:p>
        </w:tc>
        <w:tc>
          <w:tcPr>
            <w:tcW w:w="250" w:type="dxa"/>
            <w:tcBorders/>
            <w:shd w:fill="CCEEFF" w:val="clear"/>
            <w:vAlign w:val="bottom"/>
          </w:tcPr>
          <w:p>
            <w:pPr>
              <w:pStyle w:val="TableContents"/>
              <w:spacing w:before="0" w:after="0"/>
              <w:rPr>
                <w:color w:val="000000"/>
              </w:rPr>
            </w:pPr>
            <w:r>
              <w:rPr>
                <w:color w:val="000000"/>
              </w:rPr>
              <w:t>%</w:t>
            </w:r>
          </w:p>
        </w:tc>
        <w:tc>
          <w:tcPr>
            <w:tcW w:w="7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0"/>
              <w:jc w:val="right"/>
              <w:rPr>
                <w:color w:val="000000"/>
              </w:rPr>
            </w:pPr>
            <w:r>
              <w:rPr>
                <w:color w:val="000000"/>
              </w:rPr>
              <w:t>1.12</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color w:val="000000"/>
              </w:rPr>
            </w:pPr>
            <w:r>
              <w:rPr>
                <w:color w:val="000000"/>
              </w:rPr>
              <w:t>1.20</w:t>
            </w:r>
          </w:p>
        </w:tc>
        <w:tc>
          <w:tcPr>
            <w:tcW w:w="220" w:type="dxa"/>
            <w:tcBorders/>
            <w:shd w:fill="CCEEFF" w:val="clear"/>
            <w:vAlign w:val="bottom"/>
          </w:tcPr>
          <w:p>
            <w:pPr>
              <w:pStyle w:val="TableContents"/>
              <w:spacing w:before="0" w:after="0"/>
              <w:rPr>
                <w:color w:val="000000"/>
              </w:rPr>
            </w:pPr>
            <w:r>
              <w:rPr>
                <w:color w:val="000000"/>
              </w:rPr>
              <w:t>%</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color w:val="000000"/>
              </w:rPr>
            </w:pPr>
            <w:r>
              <w:rPr>
                <w:color w:val="000000"/>
              </w:rPr>
              <w:t>1.22</w:t>
            </w:r>
          </w:p>
        </w:tc>
        <w:tc>
          <w:tcPr>
            <w:tcW w:w="215" w:type="dxa"/>
            <w:tcBorders/>
            <w:shd w:fill="CCEEFF" w:val="clear"/>
            <w:vAlign w:val="bottom"/>
          </w:tcPr>
          <w:p>
            <w:pPr>
              <w:pStyle w:val="TableContents"/>
              <w:spacing w:before="0" w:after="0"/>
              <w:rPr>
                <w:color w:val="000000"/>
              </w:rPr>
            </w:pPr>
            <w:r>
              <w:rPr>
                <w:color w:val="000000"/>
              </w:rPr>
              <w:t>%</w:t>
            </w:r>
          </w:p>
        </w:tc>
      </w:tr>
      <w:tr>
        <w:trPr/>
        <w:tc>
          <w:tcPr>
            <w:tcW w:w="3680" w:type="dxa"/>
            <w:tcBorders/>
            <w:shd w:fill="FFFFFF" w:val="clear"/>
            <w:vAlign w:val="bottom"/>
          </w:tcPr>
          <w:p>
            <w:pPr>
              <w:pStyle w:val="TableContents"/>
              <w:spacing w:before="0" w:after="0"/>
              <w:ind w:left="180" w:right="0" w:hanging="0"/>
              <w:rPr>
                <w:color w:val="000000"/>
              </w:rPr>
            </w:pPr>
            <w:r>
              <w:rPr>
                <w:color w:val="000000"/>
              </w:rPr>
              <w:t>Average common shareholders’ equity</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53" w:type="dxa"/>
            <w:tcBorders/>
            <w:shd w:fill="FFFFFF" w:val="clear"/>
            <w:vAlign w:val="bottom"/>
          </w:tcPr>
          <w:p>
            <w:pPr>
              <w:pStyle w:val="TableContents"/>
              <w:spacing w:before="0" w:after="0"/>
              <w:jc w:val="right"/>
              <w:rPr>
                <w:color w:val="000000"/>
              </w:rPr>
            </w:pPr>
            <w:r>
              <w:rPr>
                <w:color w:val="000000"/>
              </w:rPr>
              <w:t>12.72</w:t>
            </w:r>
          </w:p>
        </w:tc>
        <w:tc>
          <w:tcPr>
            <w:tcW w:w="250" w:type="dxa"/>
            <w:tcBorders/>
            <w:shd w:fill="FFFFFF" w:val="clear"/>
            <w:vAlign w:val="bottom"/>
          </w:tcPr>
          <w:p>
            <w:pPr>
              <w:pStyle w:val="TableContents"/>
              <w:spacing w:before="0" w:after="283"/>
              <w:rPr/>
            </w:pPr>
            <w:r>
              <w:rPr/>
              <w:t> </w:t>
            </w:r>
          </w:p>
        </w:tc>
        <w:tc>
          <w:tcPr>
            <w:tcW w:w="7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53" w:type="dxa"/>
            <w:tcBorders/>
            <w:shd w:fill="FFFFFF" w:val="clear"/>
            <w:vAlign w:val="bottom"/>
          </w:tcPr>
          <w:p>
            <w:pPr>
              <w:pStyle w:val="TableContents"/>
              <w:spacing w:before="0" w:after="0"/>
              <w:jc w:val="right"/>
              <w:rPr>
                <w:color w:val="000000"/>
              </w:rPr>
            </w:pPr>
            <w:r>
              <w:rPr>
                <w:color w:val="000000"/>
              </w:rPr>
              <w:t>10.57</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color w:val="000000"/>
              </w:rPr>
            </w:pPr>
            <w:r>
              <w:rPr>
                <w:color w:val="000000"/>
              </w:rPr>
              <w:t>11.93</w:t>
            </w:r>
          </w:p>
        </w:tc>
        <w:tc>
          <w:tcPr>
            <w:tcW w:w="220"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color w:val="000000"/>
              </w:rPr>
            </w:pPr>
            <w:r>
              <w:rPr>
                <w:color w:val="000000"/>
              </w:rPr>
              <w:t>12.09</w:t>
            </w:r>
          </w:p>
        </w:tc>
        <w:tc>
          <w:tcPr>
            <w:tcW w:w="215" w:type="dxa"/>
            <w:tcBorders/>
            <w:shd w:fill="FFFFFF" w:val="clear"/>
            <w:vAlign w:val="bottom"/>
          </w:tcPr>
          <w:p>
            <w:pPr>
              <w:pStyle w:val="TableContents"/>
              <w:spacing w:before="0" w:after="283"/>
              <w:rPr/>
            </w:pPr>
            <w:r>
              <w:rPr/>
              <w:t> </w:t>
            </w:r>
          </w:p>
        </w:tc>
      </w:tr>
      <w:tr>
        <w:trPr/>
        <w:tc>
          <w:tcPr>
            <w:tcW w:w="3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pPr>
            <w:r>
              <w:rPr/>
              <w:t> </w:t>
            </w:r>
          </w:p>
        </w:tc>
        <w:tc>
          <w:tcPr>
            <w:tcW w:w="25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r>
      <w:tr>
        <w:trPr/>
        <w:tc>
          <w:tcPr>
            <w:tcW w:w="3680" w:type="dxa"/>
            <w:tcBorders/>
            <w:shd w:fill="FFFFFF" w:val="clear"/>
            <w:vAlign w:val="bottom"/>
          </w:tcPr>
          <w:p>
            <w:pPr>
              <w:pStyle w:val="TableContents"/>
              <w:spacing w:before="0" w:after="0"/>
              <w:rPr>
                <w:color w:val="000000"/>
              </w:rPr>
            </w:pPr>
            <w:r>
              <w:rPr>
                <w:color w:val="000000"/>
              </w:rPr>
              <w:t>Net income per common share</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53" w:type="dxa"/>
            <w:tcBorders/>
            <w:shd w:fill="FFFFFF" w:val="clear"/>
            <w:vAlign w:val="bottom"/>
          </w:tcPr>
          <w:p>
            <w:pPr>
              <w:pStyle w:val="TableContents"/>
              <w:spacing w:before="0" w:after="283"/>
              <w:jc w:val="right"/>
              <w:rPr/>
            </w:pPr>
            <w:r>
              <w:rPr/>
              <w:t> </w:t>
            </w:r>
          </w:p>
        </w:tc>
        <w:tc>
          <w:tcPr>
            <w:tcW w:w="250" w:type="dxa"/>
            <w:tcBorders/>
            <w:shd w:fill="FFFFFF" w:val="clear"/>
            <w:vAlign w:val="bottom"/>
          </w:tcPr>
          <w:p>
            <w:pPr>
              <w:pStyle w:val="TableContents"/>
              <w:spacing w:before="0" w:after="283"/>
              <w:rPr/>
            </w:pPr>
            <w:r>
              <w:rPr/>
              <w:t> </w:t>
            </w:r>
          </w:p>
        </w:tc>
        <w:tc>
          <w:tcPr>
            <w:tcW w:w="7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5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20"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r>
      <w:tr>
        <w:trPr/>
        <w:tc>
          <w:tcPr>
            <w:tcW w:w="3680" w:type="dxa"/>
            <w:tcBorders/>
            <w:shd w:fill="CCEEFF" w:val="clear"/>
            <w:vAlign w:val="bottom"/>
          </w:tcPr>
          <w:p>
            <w:pPr>
              <w:pStyle w:val="TableContents"/>
              <w:spacing w:before="0" w:after="0"/>
              <w:ind w:left="180" w:right="0" w:hanging="0"/>
              <w:rPr>
                <w:color w:val="000000"/>
              </w:rPr>
            </w:pPr>
            <w:r>
              <w:rPr>
                <w:color w:val="000000"/>
              </w:rPr>
              <w:t>Basic</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color w:val="000000"/>
              </w:rPr>
            </w:pPr>
            <w:r>
              <w:rPr>
                <w:color w:val="000000"/>
              </w:rPr>
              <w:t>$</w:t>
            </w:r>
          </w:p>
        </w:tc>
        <w:tc>
          <w:tcPr>
            <w:tcW w:w="653" w:type="dxa"/>
            <w:tcBorders/>
            <w:shd w:fill="CCEEFF" w:val="clear"/>
            <w:vAlign w:val="bottom"/>
          </w:tcPr>
          <w:p>
            <w:pPr>
              <w:pStyle w:val="TableContents"/>
              <w:spacing w:before="0" w:after="0"/>
              <w:jc w:val="right"/>
              <w:rPr>
                <w:color w:val="000000"/>
              </w:rPr>
            </w:pPr>
            <w:r>
              <w:rPr>
                <w:color w:val="000000"/>
              </w:rPr>
              <w:t>0.47</w:t>
            </w:r>
          </w:p>
        </w:tc>
        <w:tc>
          <w:tcPr>
            <w:tcW w:w="25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color w:val="000000"/>
              </w:rPr>
            </w:pPr>
            <w:r>
              <w:rPr>
                <w:color w:val="000000"/>
              </w:rPr>
              <w:t>$</w:t>
            </w:r>
          </w:p>
        </w:tc>
        <w:tc>
          <w:tcPr>
            <w:tcW w:w="653" w:type="dxa"/>
            <w:tcBorders/>
            <w:shd w:fill="CCEEFF" w:val="clear"/>
            <w:vAlign w:val="bottom"/>
          </w:tcPr>
          <w:p>
            <w:pPr>
              <w:pStyle w:val="TableContents"/>
              <w:spacing w:before="0" w:after="0"/>
              <w:jc w:val="right"/>
              <w:rPr>
                <w:color w:val="000000"/>
              </w:rPr>
            </w:pPr>
            <w:r>
              <w:rPr>
                <w:color w:val="000000"/>
              </w:rPr>
              <w:t>0.37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0"/>
              <w:rPr>
                <w:color w:val="000000"/>
              </w:rPr>
            </w:pPr>
            <w:r>
              <w:rPr>
                <w:color w:val="000000"/>
              </w:rPr>
              <w:t>$</w:t>
            </w:r>
          </w:p>
        </w:tc>
        <w:tc>
          <w:tcPr>
            <w:tcW w:w="573" w:type="dxa"/>
            <w:tcBorders/>
            <w:shd w:fill="CCEEFF" w:val="clear"/>
            <w:vAlign w:val="bottom"/>
          </w:tcPr>
          <w:p>
            <w:pPr>
              <w:pStyle w:val="TableContents"/>
              <w:spacing w:before="0" w:after="0"/>
              <w:jc w:val="right"/>
              <w:rPr>
                <w:color w:val="000000"/>
              </w:rPr>
            </w:pPr>
            <w:r>
              <w:rPr>
                <w:color w:val="000000"/>
              </w:rPr>
              <w:t>0.86</w:t>
            </w:r>
          </w:p>
        </w:tc>
        <w:tc>
          <w:tcPr>
            <w:tcW w:w="220"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0"/>
              <w:rPr>
                <w:color w:val="000000"/>
              </w:rPr>
            </w:pPr>
            <w:r>
              <w:rPr>
                <w:color w:val="000000"/>
              </w:rPr>
              <w:t>$</w:t>
            </w:r>
          </w:p>
        </w:tc>
        <w:tc>
          <w:tcPr>
            <w:tcW w:w="573" w:type="dxa"/>
            <w:tcBorders/>
            <w:shd w:fill="CCEEFF" w:val="clear"/>
            <w:vAlign w:val="bottom"/>
          </w:tcPr>
          <w:p>
            <w:pPr>
              <w:pStyle w:val="TableContents"/>
              <w:spacing w:before="0" w:after="0"/>
              <w:jc w:val="right"/>
              <w:rPr>
                <w:color w:val="000000"/>
              </w:rPr>
            </w:pPr>
            <w:r>
              <w:rPr>
                <w:color w:val="000000"/>
              </w:rPr>
              <w:t>0.79</w:t>
            </w:r>
          </w:p>
        </w:tc>
        <w:tc>
          <w:tcPr>
            <w:tcW w:w="215" w:type="dxa"/>
            <w:tcBorders/>
            <w:shd w:fill="CCEEFF" w:val="clear"/>
            <w:vAlign w:val="bottom"/>
          </w:tcPr>
          <w:p>
            <w:pPr>
              <w:pStyle w:val="TableContents"/>
              <w:spacing w:before="0" w:after="283"/>
              <w:rPr/>
            </w:pPr>
            <w:r>
              <w:rPr/>
              <w:t> </w:t>
            </w:r>
          </w:p>
        </w:tc>
      </w:tr>
      <w:tr>
        <w:trPr/>
        <w:tc>
          <w:tcPr>
            <w:tcW w:w="3680" w:type="dxa"/>
            <w:tcBorders/>
            <w:shd w:fill="FFFFFF" w:val="clear"/>
            <w:vAlign w:val="bottom"/>
          </w:tcPr>
          <w:p>
            <w:pPr>
              <w:pStyle w:val="TableContents"/>
              <w:spacing w:before="0" w:after="0"/>
              <w:ind w:left="180" w:right="0" w:hanging="0"/>
              <w:rPr>
                <w:color w:val="000000"/>
              </w:rPr>
            </w:pPr>
            <w:r>
              <w:rPr>
                <w:color w:val="000000"/>
              </w:rPr>
              <w:t>Diluted</w:t>
            </w:r>
          </w:p>
        </w:tc>
        <w:tc>
          <w:tcPr>
            <w:tcW w:w="6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53" w:type="dxa"/>
            <w:tcBorders/>
            <w:shd w:fill="FFFFFF" w:val="clear"/>
            <w:vAlign w:val="bottom"/>
          </w:tcPr>
          <w:p>
            <w:pPr>
              <w:pStyle w:val="TableContents"/>
              <w:spacing w:before="0" w:after="0"/>
              <w:jc w:val="right"/>
              <w:rPr>
                <w:color w:val="000000"/>
              </w:rPr>
            </w:pPr>
            <w:r>
              <w:rPr>
                <w:color w:val="000000"/>
              </w:rPr>
              <w:t>0.46</w:t>
            </w:r>
          </w:p>
        </w:tc>
        <w:tc>
          <w:tcPr>
            <w:tcW w:w="250" w:type="dxa"/>
            <w:tcBorders/>
            <w:shd w:fill="FFFFFF" w:val="clear"/>
            <w:vAlign w:val="bottom"/>
          </w:tcPr>
          <w:p>
            <w:pPr>
              <w:pStyle w:val="TableContents"/>
              <w:spacing w:before="0" w:after="283"/>
              <w:rPr/>
            </w:pPr>
            <w:r>
              <w:rPr/>
              <w:t> </w:t>
            </w:r>
          </w:p>
        </w:tc>
        <w:tc>
          <w:tcPr>
            <w:tcW w:w="70" w:type="dxa"/>
            <w:tcBorders/>
            <w:shd w:fill="FFFFFF" w:val="clear"/>
            <w:vAlign w:val="bottom"/>
          </w:tcPr>
          <w:p>
            <w:pPr>
              <w:pStyle w:val="TableContents"/>
              <w:spacing w:before="0" w:after="283"/>
              <w:rPr/>
            </w:pPr>
            <w:r>
              <w:rPr/>
              <w:t> </w:t>
            </w:r>
          </w:p>
        </w:tc>
        <w:tc>
          <w:tcPr>
            <w:tcW w:w="163" w:type="dxa"/>
            <w:tcBorders/>
            <w:shd w:fill="FFFFFF" w:val="clear"/>
            <w:vAlign w:val="bottom"/>
          </w:tcPr>
          <w:p>
            <w:pPr>
              <w:pStyle w:val="TableContents"/>
              <w:spacing w:before="0" w:after="283"/>
              <w:rPr/>
            </w:pPr>
            <w:r>
              <w:rPr/>
              <w:t> </w:t>
            </w:r>
          </w:p>
        </w:tc>
        <w:tc>
          <w:tcPr>
            <w:tcW w:w="653" w:type="dxa"/>
            <w:tcBorders/>
            <w:shd w:fill="FFFFFF" w:val="clear"/>
            <w:vAlign w:val="bottom"/>
          </w:tcPr>
          <w:p>
            <w:pPr>
              <w:pStyle w:val="TableContents"/>
              <w:spacing w:before="0" w:after="0"/>
              <w:jc w:val="right"/>
              <w:rPr>
                <w:color w:val="000000"/>
              </w:rPr>
            </w:pPr>
            <w:r>
              <w:rPr>
                <w:color w:val="000000"/>
              </w:rPr>
              <w:t>0.36</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color w:val="000000"/>
              </w:rPr>
            </w:pPr>
            <w:r>
              <w:rPr>
                <w:color w:val="000000"/>
              </w:rPr>
              <w:t>0.85</w:t>
            </w:r>
          </w:p>
        </w:tc>
        <w:tc>
          <w:tcPr>
            <w:tcW w:w="220" w:type="dxa"/>
            <w:tcBorders/>
            <w:shd w:fill="FFFFFF" w:val="clear"/>
            <w:vAlign w:val="bottom"/>
          </w:tcPr>
          <w:p>
            <w:pPr>
              <w:pStyle w:val="TableContents"/>
              <w:spacing w:before="0" w:after="283"/>
              <w:rPr/>
            </w:pPr>
            <w:r>
              <w:rPr/>
              <w:t> </w:t>
            </w:r>
          </w:p>
        </w:tc>
        <w:tc>
          <w:tcPr>
            <w:tcW w:w="61"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color w:val="000000"/>
              </w:rPr>
            </w:pPr>
            <w:r>
              <w:rPr>
                <w:color w:val="000000"/>
              </w:rPr>
              <w:t>0.78</w:t>
            </w:r>
          </w:p>
        </w:tc>
        <w:tc>
          <w:tcPr>
            <w:tcW w:w="21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b/>
        </w:rPr>
        <w:t>Net interest income.</w:t>
      </w:r>
      <w:r>
        <w:rPr>
          <w:color w:val="000000"/>
        </w:rPr>
        <w:t xml:space="preserve">  </w:t>
      </w:r>
      <w:r>
        <w:rPr/>
        <w:t>Net</w:t>
      </w:r>
      <w:r>
        <w:rPr>
          <w:color w:val="000000"/>
        </w:rPr>
        <w:t xml:space="preserve"> interest income is the most important source of our earnings and thus is critical in evaluating our results of operations. 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pStyle w:val="TextBody"/>
        <w:spacing w:before="0" w:after="0"/>
        <w:rPr/>
      </w:pPr>
      <w:r>
        <w:rPr/>
      </w:r>
    </w:p>
    <w:p>
      <w:pPr>
        <w:pStyle w:val="TextBody"/>
        <w:spacing w:before="0" w:after="0"/>
        <w:jc w:val="both"/>
        <w:rPr/>
      </w:pPr>
      <w:r>
        <w:rPr/>
        <w:t xml:space="preserve">Our net interest income totaled $30.8 million during the second quarter of 2019, an increase of $1.8 million, or 6.1% from the year-ago period.  </w:t>
      </w:r>
      <w:r>
        <w:rPr>
          <w:color w:val="000000"/>
        </w:rPr>
        <w:t>This increase primarily reflects a $227.3 million increase in average interest-earning assets that was partially offset by a six basis point decrease in our tax equivalent net interest income as a percent of average interest-earning assets (the “net interest margin”).</w:t>
      </w:r>
    </w:p>
    <w:p>
      <w:pPr>
        <w:pStyle w:val="TextBody"/>
        <w:spacing w:before="0" w:after="0"/>
        <w:rPr/>
      </w:pPr>
      <w:r>
        <w:rPr/>
      </w:r>
    </w:p>
    <w:p>
      <w:pPr>
        <w:pStyle w:val="TextBody"/>
        <w:spacing w:before="0" w:after="0"/>
        <w:jc w:val="both"/>
        <w:rPr/>
      </w:pPr>
      <w:r>
        <w:rPr/>
        <w:t xml:space="preserve">For the first six months of 2019, net interest income totaled $61.0 million, an increase of $8.1 million, or 15.3% from 2018.  </w:t>
      </w:r>
      <w:r>
        <w:rPr>
          <w:color w:val="000000"/>
        </w:rPr>
        <w:t>This increase primarily reflects a $382.9 million increase in average interest-earning assets as well as a five basis point increase in our net interest margin.</w:t>
      </w:r>
    </w:p>
    <w:p>
      <w:pPr>
        <w:pStyle w:val="TextBody"/>
        <w:spacing w:before="0" w:after="0"/>
        <w:rPr/>
      </w:pPr>
      <w:r>
        <w:rPr/>
      </w:r>
    </w:p>
    <w:p>
      <w:pPr>
        <w:pStyle w:val="TextBody"/>
        <w:spacing w:before="0" w:after="0"/>
        <w:jc w:val="both"/>
        <w:rPr>
          <w:color w:val="000000"/>
        </w:rPr>
      </w:pPr>
      <w:r>
        <w:rPr>
          <w:color w:val="000000"/>
        </w:rPr>
        <w:t>Interest and fees on loans include $0.4 million and $0.8 million for the second quarter and first six months of 2019, respectively, and include $0.6 million for both the second quarter and first six months of 2018, of accretion of the discount recorded on loans acquired in the Merger.</w:t>
      </w:r>
    </w:p>
    <w:p>
      <w:pPr>
        <w:pStyle w:val="TextBody"/>
        <w:spacing w:before="0" w:after="0"/>
        <w:rPr/>
      </w:pPr>
      <w:r>
        <w:rPr/>
      </w:r>
    </w:p>
    <w:p>
      <w:pPr>
        <w:pStyle w:val="TextBody"/>
        <w:spacing w:before="0" w:after="0"/>
        <w:jc w:val="both"/>
        <w:rPr>
          <w:color w:val="000000"/>
        </w:rPr>
      </w:pPr>
      <w:r>
        <w:rPr>
          <w:color w:val="000000"/>
        </w:rPr>
        <w:t>The increase in average interest-earning assets primarily reflects loan growth utilizing funds from increases in deposits and borrowed funds as well as the impact of the Merger (for the year-to-date comparative periods).  The quarterly comparative decrease in the net interest margin reflects the impact of the flattening yield curve during 2019 and rising funding costs. The year-to-date comparative increase in the net interest margin reflects a change in the mix of average-interest earning assets (higher percentage of loans), increases in short-term market interest rates during 2018 and the impact of the Merger.</w:t>
      </w:r>
    </w:p>
    <w:p>
      <w:pPr>
        <w:pStyle w:val="TextBody"/>
        <w:spacing w:before="0" w:after="0"/>
        <w:jc w:val="both"/>
        <w:rPr>
          <w:color w:val="000000"/>
        </w:rPr>
      </w:pPr>
      <w:r>
        <w:rPr>
          <w:color w:val="000000"/>
        </w:rPr>
        <w:t> </w:t>
      </w:r>
    </w:p>
    <w:p>
      <w:pPr>
        <w:pStyle w:val="TextBody"/>
        <w:spacing w:before="0" w:after="0"/>
        <w:jc w:val="both"/>
        <w:rPr/>
      </w:pPr>
      <w:r>
        <w:rPr/>
        <w:t>Our net interest income is also adversely impacted by our level of non-accrual loans. In the second quarter and first six months of 2019, non-accrual loans averaged $8.4 million and $8.8 million, respectively. In the second quarter and first six months of 2018, non-accrual loans averaged $7.5 million in each period.  In addition, in the second quarter and first six months of 2019, we had net recoveries of $0.20 million and $0.43 million, respectively, of unpaid interest on loans placed on or taken off non-accrual during each period or on loans previously charged-off compared to net recoveries of $0.18 million and $0.35 million, respectively, during the same periods in 2018.</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80" w:name="DSPFPageBreakArea66"/>
      <w:bookmarkStart w:id="681" w:name="DSPFPageBreakArea66"/>
      <w:bookmarkEnd w:id="6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82" w:name="DSPFPageNumber66"/>
      <w:bookmarkStart w:id="683" w:name="DSPFPageNumberArea65"/>
      <w:bookmarkEnd w:id="682"/>
      <w:bookmarkEnd w:id="683"/>
      <w:r>
        <w:rPr>
          <w:b w:val="false"/>
          <w:i w:val="false"/>
          <w:caps w:val="false"/>
          <w:smallCaps w:val="false"/>
          <w:sz w:val="13"/>
        </w:rPr>
        <w:t>67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84" w:name="DSPFPageBreak66"/>
      <w:bookmarkStart w:id="685" w:name="DSPFPageBreak66"/>
      <w:bookmarkEnd w:id="6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86" w:name="DSPFPageHeader65"/>
        <w:bookmarkEnd w:id="686"/>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rPr>
      </w:pPr>
      <w:r>
        <w:rPr>
          <w:b/>
        </w:rPr>
        <w:t>Average Balances and Tax Equivalent Rates</w:t>
      </w:r>
    </w:p>
    <w:p>
      <w:pPr>
        <w:pStyle w:val="TextBody"/>
        <w:spacing w:before="0" w:after="0"/>
        <w:rPr/>
      </w:pPr>
      <w:r>
        <w:rPr/>
      </w:r>
    </w:p>
    <w:p>
      <w:pPr>
        <w:pStyle w:val="Normal"/>
        <w:spacing w:before="0" w:after="0"/>
        <w:rPr>
          <w:sz w:val="4"/>
          <w:szCs w:val="4"/>
        </w:rPr>
      </w:pPr>
      <w:r>
        <w:rPr>
          <w:sz w:val="4"/>
          <w:szCs w:val="4"/>
        </w:rPr>
      </w:r>
      <w:bookmarkStart w:id="687" w:name="z9cf57bf203cd414f9345932e7a941219"/>
      <w:bookmarkStart w:id="688" w:name="z9cf57bf203cd414f9345932e7a941219"/>
      <w:bookmarkEnd w:id="688"/>
    </w:p>
    <w:tbl>
      <w:tblPr>
        <w:tblW w:w="10205" w:type="dxa"/>
        <w:jc w:val="left"/>
        <w:tblInd w:w="0" w:type="dxa"/>
        <w:tblCellMar>
          <w:top w:w="0" w:type="dxa"/>
          <w:left w:w="0" w:type="dxa"/>
          <w:bottom w:w="0" w:type="dxa"/>
          <w:right w:w="0" w:type="dxa"/>
        </w:tblCellMar>
      </w:tblPr>
      <w:tblGrid>
        <w:gridCol w:w="4008"/>
        <w:gridCol w:w="60"/>
        <w:gridCol w:w="140"/>
        <w:gridCol w:w="980"/>
        <w:gridCol w:w="60"/>
        <w:gridCol w:w="60"/>
        <w:gridCol w:w="140"/>
        <w:gridCol w:w="680"/>
        <w:gridCol w:w="60"/>
        <w:gridCol w:w="60"/>
        <w:gridCol w:w="77"/>
        <w:gridCol w:w="565"/>
        <w:gridCol w:w="215"/>
        <w:gridCol w:w="60"/>
        <w:gridCol w:w="140"/>
        <w:gridCol w:w="980"/>
        <w:gridCol w:w="60"/>
        <w:gridCol w:w="60"/>
        <w:gridCol w:w="140"/>
        <w:gridCol w:w="680"/>
        <w:gridCol w:w="60"/>
        <w:gridCol w:w="60"/>
        <w:gridCol w:w="77"/>
        <w:gridCol w:w="565"/>
        <w:gridCol w:w="218"/>
      </w:tblGrid>
      <w:tr>
        <w:trPr/>
        <w:tc>
          <w:tcPr>
            <w:tcW w:w="40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19" w:type="dxa"/>
            <w:gridSpan w:val="22"/>
            <w:tcBorders/>
            <w:shd w:fill="auto" w:val="cle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218" w:type="dxa"/>
            <w:tcBorders/>
            <w:shd w:fill="auto" w:val="clear"/>
            <w:vAlign w:val="bottom"/>
          </w:tcPr>
          <w:p>
            <w:pPr>
              <w:pStyle w:val="TableContents"/>
              <w:spacing w:before="0" w:after="283"/>
              <w:rPr/>
            </w:pPr>
            <w:r>
              <w:rPr/>
              <w:t> </w:t>
            </w:r>
          </w:p>
        </w:tc>
      </w:tr>
      <w:tr>
        <w:trPr/>
        <w:tc>
          <w:tcPr>
            <w:tcW w:w="40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2" w:type="dxa"/>
            <w:gridSpan w:val="10"/>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22" w:type="dxa"/>
            <w:gridSpan w:val="10"/>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218" w:type="dxa"/>
            <w:tcBorders/>
            <w:shd w:fill="auto" w:val="clear"/>
            <w:vAlign w:val="bottom"/>
          </w:tcPr>
          <w:p>
            <w:pPr>
              <w:pStyle w:val="TableContents"/>
              <w:spacing w:before="0" w:after="283"/>
              <w:rPr/>
            </w:pPr>
            <w:r>
              <w:rPr/>
              <w:t> </w:t>
            </w:r>
          </w:p>
        </w:tc>
      </w:tr>
      <w:tr>
        <w:trPr/>
        <w:tc>
          <w:tcPr>
            <w:tcW w:w="4008"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Average</w:t>
            </w:r>
          </w:p>
          <w:p>
            <w:pPr>
              <w:pStyle w:val="TableContents"/>
              <w:spacing w:before="0" w:after="0"/>
              <w:jc w:val="center"/>
              <w:rPr/>
            </w:pPr>
            <w:r>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2"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pPr>
            <w:r>
              <w:rPr/>
              <w:t>Rate (2)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Average</w:t>
            </w:r>
          </w:p>
          <w:p>
            <w:pPr>
              <w:pStyle w:val="TableContents"/>
              <w:spacing w:before="0" w:after="0"/>
              <w:jc w:val="center"/>
              <w:rPr/>
            </w:pPr>
            <w:r>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2"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pPr>
            <w:r>
              <w:rPr/>
              <w:t>Rate (2)</w:t>
            </w:r>
          </w:p>
        </w:tc>
        <w:tc>
          <w:tcPr>
            <w:tcW w:w="218" w:type="dxa"/>
            <w:tcBorders/>
            <w:shd w:fill="auto" w:val="clear"/>
            <w:vAlign w:val="bottom"/>
          </w:tcPr>
          <w:p>
            <w:pPr>
              <w:pStyle w:val="TableContents"/>
              <w:spacing w:before="0" w:after="283"/>
              <w:rPr/>
            </w:pPr>
            <w:r>
              <w:rPr/>
              <w:t> </w:t>
            </w:r>
          </w:p>
        </w:tc>
      </w:tr>
      <w:tr>
        <w:trPr/>
        <w:tc>
          <w:tcPr>
            <w:tcW w:w="40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19" w:type="dxa"/>
            <w:gridSpan w:val="22"/>
            <w:tcBorders/>
            <w:shd w:fill="auto" w:val="clear"/>
            <w:vAlign w:val="bottom"/>
          </w:tcPr>
          <w:p>
            <w:pPr>
              <w:pStyle w:val="TableContents"/>
              <w:spacing w:before="0" w:after="0"/>
              <w:jc w:val="center"/>
              <w:rPr/>
            </w:pPr>
            <w:r>
              <w:rPr/>
              <w:t>(Dollars in thousands)</w:t>
            </w:r>
          </w:p>
        </w:tc>
        <w:tc>
          <w:tcPr>
            <w:tcW w:w="218" w:type="dxa"/>
            <w:tcBorders/>
            <w:shd w:fill="auto" w:val="clear"/>
            <w:vAlign w:val="bottom"/>
          </w:tcPr>
          <w:p>
            <w:pPr>
              <w:pStyle w:val="TableContents"/>
              <w:spacing w:before="0" w:after="283"/>
              <w:rPr/>
            </w:pPr>
            <w:r>
              <w:rPr/>
              <w:t> </w:t>
            </w:r>
          </w:p>
        </w:tc>
      </w:tr>
      <w:tr>
        <w:trPr/>
        <w:tc>
          <w:tcPr>
            <w:tcW w:w="4008" w:type="dxa"/>
            <w:tcBorders/>
            <w:shd w:fill="auto" w:val="clear"/>
            <w:vAlign w:val="bottom"/>
          </w:tcPr>
          <w:p>
            <w:pPr>
              <w:pStyle w:val="TableContents"/>
              <w:spacing w:before="0" w:after="0"/>
              <w:ind w:left="144" w:right="0" w:hanging="144"/>
              <w:rPr/>
            </w:pPr>
            <w:r>
              <w:rPr/>
              <w:t>Assets</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2"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42" w:type="dxa"/>
            <w:gridSpan w:val="2"/>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0"/>
              <w:ind w:left="144" w:right="0" w:hanging="144"/>
              <w:rPr/>
            </w:pPr>
            <w:r>
              <w:rPr/>
              <w:t>Taxable loans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2,692,168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33,762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5.02</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2,442,159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29,606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4.86</w:t>
            </w:r>
          </w:p>
        </w:tc>
        <w:tc>
          <w:tcPr>
            <w:tcW w:w="218" w:type="dxa"/>
            <w:tcBorders/>
            <w:shd w:fill="CCEEFF" w:val="clear"/>
            <w:vAlign w:val="bottom"/>
          </w:tcPr>
          <w:p>
            <w:pPr>
              <w:pStyle w:val="TableContents"/>
              <w:spacing w:before="0" w:after="0"/>
              <w:rPr/>
            </w:pPr>
            <w:r>
              <w:rPr/>
              <w:t>%</w:t>
            </w:r>
          </w:p>
        </w:tc>
      </w:tr>
      <w:tr>
        <w:trPr/>
        <w:tc>
          <w:tcPr>
            <w:tcW w:w="4008" w:type="dxa"/>
            <w:tcBorders/>
            <w:shd w:fill="FFFFFF" w:val="clear"/>
            <w:vAlign w:val="bottom"/>
          </w:tcPr>
          <w:p>
            <w:pPr>
              <w:pStyle w:val="TableContents"/>
              <w:spacing w:lineRule="auto" w:line="240" w:before="0" w:after="0"/>
              <w:ind w:left="144" w:right="0" w:hanging="144"/>
              <w:rPr/>
            </w:pPr>
            <w:r>
              <w:rPr/>
              <w:t>Tax-exempt loans (1)</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7,480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94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0"/>
              <w:jc w:val="right"/>
              <w:rPr/>
            </w:pPr>
            <w:r>
              <w:rPr/>
              <w:t>5.04</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6,897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85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0"/>
              <w:jc w:val="right"/>
              <w:rPr/>
            </w:pPr>
            <w:r>
              <w:rPr/>
              <w:t>4.94</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0"/>
              <w:ind w:left="144" w:right="0" w:hanging="144"/>
              <w:rPr/>
            </w:pPr>
            <w:r>
              <w:rPr/>
              <w:t>Taxable securities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392,075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3,034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3.10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401,102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2,720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2.71</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lineRule="auto" w:line="240" w:before="0" w:after="0"/>
              <w:ind w:left="144" w:right="0" w:hanging="144"/>
              <w:rPr/>
            </w:pPr>
            <w:r>
              <w:rPr/>
              <w:t>Tax-exempt securities (1)</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49,448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406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0"/>
              <w:jc w:val="right"/>
              <w:rPr/>
            </w:pPr>
            <w:r>
              <w:rPr/>
              <w:t>3.28</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69,325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559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0"/>
              <w:jc w:val="right"/>
              <w:rPr/>
            </w:pPr>
            <w:r>
              <w:rPr/>
              <w:t>3.23</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0"/>
              <w:ind w:left="144" w:right="0" w:hanging="144"/>
              <w:rPr/>
            </w:pPr>
            <w:r>
              <w:rPr/>
              <w:t>Interest bearing cash</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31,734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1.45</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28,187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0.94</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before="0" w:after="0"/>
              <w:ind w:left="144" w:right="0" w:hanging="144"/>
              <w:rPr/>
            </w:pPr>
            <w:r>
              <w:rPr/>
              <w:t>Other investments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18,359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264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0"/>
              <w:jc w:val="right"/>
              <w:rPr/>
            </w:pPr>
            <w:r>
              <w:rPr/>
              <w:t>5.77</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16,312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199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0"/>
              <w:jc w:val="right"/>
              <w:rPr/>
            </w:pPr>
            <w:r>
              <w:rPr/>
              <w:t>4.89</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0"/>
              <w:ind w:left="180" w:right="0" w:hanging="180"/>
              <w:jc w:val="right"/>
              <w:rPr/>
            </w:pPr>
            <w:r>
              <w:rPr/>
              <w:t>Interest Earning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3,191,264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37,675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4.73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2,963,982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33,235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4.49</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before="0" w:after="0"/>
              <w:ind w:left="144" w:right="0" w:hanging="144"/>
              <w:rPr/>
            </w:pPr>
            <w:r>
              <w:rPr/>
              <w:t>Cash and due from banks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33,252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31,564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0"/>
              <w:ind w:left="144" w:right="0" w:hanging="144"/>
              <w:rPr/>
            </w:pPr>
            <w:r>
              <w:rPr/>
              <w:t>Other assets, net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163,882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172,650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before="0" w:after="0"/>
              <w:ind w:left="180" w:right="0" w:hanging="180"/>
              <w:jc w:val="right"/>
              <w:rPr/>
            </w:pPr>
            <w:r>
              <w:rPr/>
              <w:t>Total Assets</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3,388,398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3,168,196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before="0" w:after="0"/>
              <w:ind w:left="144" w:right="0" w:hanging="144"/>
              <w:rPr/>
            </w:pPr>
            <w:r>
              <w:rPr/>
              <w:t>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0"/>
              <w:rPr/>
            </w:pPr>
            <w:r>
              <w:rPr/>
              <w:t>Savings and interest- bearing checking</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1,413,073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2,647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0.75</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1,241,700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1,011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0.33</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before="0" w:after="0"/>
              <w:ind w:left="144" w:right="0" w:hanging="144"/>
              <w:rPr/>
            </w:pPr>
            <w:r>
              <w:rPr/>
              <w:t>Time deposits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664,909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3,374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0"/>
              <w:jc w:val="right"/>
              <w:rPr/>
            </w:pPr>
            <w:r>
              <w:rPr/>
              <w:t>2.04</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603,833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2,198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0"/>
              <w:jc w:val="right"/>
              <w:rPr/>
            </w:pPr>
            <w:r>
              <w:rPr/>
              <w:t>1.46</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0"/>
              <w:ind w:left="144" w:right="0" w:hanging="144"/>
              <w:rPr/>
            </w:pPr>
            <w:r>
              <w:rPr/>
              <w:t>Other borrowings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77,678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796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4.11</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100,754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914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0"/>
              <w:jc w:val="right"/>
              <w:rPr/>
            </w:pPr>
            <w:r>
              <w:rPr/>
              <w:t>3.64</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before="0" w:after="0"/>
              <w:ind w:left="180" w:right="0" w:hanging="180"/>
              <w:jc w:val="right"/>
              <w:rPr/>
            </w:pPr>
            <w:r>
              <w:rPr/>
              <w:t>Interest Bearing 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2,155,660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6,817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0"/>
              <w:jc w:val="right"/>
              <w:rPr/>
            </w:pPr>
            <w:r>
              <w:rPr/>
              <w:t>1.27</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1,946,287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4,123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0"/>
              <w:jc w:val="right"/>
              <w:rPr/>
            </w:pPr>
            <w:r>
              <w:rPr/>
              <w:t>0.85</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0"/>
              <w:ind w:left="144" w:right="0" w:hanging="144"/>
              <w:rPr/>
            </w:pPr>
            <w:r>
              <w:rPr/>
              <w:t>Non-interest bearing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851,903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855,829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before="0" w:after="0"/>
              <w:ind w:left="144" w:right="0" w:hanging="144"/>
              <w:rPr/>
            </w:pPr>
            <w:r>
              <w:rPr/>
              <w:t>Other 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42,581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31,454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0"/>
              <w:ind w:left="144" w:right="0" w:hanging="144"/>
              <w:rPr/>
            </w:pPr>
            <w:r>
              <w:rPr/>
              <w:t>Shareholders’ equity</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338,254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334,626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before="0" w:after="0"/>
              <w:ind w:left="180" w:right="0" w:hanging="180"/>
              <w:jc w:val="right"/>
              <w:rPr/>
            </w:pPr>
            <w:r>
              <w:rPr/>
              <w:t>Total liabilities and shareholders’ equity</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3,388,398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3,168,196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before="0" w:after="0"/>
              <w:ind w:left="180" w:right="0" w:hanging="180"/>
              <w:jc w:val="right"/>
              <w:rPr/>
            </w:pPr>
            <w:r>
              <w:rPr/>
              <w:t>Net Interest Income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30,858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29,112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shd w:fill="FFFFFF" w:val="clear"/>
            <w:vAlign w:val="bottom"/>
          </w:tcPr>
          <w:p>
            <w:pPr>
              <w:pStyle w:val="TableContents"/>
              <w:spacing w:before="0" w:after="283"/>
              <w:rPr/>
            </w:pPr>
            <w:r>
              <w:rPr/>
              <w:t> </w:t>
            </w:r>
          </w:p>
        </w:tc>
        <w:tc>
          <w:tcPr>
            <w:tcW w:w="565"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40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565"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4008" w:type="dxa"/>
            <w:tcBorders/>
            <w:shd w:fill="FFFFFF" w:val="clear"/>
            <w:vAlign w:val="bottom"/>
          </w:tcPr>
          <w:p>
            <w:pPr>
              <w:pStyle w:val="TableContents"/>
              <w:spacing w:before="0" w:after="0"/>
              <w:ind w:left="0" w:right="0" w:firstLine="360"/>
              <w:jc w:val="right"/>
              <w:rPr/>
            </w:pPr>
            <w:r>
              <w:rPr/>
              <w:t>Net Interest Income as a Percent of Average Interest Earning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bottom w:val="double" w:sz="8" w:space="0" w:color="000000"/>
            </w:tcBorders>
            <w:shd w:fill="FFFFFF" w:val="clear"/>
            <w:tcMar>
              <w:bottom w:w="28" w:type="dxa"/>
            </w:tcMar>
            <w:vAlign w:val="bottom"/>
          </w:tcPr>
          <w:p>
            <w:pPr>
              <w:pStyle w:val="TableContents"/>
              <w:spacing w:before="0" w:after="283"/>
              <w:rPr/>
            </w:pPr>
            <w:r>
              <w:rPr/>
              <w:t> </w:t>
            </w:r>
          </w:p>
        </w:tc>
        <w:tc>
          <w:tcPr>
            <w:tcW w:w="565" w:type="dxa"/>
            <w:tcBorders>
              <w:bottom w:val="double" w:sz="8" w:space="0" w:color="000000"/>
            </w:tcBorders>
            <w:shd w:fill="FFFFFF" w:val="clear"/>
            <w:tcMar>
              <w:bottom w:w="28" w:type="dxa"/>
            </w:tcMar>
            <w:vAlign w:val="bottom"/>
          </w:tcPr>
          <w:p>
            <w:pPr>
              <w:pStyle w:val="TableContents"/>
              <w:spacing w:before="0" w:after="0"/>
              <w:jc w:val="right"/>
              <w:rPr/>
            </w:pPr>
            <w:r>
              <w:rPr/>
              <w:t>3.87</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7" w:type="dxa"/>
            <w:tcBorders>
              <w:bottom w:val="double" w:sz="8" w:space="0" w:color="000000"/>
            </w:tcBorders>
            <w:shd w:fill="FFFFFF" w:val="clear"/>
            <w:tcMar>
              <w:bottom w:w="28" w:type="dxa"/>
            </w:tcMar>
            <w:vAlign w:val="bottom"/>
          </w:tcPr>
          <w:p>
            <w:pPr>
              <w:pStyle w:val="TableContents"/>
              <w:spacing w:before="0" w:after="283"/>
              <w:rPr/>
            </w:pPr>
            <w:r>
              <w:rPr/>
              <w:t> </w:t>
            </w:r>
          </w:p>
        </w:tc>
        <w:tc>
          <w:tcPr>
            <w:tcW w:w="565" w:type="dxa"/>
            <w:tcBorders>
              <w:bottom w:val="double" w:sz="8" w:space="0" w:color="000000"/>
            </w:tcBorders>
            <w:shd w:fill="FFFFFF" w:val="clear"/>
            <w:tcMar>
              <w:bottom w:w="28" w:type="dxa"/>
            </w:tcMar>
            <w:vAlign w:val="bottom"/>
          </w:tcPr>
          <w:p>
            <w:pPr>
              <w:pStyle w:val="TableContents"/>
              <w:spacing w:before="0" w:after="0"/>
              <w:jc w:val="right"/>
              <w:rPr/>
            </w:pPr>
            <w:r>
              <w:rPr/>
              <w:t>3.93</w:t>
            </w:r>
          </w:p>
        </w:tc>
        <w:tc>
          <w:tcPr>
            <w:tcW w:w="218" w:type="dxa"/>
            <w:tcBorders/>
            <w:shd w:fill="FFFFFF" w:val="clear"/>
            <w:vAlign w:val="bottom"/>
          </w:tcPr>
          <w:p>
            <w:pPr>
              <w:pStyle w:val="TableContents"/>
              <w:spacing w:before="0" w:after="0"/>
              <w:rPr/>
            </w:pPr>
            <w:r>
              <w:rPr/>
              <w:t>%</w:t>
            </w:r>
          </w:p>
        </w:tc>
      </w:tr>
    </w:tbl>
    <w:p>
      <w:pPr>
        <w:pStyle w:val="TextBody"/>
        <w:spacing w:before="0" w:after="0"/>
        <w:rPr/>
      </w:pPr>
      <w:r>
        <w:rPr/>
      </w:r>
    </w:p>
    <w:p>
      <w:pPr>
        <w:pStyle w:val="HorizontalLine"/>
        <w:pBdr>
          <w:bottom w:val="single" w:sz="20" w:space="0" w:color="808080"/>
        </w:pBdr>
        <w:rPr/>
      </w:pPr>
      <w:r>
        <w:rPr/>
      </w:r>
    </w:p>
    <w:p>
      <w:pPr>
        <w:pStyle w:val="Normal"/>
        <w:spacing w:before="0" w:after="0"/>
        <w:rPr>
          <w:sz w:val="4"/>
          <w:szCs w:val="4"/>
        </w:rPr>
      </w:pPr>
      <w:r>
        <w:rPr>
          <w:sz w:val="4"/>
          <w:szCs w:val="4"/>
        </w:rPr>
      </w:r>
      <w:bookmarkStart w:id="689" w:name="z929221b02bbc40a2a23921b0d256b38b"/>
      <w:bookmarkStart w:id="690" w:name="z929221b02bbc40a2a23921b0d256b38b"/>
      <w:bookmarkEnd w:id="690"/>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0"/>
              <w:jc w:val="left"/>
              <w:rPr/>
            </w:pPr>
            <w:r>
              <w:rPr/>
              <w:t>(1)</w:t>
            </w:r>
          </w:p>
        </w:tc>
        <w:tc>
          <w:tcPr>
            <w:tcW w:w="9913" w:type="dxa"/>
            <w:tcBorders/>
            <w:shd w:fill="auto" w:val="clear"/>
            <w:vAlign w:val="center"/>
          </w:tcPr>
          <w:p>
            <w:pPr>
              <w:pStyle w:val="TableContents"/>
              <w:spacing w:before="0" w:after="0"/>
              <w:jc w:val="left"/>
              <w:rPr/>
            </w:pPr>
            <w:r>
              <w:rPr/>
              <w:t>Interest on tax-exempt loans and securities is presented on a fully tax equivalent basis assuming a marginal tax rate of 21%.</w:t>
            </w:r>
          </w:p>
        </w:tc>
      </w:tr>
    </w:tbl>
    <w:p>
      <w:pPr>
        <w:pStyle w:val="Normal"/>
        <w:spacing w:before="0" w:after="0"/>
        <w:rPr>
          <w:sz w:val="4"/>
          <w:szCs w:val="4"/>
        </w:rPr>
      </w:pPr>
      <w:r>
        <w:rPr>
          <w:sz w:val="4"/>
          <w:szCs w:val="4"/>
        </w:rPr>
      </w:r>
      <w:bookmarkStart w:id="691" w:name="z7ca7ccdd06ac49c5bde20594ab0522ff"/>
      <w:bookmarkStart w:id="692" w:name="z7ca7ccdd06ac49c5bde20594ab0522ff"/>
      <w:bookmarkEnd w:id="692"/>
    </w:p>
    <w:tbl>
      <w:tblPr>
        <w:tblW w:w="1435" w:type="dxa"/>
        <w:jc w:val="left"/>
        <w:tblInd w:w="0" w:type="dxa"/>
        <w:tblCellMar>
          <w:top w:w="0" w:type="dxa"/>
          <w:left w:w="0" w:type="dxa"/>
          <w:bottom w:w="0" w:type="dxa"/>
          <w:right w:w="0" w:type="dxa"/>
        </w:tblCellMar>
      </w:tblPr>
      <w:tblGrid>
        <w:gridCol w:w="305"/>
        <w:gridCol w:w="1130"/>
      </w:tblGrid>
      <w:tr>
        <w:trPr/>
        <w:tc>
          <w:tcPr>
            <w:tcW w:w="305" w:type="dxa"/>
            <w:tcBorders/>
            <w:shd w:fill="auto" w:val="clear"/>
            <w:vAlign w:val="center"/>
          </w:tcPr>
          <w:p>
            <w:pPr>
              <w:pStyle w:val="TableContents"/>
              <w:spacing w:before="0" w:after="0"/>
              <w:jc w:val="left"/>
              <w:rPr/>
            </w:pPr>
            <w:r>
              <w:rPr/>
              <w:t>(2)</w:t>
            </w:r>
          </w:p>
        </w:tc>
        <w:tc>
          <w:tcPr>
            <w:tcW w:w="1130" w:type="dxa"/>
            <w:tcBorders/>
            <w:shd w:fill="auto" w:val="clear"/>
            <w:vAlign w:val="center"/>
          </w:tcPr>
          <w:p>
            <w:pPr>
              <w:pStyle w:val="TableContents"/>
              <w:spacing w:before="0" w:after="0"/>
              <w:jc w:val="left"/>
              <w:rPr/>
            </w:pPr>
            <w:r>
              <w:rPr/>
              <w:t>Annualized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93" w:name="DSPFPageBreakArea67"/>
      <w:bookmarkStart w:id="694" w:name="DSPFPageBreakArea67"/>
      <w:bookmarkEnd w:id="6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695" w:name="DSPFPageNumber67"/>
      <w:bookmarkStart w:id="696" w:name="DSPFPageNumberArea66"/>
      <w:bookmarkEnd w:id="695"/>
      <w:bookmarkEnd w:id="696"/>
      <w:r>
        <w:rPr>
          <w:b w:val="false"/>
          <w:i w:val="false"/>
          <w:caps w:val="false"/>
          <w:smallCaps w:val="false"/>
          <w:sz w:val="13"/>
        </w:rPr>
        <w:t>68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97" w:name="DSPFPageBreak67"/>
      <w:bookmarkStart w:id="698" w:name="DSPFPageBreak67"/>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699" w:name="DSPFPageHeader66"/>
        <w:bookmarkEnd w:id="699"/>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rPr>
      </w:pPr>
      <w:r>
        <w:rPr>
          <w:b/>
        </w:rPr>
        <w:t>Average Balances and Tax Equivalent Rates</w:t>
      </w:r>
    </w:p>
    <w:p>
      <w:pPr>
        <w:pStyle w:val="TextBody"/>
        <w:spacing w:before="0" w:after="0"/>
        <w:rPr/>
      </w:pPr>
      <w:r>
        <w:rPr/>
      </w:r>
    </w:p>
    <w:p>
      <w:pPr>
        <w:pStyle w:val="Normal"/>
        <w:spacing w:before="0" w:after="0"/>
        <w:rPr>
          <w:sz w:val="4"/>
          <w:szCs w:val="4"/>
        </w:rPr>
      </w:pPr>
      <w:r>
        <w:rPr>
          <w:sz w:val="4"/>
          <w:szCs w:val="4"/>
        </w:rPr>
      </w:r>
      <w:bookmarkStart w:id="700" w:name="zfb87cd6ddba741f981f752782ec48577"/>
      <w:bookmarkStart w:id="701" w:name="zfb87cd6ddba741f981f752782ec48577"/>
      <w:bookmarkEnd w:id="701"/>
    </w:p>
    <w:tbl>
      <w:tblPr>
        <w:tblW w:w="10205" w:type="dxa"/>
        <w:jc w:val="left"/>
        <w:tblInd w:w="0" w:type="dxa"/>
        <w:tblCellMar>
          <w:top w:w="0" w:type="dxa"/>
          <w:left w:w="0" w:type="dxa"/>
          <w:bottom w:w="0" w:type="dxa"/>
          <w:right w:w="0" w:type="dxa"/>
        </w:tblCellMar>
      </w:tblPr>
      <w:tblGrid>
        <w:gridCol w:w="3990"/>
        <w:gridCol w:w="60"/>
        <w:gridCol w:w="140"/>
        <w:gridCol w:w="980"/>
        <w:gridCol w:w="60"/>
        <w:gridCol w:w="60"/>
        <w:gridCol w:w="140"/>
        <w:gridCol w:w="680"/>
        <w:gridCol w:w="60"/>
        <w:gridCol w:w="60"/>
        <w:gridCol w:w="78"/>
        <w:gridCol w:w="573"/>
        <w:gridCol w:w="215"/>
        <w:gridCol w:w="60"/>
        <w:gridCol w:w="140"/>
        <w:gridCol w:w="980"/>
        <w:gridCol w:w="60"/>
        <w:gridCol w:w="60"/>
        <w:gridCol w:w="140"/>
        <w:gridCol w:w="680"/>
        <w:gridCol w:w="60"/>
        <w:gridCol w:w="60"/>
        <w:gridCol w:w="78"/>
        <w:gridCol w:w="573"/>
        <w:gridCol w:w="218"/>
      </w:tblGrid>
      <w:tr>
        <w:trPr/>
        <w:tc>
          <w:tcPr>
            <w:tcW w:w="399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5937" w:type="dxa"/>
            <w:gridSpan w:val="22"/>
            <w:tcBorders/>
            <w:shd w:fill="auto" w:val="cle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218" w:type="dxa"/>
            <w:tcBorders/>
            <w:shd w:fill="auto" w:val="clear"/>
            <w:vAlign w:val="bottom"/>
          </w:tcPr>
          <w:p>
            <w:pPr>
              <w:pStyle w:val="TableContents"/>
              <w:spacing w:before="0" w:after="283"/>
              <w:rPr/>
            </w:pPr>
            <w:r>
              <w:rPr/>
              <w:t> </w:t>
            </w:r>
          </w:p>
        </w:tc>
      </w:tr>
      <w:tr>
        <w:trPr/>
        <w:tc>
          <w:tcPr>
            <w:tcW w:w="39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31" w:type="dxa"/>
            <w:gridSpan w:val="10"/>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31" w:type="dxa"/>
            <w:gridSpan w:val="10"/>
            <w:tcBorders>
              <w:bottom w:val="single" w:sz="12" w:space="0" w:color="000000"/>
            </w:tcBorders>
            <w:shd w:fill="auto" w:val="clear"/>
            <w:tcMar>
              <w:bottom w:w="28" w:type="dxa"/>
            </w:tcMar>
            <w:vAlign w:val="bottom"/>
          </w:tcPr>
          <w:p>
            <w:pPr>
              <w:pStyle w:val="TableContents"/>
              <w:spacing w:before="0" w:after="0"/>
              <w:jc w:val="center"/>
              <w:rPr/>
            </w:pPr>
            <w:r>
              <w:rPr/>
              <w:t xml:space="preserve">2018 </w:t>
            </w:r>
          </w:p>
        </w:tc>
        <w:tc>
          <w:tcPr>
            <w:tcW w:w="218" w:type="dxa"/>
            <w:tcBorders/>
            <w:shd w:fill="auto" w:val="clear"/>
            <w:vAlign w:val="bottom"/>
          </w:tcPr>
          <w:p>
            <w:pPr>
              <w:pStyle w:val="TableContents"/>
              <w:spacing w:before="0" w:after="283"/>
              <w:rPr/>
            </w:pPr>
            <w:r>
              <w:rPr/>
              <w:t> </w:t>
            </w:r>
          </w:p>
        </w:tc>
      </w:tr>
      <w:tr>
        <w:trPr/>
        <w:tc>
          <w:tcPr>
            <w:tcW w:w="399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Average</w:t>
            </w:r>
          </w:p>
          <w:p>
            <w:pPr>
              <w:pStyle w:val="TableContents"/>
              <w:spacing w:before="0" w:after="0"/>
              <w:jc w:val="center"/>
              <w:rPr/>
            </w:pPr>
            <w:r>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1"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pPr>
            <w:r>
              <w:rPr/>
              <w:t>Rate (2)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Average</w:t>
            </w:r>
          </w:p>
          <w:p>
            <w:pPr>
              <w:pStyle w:val="TableContents"/>
              <w:spacing w:before="0" w:after="0"/>
              <w:jc w:val="center"/>
              <w:rPr/>
            </w:pPr>
            <w:r>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1"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pPr>
            <w:r>
              <w:rPr/>
              <w:t>Rate (2)</w:t>
            </w:r>
          </w:p>
        </w:tc>
        <w:tc>
          <w:tcPr>
            <w:tcW w:w="218" w:type="dxa"/>
            <w:tcBorders/>
            <w:shd w:fill="auto" w:val="clear"/>
            <w:vAlign w:val="bottom"/>
          </w:tcPr>
          <w:p>
            <w:pPr>
              <w:pStyle w:val="TableContents"/>
              <w:spacing w:before="0" w:after="283"/>
              <w:rPr/>
            </w:pPr>
            <w:r>
              <w:rPr/>
              <w:t> </w:t>
            </w:r>
          </w:p>
        </w:tc>
      </w:tr>
      <w:tr>
        <w:trPr/>
        <w:tc>
          <w:tcPr>
            <w:tcW w:w="39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37" w:type="dxa"/>
            <w:gridSpan w:val="22"/>
            <w:tcBorders/>
            <w:shd w:fill="auto" w:val="clear"/>
            <w:vAlign w:val="bottom"/>
          </w:tcPr>
          <w:p>
            <w:pPr>
              <w:pStyle w:val="TableContents"/>
              <w:spacing w:before="0" w:after="0"/>
              <w:jc w:val="center"/>
              <w:rPr/>
            </w:pPr>
            <w:r>
              <w:rPr/>
              <w:t>(Dollars in thousands)</w:t>
            </w:r>
          </w:p>
        </w:tc>
        <w:tc>
          <w:tcPr>
            <w:tcW w:w="218" w:type="dxa"/>
            <w:tcBorders/>
            <w:shd w:fill="auto" w:val="clear"/>
            <w:vAlign w:val="bottom"/>
          </w:tcPr>
          <w:p>
            <w:pPr>
              <w:pStyle w:val="TableContents"/>
              <w:spacing w:before="0" w:after="283"/>
              <w:rPr/>
            </w:pPr>
            <w:r>
              <w:rPr/>
              <w:t> </w:t>
            </w:r>
          </w:p>
        </w:tc>
      </w:tr>
      <w:tr>
        <w:trPr/>
        <w:tc>
          <w:tcPr>
            <w:tcW w:w="3990" w:type="dxa"/>
            <w:tcBorders/>
            <w:shd w:fill="auto" w:val="clear"/>
            <w:vAlign w:val="bottom"/>
          </w:tcPr>
          <w:p>
            <w:pPr>
              <w:pStyle w:val="TableContents"/>
              <w:spacing w:before="0" w:after="0"/>
              <w:ind w:left="144" w:right="0" w:hanging="144"/>
              <w:rPr/>
            </w:pPr>
            <w:r>
              <w:rPr/>
              <w:t>Assets</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1"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51" w:type="dxa"/>
            <w:gridSpan w:val="2"/>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0"/>
              <w:ind w:left="144" w:right="0" w:hanging="144"/>
              <w:rPr/>
            </w:pPr>
            <w:r>
              <w:rPr/>
              <w:t>Taxable loans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2,652,893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66,362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5.03</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2,252,492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52,945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4.72</w:t>
            </w:r>
          </w:p>
        </w:tc>
        <w:tc>
          <w:tcPr>
            <w:tcW w:w="218" w:type="dxa"/>
            <w:tcBorders/>
            <w:shd w:fill="CCEEFF" w:val="clear"/>
            <w:vAlign w:val="bottom"/>
          </w:tcPr>
          <w:p>
            <w:pPr>
              <w:pStyle w:val="TableContents"/>
              <w:spacing w:before="0" w:after="0"/>
              <w:rPr/>
            </w:pPr>
            <w:r>
              <w:rPr/>
              <w:t>%</w:t>
            </w:r>
          </w:p>
        </w:tc>
      </w:tr>
      <w:tr>
        <w:trPr/>
        <w:tc>
          <w:tcPr>
            <w:tcW w:w="3990" w:type="dxa"/>
            <w:tcBorders/>
            <w:shd w:fill="FFFFFF" w:val="clear"/>
            <w:vAlign w:val="bottom"/>
          </w:tcPr>
          <w:p>
            <w:pPr>
              <w:pStyle w:val="TableContents"/>
              <w:spacing w:lineRule="auto" w:line="240" w:before="0" w:after="0"/>
              <w:ind w:left="144" w:right="0" w:hanging="144"/>
              <w:rPr/>
            </w:pPr>
            <w:r>
              <w:rPr/>
              <w:t>Tax-exempt loans (1)</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8,081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197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pPr>
            <w:r>
              <w:rPr/>
              <w:t>4.92</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4,526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104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pPr>
            <w:r>
              <w:rPr/>
              <w:t>4.63</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0"/>
              <w:ind w:left="144" w:right="0" w:hanging="144"/>
              <w:rPr/>
            </w:pPr>
            <w:r>
              <w:rPr/>
              <w:t>Taxable securities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390,966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6,040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3.09</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411,619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5,355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2.60</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lineRule="auto" w:line="240" w:before="0" w:after="0"/>
              <w:ind w:left="144" w:right="0" w:hanging="144"/>
              <w:rPr/>
            </w:pPr>
            <w:r>
              <w:rPr/>
              <w:t>Tax-exempt securities (1)</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53,148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875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pPr>
            <w:r>
              <w:rPr/>
              <w:t>3.29</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73,810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1,162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pPr>
            <w:r>
              <w:rPr/>
              <w:t>3.15</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0"/>
              <w:ind w:left="144" w:right="0" w:hanging="144"/>
              <w:rPr/>
            </w:pPr>
            <w:r>
              <w:rPr/>
              <w:t>Interest bearing cash</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48,381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426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1.78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30,531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0.98</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before="0" w:after="0"/>
              <w:ind w:left="144" w:right="0" w:hanging="144"/>
              <w:rPr/>
            </w:pPr>
            <w:r>
              <w:rPr/>
              <w:t>Other investments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18,359</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528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pPr>
            <w:r>
              <w:rPr/>
              <w:t>5.80</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80" w:type="dxa"/>
            <w:tcBorders>
              <w:bottom w:val="single" w:sz="12" w:space="0" w:color="000000"/>
            </w:tcBorders>
            <w:shd w:fill="FFFFFF" w:val="clear"/>
            <w:tcMar>
              <w:bottom w:w="28" w:type="dxa"/>
            </w:tcMar>
            <w:vAlign w:val="bottom"/>
          </w:tcPr>
          <w:p>
            <w:pPr>
              <w:pStyle w:val="TableContents"/>
              <w:spacing w:before="0" w:after="0"/>
              <w:jc w:val="right"/>
              <w:rPr/>
            </w:pPr>
            <w:r>
              <w:rPr/>
              <w:t>15,930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447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pPr>
            <w:r>
              <w:rPr/>
              <w:t>5.66</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0"/>
              <w:ind w:left="180" w:right="0" w:hanging="180"/>
              <w:jc w:val="right"/>
              <w:rPr/>
            </w:pPr>
            <w:r>
              <w:rPr/>
              <w:t>Interest Earning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3,171,828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74,428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4.72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2,788,908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60,161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4.33</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before="0" w:after="0"/>
              <w:ind w:left="144" w:right="0" w:hanging="144"/>
              <w:rPr/>
            </w:pPr>
            <w:r>
              <w:rPr/>
              <w:t>Cash and due from banks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33,744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31,848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0"/>
              <w:ind w:left="144" w:right="0" w:hanging="144"/>
              <w:rPr/>
            </w:pPr>
            <w:r>
              <w:rPr/>
              <w:t>Other assets, net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167,270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152,912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before="0" w:after="0"/>
              <w:ind w:left="180" w:right="0" w:hanging="180"/>
              <w:jc w:val="right"/>
              <w:rPr/>
            </w:pPr>
            <w:r>
              <w:rPr/>
              <w:t>Total Assets</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3,372,842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2,973,668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before="0" w:after="0"/>
              <w:ind w:left="144" w:right="0" w:hanging="144"/>
              <w:rPr/>
            </w:pPr>
            <w:r>
              <w:rPr/>
              <w:t>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0"/>
              <w:rPr/>
            </w:pPr>
            <w:r>
              <w:rPr/>
              <w:t>Savings and interest- bearing checking</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1,387,208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4,969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0.72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1,168,747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1,562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0.27</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before="0" w:after="0"/>
              <w:ind w:left="144" w:right="0" w:hanging="144"/>
              <w:rPr/>
            </w:pPr>
            <w:r>
              <w:rPr/>
              <w:t>Time deposits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676,606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6,733</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pPr>
            <w:r>
              <w:rPr/>
              <w:t>2.01</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584,167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3,934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pPr>
            <w:r>
              <w:rPr/>
              <w:t>1.36</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0"/>
              <w:ind w:left="144" w:right="0" w:hanging="144"/>
              <w:rPr/>
            </w:pPr>
            <w:r>
              <w:rPr/>
              <w:t>Other borrowings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71,901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1,508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4.23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82,920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1,488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0"/>
              <w:jc w:val="right"/>
              <w:rPr/>
            </w:pPr>
            <w:r>
              <w:rPr/>
              <w:t>3.62</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before="0" w:after="0"/>
              <w:ind w:left="180" w:right="0" w:hanging="180"/>
              <w:jc w:val="right"/>
              <w:rPr/>
            </w:pPr>
            <w:r>
              <w:rPr/>
              <w:t>Interest Bearing 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2,135,715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13,210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pPr>
            <w:r>
              <w:rPr/>
              <w:t>1.25</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1,835,834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6,984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0"/>
              <w:jc w:val="right"/>
              <w:rPr/>
            </w:pPr>
            <w:r>
              <w:rPr/>
              <w:t>0.77</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0"/>
              <w:ind w:left="144" w:right="0" w:hanging="144"/>
              <w:rPr/>
            </w:pPr>
            <w:r>
              <w:rPr/>
              <w:t>Non-interest bearing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855,732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807,504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before="0" w:after="0"/>
              <w:ind w:left="144" w:right="0" w:hanging="144"/>
              <w:rPr/>
            </w:pPr>
            <w:r>
              <w:rPr/>
              <w:t>Other liabilities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41,481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30,531</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0"/>
              <w:ind w:left="144" w:right="0" w:hanging="144"/>
              <w:rPr/>
            </w:pPr>
            <w:r>
              <w:rPr/>
              <w:t>Shareholders’ equity</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339,914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299,799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before="0" w:after="0"/>
              <w:ind w:left="180" w:right="0" w:hanging="180"/>
              <w:jc w:val="right"/>
              <w:rPr/>
            </w:pPr>
            <w:r>
              <w:rPr/>
              <w:t>Total liabilities and shareholders’ equity</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3,372,842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2,973,668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before="0" w:after="0"/>
              <w:ind w:left="144" w:right="0" w:hanging="144"/>
              <w:rPr/>
            </w:pPr>
            <w:r>
              <w:rPr/>
              <w:t>Net Interest Income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61,218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53,177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shd w:fill="FFFFFF" w:val="clear"/>
            <w:vAlign w:val="bottom"/>
          </w:tcPr>
          <w:p>
            <w:pPr>
              <w:pStyle w:val="TableContents"/>
              <w:spacing w:before="0" w:after="283"/>
              <w:rPr/>
            </w:pPr>
            <w:r>
              <w:rPr/>
              <w:t> </w:t>
            </w:r>
          </w:p>
        </w:tc>
        <w:tc>
          <w:tcPr>
            <w:tcW w:w="573" w:type="dxa"/>
            <w:tcBorders/>
            <w:shd w:fill="FFFFFF" w:val="clear"/>
            <w:vAlign w:val="bottom"/>
          </w:tcPr>
          <w:p>
            <w:pPr>
              <w:pStyle w:val="TableContents"/>
              <w:spacing w:before="0" w:after="283"/>
              <w:jc w:val="right"/>
              <w:rPr/>
            </w:pPr>
            <w:r>
              <w:rPr/>
              <w:t> </w:t>
            </w:r>
          </w:p>
        </w:tc>
        <w:tc>
          <w:tcPr>
            <w:tcW w:w="218" w:type="dxa"/>
            <w:tcBorders/>
            <w:shd w:fill="FFFFFF" w:val="clear"/>
            <w:vAlign w:val="bottom"/>
          </w:tcPr>
          <w:p>
            <w:pPr>
              <w:pStyle w:val="TableContents"/>
              <w:spacing w:before="0" w:after="283"/>
              <w:rPr/>
            </w:pPr>
            <w:r>
              <w:rPr/>
              <w:t> </w:t>
            </w:r>
          </w:p>
        </w:tc>
      </w:tr>
      <w:tr>
        <w:trPr/>
        <w:tc>
          <w:tcPr>
            <w:tcW w:w="39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rPr/>
            </w:pPr>
            <w:r>
              <w:rPr/>
              <w:t> </w:t>
            </w:r>
          </w:p>
        </w:tc>
      </w:tr>
      <w:tr>
        <w:trPr/>
        <w:tc>
          <w:tcPr>
            <w:tcW w:w="3990" w:type="dxa"/>
            <w:tcBorders/>
            <w:shd w:fill="FFFFFF" w:val="clear"/>
            <w:vAlign w:val="bottom"/>
          </w:tcPr>
          <w:p>
            <w:pPr>
              <w:pStyle w:val="TableContents"/>
              <w:spacing w:before="0" w:after="0"/>
              <w:ind w:left="720" w:right="0" w:hanging="180"/>
              <w:rPr/>
            </w:pPr>
            <w:r>
              <w:rPr/>
              <w:t>Net Interest Income as a Percent of Average Interest Earning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bottom w:val="double" w:sz="8" w:space="0" w:color="000000"/>
            </w:tcBorders>
            <w:shd w:fill="FFFFFF" w:val="clear"/>
            <w:tcMar>
              <w:bottom w:w="28" w:type="dxa"/>
            </w:tcMar>
            <w:vAlign w:val="bottom"/>
          </w:tcPr>
          <w:p>
            <w:pPr>
              <w:pStyle w:val="TableContents"/>
              <w:spacing w:before="0" w:after="283"/>
              <w:rPr/>
            </w:pPr>
            <w:r>
              <w:rPr/>
              <w:t> </w:t>
            </w:r>
          </w:p>
        </w:tc>
        <w:tc>
          <w:tcPr>
            <w:tcW w:w="573" w:type="dxa"/>
            <w:tcBorders>
              <w:bottom w:val="double" w:sz="8" w:space="0" w:color="000000"/>
            </w:tcBorders>
            <w:shd w:fill="FFFFFF" w:val="clear"/>
            <w:tcMar>
              <w:bottom w:w="28" w:type="dxa"/>
            </w:tcMar>
            <w:vAlign w:val="bottom"/>
          </w:tcPr>
          <w:p>
            <w:pPr>
              <w:pStyle w:val="TableContents"/>
              <w:spacing w:before="0" w:after="0"/>
              <w:jc w:val="right"/>
              <w:rPr/>
            </w:pPr>
            <w:r>
              <w:rPr/>
              <w:t>3.88</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78" w:type="dxa"/>
            <w:tcBorders>
              <w:bottom w:val="double" w:sz="8" w:space="0" w:color="000000"/>
            </w:tcBorders>
            <w:shd w:fill="FFFFFF" w:val="clear"/>
            <w:tcMar>
              <w:bottom w:w="28" w:type="dxa"/>
            </w:tcMar>
            <w:vAlign w:val="bottom"/>
          </w:tcPr>
          <w:p>
            <w:pPr>
              <w:pStyle w:val="TableContents"/>
              <w:spacing w:before="0" w:after="283"/>
              <w:rPr/>
            </w:pPr>
            <w:r>
              <w:rPr/>
              <w:t> </w:t>
            </w:r>
          </w:p>
        </w:tc>
        <w:tc>
          <w:tcPr>
            <w:tcW w:w="573" w:type="dxa"/>
            <w:tcBorders>
              <w:bottom w:val="double" w:sz="8" w:space="0" w:color="000000"/>
            </w:tcBorders>
            <w:shd w:fill="FFFFFF" w:val="clear"/>
            <w:tcMar>
              <w:bottom w:w="28" w:type="dxa"/>
            </w:tcMar>
            <w:vAlign w:val="bottom"/>
          </w:tcPr>
          <w:p>
            <w:pPr>
              <w:pStyle w:val="TableContents"/>
              <w:spacing w:before="0" w:after="0"/>
              <w:jc w:val="right"/>
              <w:rPr/>
            </w:pPr>
            <w:r>
              <w:rPr/>
              <w:t>3.83</w:t>
            </w:r>
          </w:p>
        </w:tc>
        <w:tc>
          <w:tcPr>
            <w:tcW w:w="218" w:type="dxa"/>
            <w:tcBorders/>
            <w:shd w:fill="FFFFFF" w:val="clear"/>
            <w:vAlign w:val="bottom"/>
          </w:tcPr>
          <w:p>
            <w:pPr>
              <w:pStyle w:val="TableContents"/>
              <w:spacing w:before="0" w:after="0"/>
              <w:rPr/>
            </w:pPr>
            <w:r>
              <w:rPr/>
              <w:t>%</w:t>
            </w:r>
          </w:p>
        </w:tc>
      </w:tr>
    </w:tbl>
    <w:p>
      <w:pPr>
        <w:pStyle w:val="TextBody"/>
        <w:spacing w:before="0" w:after="0"/>
        <w:rPr/>
      </w:pPr>
      <w:r>
        <w:rPr/>
      </w:r>
    </w:p>
    <w:p>
      <w:pPr>
        <w:pStyle w:val="HorizontalLine"/>
        <w:pBdr>
          <w:bottom w:val="single" w:sz="20" w:space="0" w:color="808080"/>
        </w:pBdr>
        <w:rPr/>
      </w:pPr>
      <w:r>
        <w:rPr/>
      </w:r>
    </w:p>
    <w:p>
      <w:pPr>
        <w:pStyle w:val="Normal"/>
        <w:spacing w:before="0" w:after="0"/>
        <w:rPr>
          <w:sz w:val="4"/>
          <w:szCs w:val="4"/>
        </w:rPr>
      </w:pPr>
      <w:r>
        <w:rPr>
          <w:sz w:val="4"/>
          <w:szCs w:val="4"/>
        </w:rPr>
      </w:r>
      <w:bookmarkStart w:id="702" w:name="z033a3d80214b4372bc613fff5d67e1ea"/>
      <w:bookmarkStart w:id="703" w:name="z033a3d80214b4372bc613fff5d67e1ea"/>
      <w:bookmarkEnd w:id="703"/>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0"/>
              <w:jc w:val="left"/>
              <w:rPr/>
            </w:pPr>
            <w:r>
              <w:rPr/>
              <w:t>(1)</w:t>
            </w:r>
          </w:p>
        </w:tc>
        <w:tc>
          <w:tcPr>
            <w:tcW w:w="9913" w:type="dxa"/>
            <w:tcBorders/>
            <w:shd w:fill="auto" w:val="clear"/>
            <w:vAlign w:val="center"/>
          </w:tcPr>
          <w:p>
            <w:pPr>
              <w:pStyle w:val="TableContents"/>
              <w:spacing w:before="0" w:after="0"/>
              <w:jc w:val="left"/>
              <w:rPr/>
            </w:pPr>
            <w:r>
              <w:rPr/>
              <w:t>Interest on tax-exempt loans and securities is presented on a fully tax equivalent basis assuming a marginal tax rate of 21%.</w:t>
            </w:r>
          </w:p>
        </w:tc>
      </w:tr>
    </w:tbl>
    <w:p>
      <w:pPr>
        <w:pStyle w:val="Normal"/>
        <w:spacing w:before="0" w:after="0"/>
        <w:rPr>
          <w:sz w:val="4"/>
          <w:szCs w:val="4"/>
        </w:rPr>
      </w:pPr>
      <w:r>
        <w:rPr>
          <w:sz w:val="4"/>
          <w:szCs w:val="4"/>
        </w:rPr>
      </w:r>
      <w:bookmarkStart w:id="704" w:name="z11b163f225df4f9aab20d2eedb520235"/>
      <w:bookmarkStart w:id="705" w:name="z11b163f225df4f9aab20d2eedb520235"/>
      <w:bookmarkEnd w:id="705"/>
    </w:p>
    <w:tbl>
      <w:tblPr>
        <w:tblW w:w="1435" w:type="dxa"/>
        <w:jc w:val="left"/>
        <w:tblInd w:w="0" w:type="dxa"/>
        <w:tblCellMar>
          <w:top w:w="0" w:type="dxa"/>
          <w:left w:w="0" w:type="dxa"/>
          <w:bottom w:w="0" w:type="dxa"/>
          <w:right w:w="0" w:type="dxa"/>
        </w:tblCellMar>
      </w:tblPr>
      <w:tblGrid>
        <w:gridCol w:w="305"/>
        <w:gridCol w:w="1130"/>
      </w:tblGrid>
      <w:tr>
        <w:trPr/>
        <w:tc>
          <w:tcPr>
            <w:tcW w:w="305" w:type="dxa"/>
            <w:tcBorders/>
            <w:shd w:fill="auto" w:val="clear"/>
            <w:vAlign w:val="center"/>
          </w:tcPr>
          <w:p>
            <w:pPr>
              <w:pStyle w:val="TableContents"/>
              <w:spacing w:before="0" w:after="0"/>
              <w:jc w:val="left"/>
              <w:rPr/>
            </w:pPr>
            <w:r>
              <w:rPr/>
              <w:t>(2)</w:t>
            </w:r>
          </w:p>
        </w:tc>
        <w:tc>
          <w:tcPr>
            <w:tcW w:w="1130" w:type="dxa"/>
            <w:tcBorders/>
            <w:shd w:fill="auto" w:val="clear"/>
            <w:vAlign w:val="center"/>
          </w:tcPr>
          <w:p>
            <w:pPr>
              <w:pStyle w:val="TableContents"/>
              <w:spacing w:before="0" w:after="0"/>
              <w:jc w:val="left"/>
              <w:rPr/>
            </w:pPr>
            <w:r>
              <w:rPr/>
              <w:t>Annualized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06" w:name="DSPFPageBreakArea68"/>
      <w:bookmarkStart w:id="707" w:name="DSPFPageBreakArea68"/>
      <w:bookmarkEnd w:id="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08" w:name="DSPFPageNumber68"/>
      <w:bookmarkStart w:id="709" w:name="DSPFPageNumberArea67"/>
      <w:bookmarkEnd w:id="708"/>
      <w:bookmarkEnd w:id="709"/>
      <w:r>
        <w:rPr>
          <w:b w:val="false"/>
          <w:i w:val="false"/>
          <w:caps w:val="false"/>
          <w:smallCaps w:val="false"/>
          <w:sz w:val="13"/>
        </w:rPr>
        <w:t>69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0" w:name="DSPFPageBreak68"/>
      <w:bookmarkStart w:id="711" w:name="DSPFPageBreak68"/>
      <w:bookmarkEnd w:id="7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12" w:name="DSPFPageHeader67"/>
        <w:bookmarkEnd w:id="712"/>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rPr>
      </w:pPr>
      <w:r>
        <w:rPr>
          <w:b/>
        </w:rPr>
        <w:t>Reconciliation of Non-GAAP Financial Measures</w:t>
      </w:r>
    </w:p>
    <w:p>
      <w:pPr>
        <w:pStyle w:val="TextBody"/>
        <w:spacing w:before="0" w:after="0"/>
        <w:rPr/>
      </w:pPr>
      <w:r>
        <w:rPr/>
      </w:r>
    </w:p>
    <w:p>
      <w:pPr>
        <w:pStyle w:val="Normal"/>
        <w:spacing w:before="0" w:after="0"/>
        <w:rPr>
          <w:sz w:val="4"/>
          <w:szCs w:val="4"/>
        </w:rPr>
      </w:pPr>
      <w:r>
        <w:rPr>
          <w:sz w:val="4"/>
          <w:szCs w:val="4"/>
        </w:rPr>
      </w:r>
      <w:bookmarkStart w:id="713" w:name="z861d7e9091c44fe68566d85d2fdab2ba"/>
      <w:bookmarkStart w:id="714" w:name="z861d7e9091c44fe68566d85d2fdab2ba"/>
      <w:bookmarkEnd w:id="714"/>
    </w:p>
    <w:tbl>
      <w:tblPr>
        <w:tblW w:w="10166" w:type="dxa"/>
        <w:jc w:val="left"/>
        <w:tblInd w:w="0" w:type="dxa"/>
        <w:tblCellMar>
          <w:top w:w="0" w:type="dxa"/>
          <w:left w:w="0" w:type="dxa"/>
          <w:bottom w:w="0" w:type="dxa"/>
          <w:right w:w="0" w:type="dxa"/>
        </w:tblCellMar>
      </w:tblPr>
      <w:tblGrid>
        <w:gridCol w:w="5675"/>
        <w:gridCol w:w="60"/>
        <w:gridCol w:w="148"/>
        <w:gridCol w:w="720"/>
        <w:gridCol w:w="227"/>
        <w:gridCol w:w="63"/>
        <w:gridCol w:w="148"/>
        <w:gridCol w:w="720"/>
        <w:gridCol w:w="215"/>
        <w:gridCol w:w="60"/>
        <w:gridCol w:w="140"/>
        <w:gridCol w:w="680"/>
        <w:gridCol w:w="215"/>
        <w:gridCol w:w="60"/>
        <w:gridCol w:w="140"/>
        <w:gridCol w:w="680"/>
        <w:gridCol w:w="215"/>
      </w:tblGrid>
      <w:tr>
        <w:trPr/>
        <w:tc>
          <w:tcPr>
            <w:tcW w:w="5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6" w:type="dxa"/>
            <w:gridSpan w:val="6"/>
            <w:tcBorders/>
            <w:shd w:fill="auto" w:val="cle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5" w:type="dxa"/>
            <w:gridSpan w:val="6"/>
            <w:tcBorders/>
            <w:shd w:fill="auto" w:val="cle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215" w:type="dxa"/>
            <w:tcBorders/>
            <w:shd w:fill="auto" w:val="clear"/>
            <w:vAlign w:val="bottom"/>
          </w:tcPr>
          <w:p>
            <w:pPr>
              <w:pStyle w:val="TableContents"/>
              <w:spacing w:before="0" w:after="283"/>
              <w:rPr/>
            </w:pPr>
            <w:r>
              <w:rPr/>
              <w:t> </w:t>
            </w:r>
          </w:p>
        </w:tc>
      </w:tr>
      <w:tr>
        <w:trPr/>
        <w:tc>
          <w:tcPr>
            <w:tcW w:w="5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8"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22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68"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215" w:type="dxa"/>
            <w:tcBorders/>
            <w:shd w:fill="auto" w:val="clear"/>
            <w:vAlign w:val="bottom"/>
          </w:tcPr>
          <w:p>
            <w:pPr>
              <w:pStyle w:val="TableContents"/>
              <w:spacing w:before="0" w:after="283"/>
              <w:rPr/>
            </w:pPr>
            <w:r>
              <w:rPr/>
              <w:t> </w:t>
            </w:r>
          </w:p>
        </w:tc>
      </w:tr>
      <w:tr>
        <w:trPr/>
        <w:tc>
          <w:tcPr>
            <w:tcW w:w="5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6" w:type="dxa"/>
            <w:gridSpan w:val="14"/>
            <w:tcBorders/>
            <w:shd w:fill="auto" w:val="clear"/>
            <w:vAlign w:val="bottom"/>
          </w:tcPr>
          <w:p>
            <w:pPr>
              <w:pStyle w:val="TableContents"/>
              <w:spacing w:before="0" w:after="0"/>
              <w:jc w:val="center"/>
              <w:rPr/>
            </w:pPr>
            <w:r>
              <w:rPr/>
              <w:t>(Dollars in thousands)</w:t>
            </w:r>
          </w:p>
        </w:tc>
        <w:tc>
          <w:tcPr>
            <w:tcW w:w="215" w:type="dxa"/>
            <w:tcBorders/>
            <w:shd w:fill="auto" w:val="clear"/>
            <w:vAlign w:val="bottom"/>
          </w:tcPr>
          <w:p>
            <w:pPr>
              <w:pStyle w:val="TableContents"/>
              <w:spacing w:before="0" w:after="283"/>
              <w:rPr/>
            </w:pPr>
            <w:r>
              <w:rPr/>
              <w:t> </w:t>
            </w:r>
          </w:p>
        </w:tc>
      </w:tr>
      <w:tr>
        <w:trPr/>
        <w:tc>
          <w:tcPr>
            <w:tcW w:w="5675" w:type="dxa"/>
            <w:tcBorders/>
            <w:shd w:fill="auto" w:val="clear"/>
            <w:vAlign w:val="bottom"/>
          </w:tcPr>
          <w:p>
            <w:pPr>
              <w:pStyle w:val="TableContents"/>
              <w:spacing w:before="0" w:after="0"/>
              <w:ind w:left="144" w:right="0" w:hanging="144"/>
              <w:rPr>
                <w:b/>
              </w:rPr>
            </w:pPr>
            <w:r>
              <w:rPr>
                <w:b/>
              </w:rPr>
              <w:t>Net Interest Margin, Fully Taxable Equivalent (“FTE”)</w:t>
            </w:r>
          </w:p>
        </w:tc>
        <w:tc>
          <w:tcPr>
            <w:tcW w:w="60" w:type="dxa"/>
            <w:tcBorders/>
            <w:shd w:fill="auto" w:val="clear"/>
            <w:vAlign w:val="bottom"/>
          </w:tcPr>
          <w:p>
            <w:pPr>
              <w:pStyle w:val="TableContents"/>
              <w:spacing w:before="0" w:after="283"/>
              <w:rPr/>
            </w:pPr>
            <w:r>
              <w:rPr/>
              <w:t> </w:t>
            </w:r>
          </w:p>
        </w:tc>
        <w:tc>
          <w:tcPr>
            <w:tcW w:w="868" w:type="dxa"/>
            <w:gridSpan w:val="2"/>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68"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5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8" w:type="dxa"/>
            <w:gridSpan w:val="2"/>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68"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5675" w:type="dxa"/>
            <w:tcBorders/>
            <w:shd w:fill="CCEEFF" w:val="clear"/>
            <w:vAlign w:val="bottom"/>
          </w:tcPr>
          <w:p>
            <w:pPr>
              <w:pStyle w:val="TableContents"/>
              <w:spacing w:before="0" w:after="0"/>
              <w:ind w:left="144" w:right="0" w:hanging="144"/>
              <w:rPr/>
            </w:pPr>
            <w:r>
              <w:rPr/>
              <w:t>Net interest income</w:t>
            </w:r>
          </w:p>
        </w:tc>
        <w:tc>
          <w:tcPr>
            <w:tcW w:w="6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rPr/>
            </w:pPr>
            <w:r>
              <w:rPr/>
              <w:t>$</w:t>
            </w:r>
          </w:p>
        </w:tc>
        <w:tc>
          <w:tcPr>
            <w:tcW w:w="720" w:type="dxa"/>
            <w:tcBorders/>
            <w:shd w:fill="CCEEFF" w:val="clear"/>
            <w:vAlign w:val="bottom"/>
          </w:tcPr>
          <w:p>
            <w:pPr>
              <w:pStyle w:val="TableContents"/>
              <w:spacing w:before="0" w:after="0"/>
              <w:jc w:val="right"/>
              <w:rPr/>
            </w:pPr>
            <w:r>
              <w:rPr/>
              <w:t>30,756</w:t>
            </w:r>
          </w:p>
        </w:tc>
        <w:tc>
          <w:tcPr>
            <w:tcW w:w="227"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0"/>
              <w:rPr/>
            </w:pPr>
            <w:r>
              <w:rPr/>
              <w:t>$</w:t>
            </w:r>
          </w:p>
        </w:tc>
        <w:tc>
          <w:tcPr>
            <w:tcW w:w="720" w:type="dxa"/>
            <w:tcBorders/>
            <w:shd w:fill="CCEEFF" w:val="clear"/>
            <w:vAlign w:val="bottom"/>
          </w:tcPr>
          <w:p>
            <w:pPr>
              <w:pStyle w:val="TableContents"/>
              <w:spacing w:before="0" w:after="0"/>
              <w:jc w:val="right"/>
              <w:rPr/>
            </w:pPr>
            <w:r>
              <w:rPr/>
              <w:t>28,980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60,999</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52,916</w:t>
            </w:r>
          </w:p>
        </w:tc>
        <w:tc>
          <w:tcPr>
            <w:tcW w:w="215" w:type="dxa"/>
            <w:tcBorders/>
            <w:shd w:fill="CCEEFF" w:val="clear"/>
            <w:vAlign w:val="bottom"/>
          </w:tcPr>
          <w:p>
            <w:pPr>
              <w:pStyle w:val="TableContents"/>
              <w:spacing w:before="0" w:after="283"/>
              <w:rPr/>
            </w:pPr>
            <w:r>
              <w:rPr/>
              <w:t> </w:t>
            </w:r>
          </w:p>
        </w:tc>
      </w:tr>
      <w:tr>
        <w:trPr/>
        <w:tc>
          <w:tcPr>
            <w:tcW w:w="5675" w:type="dxa"/>
            <w:tcBorders/>
            <w:shd w:fill="FFFFFF" w:val="clear"/>
            <w:vAlign w:val="bottom"/>
          </w:tcPr>
          <w:p>
            <w:pPr>
              <w:pStyle w:val="TableContents"/>
              <w:spacing w:before="0" w:after="0"/>
              <w:ind w:left="324" w:right="0" w:hanging="144"/>
              <w:rPr/>
            </w:pPr>
            <w:r>
              <w:rPr/>
              <w:t>Add:  taxable equivalent adjustment</w:t>
            </w:r>
          </w:p>
        </w:tc>
        <w:tc>
          <w:tcPr>
            <w:tcW w:w="60"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20" w:type="dxa"/>
            <w:tcBorders>
              <w:bottom w:val="single" w:sz="12" w:space="0" w:color="000000"/>
            </w:tcBorders>
            <w:shd w:fill="FFFFFF" w:val="clear"/>
            <w:tcMar>
              <w:bottom w:w="28" w:type="dxa"/>
            </w:tcMar>
            <w:vAlign w:val="bottom"/>
          </w:tcPr>
          <w:p>
            <w:pPr>
              <w:pStyle w:val="TableContents"/>
              <w:spacing w:before="0" w:after="0"/>
              <w:jc w:val="right"/>
              <w:rPr/>
            </w:pPr>
            <w:r>
              <w:rPr/>
              <w:t>102</w:t>
            </w:r>
          </w:p>
        </w:tc>
        <w:tc>
          <w:tcPr>
            <w:tcW w:w="227" w:type="dxa"/>
            <w:tcBorders/>
            <w:shd w:fill="FFFFFF" w:val="clear"/>
            <w:vAlign w:val="bottom"/>
          </w:tcPr>
          <w:p>
            <w:pPr>
              <w:pStyle w:val="TableContents"/>
              <w:spacing w:before="0" w:after="283"/>
              <w:rPr/>
            </w:pPr>
            <w:r>
              <w:rPr/>
              <w:t> </w:t>
            </w:r>
          </w:p>
        </w:tc>
        <w:tc>
          <w:tcPr>
            <w:tcW w:w="63"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20" w:type="dxa"/>
            <w:tcBorders>
              <w:bottom w:val="single" w:sz="12" w:space="0" w:color="000000"/>
            </w:tcBorders>
            <w:shd w:fill="FFFFFF" w:val="clear"/>
            <w:tcMar>
              <w:bottom w:w="28" w:type="dxa"/>
            </w:tcMar>
            <w:vAlign w:val="bottom"/>
          </w:tcPr>
          <w:p>
            <w:pPr>
              <w:pStyle w:val="TableContents"/>
              <w:spacing w:before="0" w:after="0"/>
              <w:jc w:val="right"/>
              <w:rPr/>
            </w:pPr>
            <w:r>
              <w:rPr/>
              <w:t>132</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219</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261</w:t>
            </w:r>
          </w:p>
        </w:tc>
        <w:tc>
          <w:tcPr>
            <w:tcW w:w="215" w:type="dxa"/>
            <w:tcBorders/>
            <w:shd w:fill="FFFFFF" w:val="clear"/>
            <w:vAlign w:val="bottom"/>
          </w:tcPr>
          <w:p>
            <w:pPr>
              <w:pStyle w:val="TableContents"/>
              <w:spacing w:before="0" w:after="283"/>
              <w:rPr/>
            </w:pPr>
            <w:r>
              <w:rPr/>
              <w:t> </w:t>
            </w:r>
          </w:p>
        </w:tc>
      </w:tr>
      <w:tr>
        <w:trPr/>
        <w:tc>
          <w:tcPr>
            <w:tcW w:w="5675" w:type="dxa"/>
            <w:tcBorders/>
            <w:shd w:fill="CCEEFF" w:val="clear"/>
            <w:vAlign w:val="bottom"/>
          </w:tcPr>
          <w:p>
            <w:pPr>
              <w:pStyle w:val="TableContents"/>
              <w:spacing w:before="0" w:after="0"/>
              <w:ind w:left="144" w:right="0" w:hanging="144"/>
              <w:rPr/>
            </w:pPr>
            <w:r>
              <w:rPr/>
              <w:t>Net interest income - taxable equivalent</w:t>
            </w:r>
          </w:p>
        </w:tc>
        <w:tc>
          <w:tcPr>
            <w:tcW w:w="60"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0"/>
              <w:rPr/>
            </w:pPr>
            <w:r>
              <w:rPr/>
              <w:t>$</w:t>
            </w:r>
          </w:p>
        </w:tc>
        <w:tc>
          <w:tcPr>
            <w:tcW w:w="720" w:type="dxa"/>
            <w:tcBorders>
              <w:bottom w:val="double" w:sz="8" w:space="0" w:color="000000"/>
            </w:tcBorders>
            <w:shd w:fill="CCEEFF" w:val="clear"/>
            <w:tcMar>
              <w:bottom w:w="28" w:type="dxa"/>
            </w:tcMar>
            <w:vAlign w:val="bottom"/>
          </w:tcPr>
          <w:p>
            <w:pPr>
              <w:pStyle w:val="TableContents"/>
              <w:spacing w:before="0" w:after="0"/>
              <w:jc w:val="right"/>
              <w:rPr/>
            </w:pPr>
            <w:r>
              <w:rPr/>
              <w:t>30,858</w:t>
            </w:r>
          </w:p>
        </w:tc>
        <w:tc>
          <w:tcPr>
            <w:tcW w:w="227"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0"/>
              <w:rPr/>
            </w:pPr>
            <w:r>
              <w:rPr/>
              <w:t>$</w:t>
            </w:r>
          </w:p>
        </w:tc>
        <w:tc>
          <w:tcPr>
            <w:tcW w:w="720" w:type="dxa"/>
            <w:tcBorders>
              <w:bottom w:val="double" w:sz="8" w:space="0" w:color="000000"/>
            </w:tcBorders>
            <w:shd w:fill="CCEEFF" w:val="clear"/>
            <w:tcMar>
              <w:bottom w:w="28" w:type="dxa"/>
            </w:tcMar>
            <w:vAlign w:val="bottom"/>
          </w:tcPr>
          <w:p>
            <w:pPr>
              <w:pStyle w:val="TableContents"/>
              <w:spacing w:before="0" w:after="0"/>
              <w:jc w:val="right"/>
              <w:rPr/>
            </w:pPr>
            <w:r>
              <w:rPr/>
              <w:t>29,112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61,218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53,177</w:t>
            </w:r>
          </w:p>
        </w:tc>
        <w:tc>
          <w:tcPr>
            <w:tcW w:w="215" w:type="dxa"/>
            <w:tcBorders/>
            <w:shd w:fill="CCEEFF" w:val="clear"/>
            <w:vAlign w:val="bottom"/>
          </w:tcPr>
          <w:p>
            <w:pPr>
              <w:pStyle w:val="TableContents"/>
              <w:spacing w:before="0" w:after="283"/>
              <w:rPr/>
            </w:pPr>
            <w:r>
              <w:rPr/>
              <w:t> </w:t>
            </w:r>
          </w:p>
        </w:tc>
      </w:tr>
      <w:tr>
        <w:trPr/>
        <w:tc>
          <w:tcPr>
            <w:tcW w:w="5675" w:type="dxa"/>
            <w:tcBorders/>
            <w:shd w:fill="FFFFFF" w:val="clear"/>
            <w:vAlign w:val="bottom"/>
          </w:tcPr>
          <w:p>
            <w:pPr>
              <w:pStyle w:val="TableContents"/>
              <w:spacing w:lineRule="auto" w:line="240" w:before="0" w:after="0"/>
              <w:ind w:left="144" w:right="0" w:hanging="144"/>
              <w:rPr/>
            </w:pPr>
            <w:r>
              <w:rPr/>
              <w:t>Net interest margin (GAAP) (1)</w:t>
            </w:r>
          </w:p>
        </w:tc>
        <w:tc>
          <w:tcPr>
            <w:tcW w:w="60" w:type="dxa"/>
            <w:tcBorders/>
            <w:shd w:fill="FFFFFF" w:val="clear"/>
            <w:vAlign w:val="bottom"/>
          </w:tcPr>
          <w:p>
            <w:pPr>
              <w:pStyle w:val="TableContents"/>
              <w:spacing w:before="0" w:after="283"/>
              <w:rPr/>
            </w:pPr>
            <w:r>
              <w:rPr/>
              <w:t> </w:t>
            </w:r>
          </w:p>
        </w:tc>
        <w:tc>
          <w:tcPr>
            <w:tcW w:w="148" w:type="dxa"/>
            <w:tcBorders>
              <w:bottom w:val="double" w:sz="8" w:space="0" w:color="000000"/>
            </w:tcBorders>
            <w:shd w:fill="FFFFFF" w:val="clear"/>
            <w:tcMar>
              <w:bottom w:w="28" w:type="dxa"/>
            </w:tcMar>
            <w:vAlign w:val="bottom"/>
          </w:tcPr>
          <w:p>
            <w:pPr>
              <w:pStyle w:val="TableContents"/>
              <w:spacing w:before="0" w:after="283"/>
              <w:rPr/>
            </w:pPr>
            <w:r>
              <w:rPr/>
              <w:t> </w:t>
            </w:r>
          </w:p>
        </w:tc>
        <w:tc>
          <w:tcPr>
            <w:tcW w:w="720" w:type="dxa"/>
            <w:tcBorders>
              <w:bottom w:val="double" w:sz="8" w:space="0" w:color="000000"/>
            </w:tcBorders>
            <w:shd w:fill="FFFFFF" w:val="clear"/>
            <w:tcMar>
              <w:bottom w:w="28" w:type="dxa"/>
            </w:tcMar>
            <w:vAlign w:val="bottom"/>
          </w:tcPr>
          <w:p>
            <w:pPr>
              <w:pStyle w:val="TableContents"/>
              <w:spacing w:before="0" w:after="0"/>
              <w:jc w:val="right"/>
              <w:rPr/>
            </w:pPr>
            <w:r>
              <w:rPr/>
              <w:t>3.86</w:t>
            </w:r>
          </w:p>
        </w:tc>
        <w:tc>
          <w:tcPr>
            <w:tcW w:w="227" w:type="dxa"/>
            <w:tcBorders/>
            <w:shd w:fill="FFFFFF" w:val="clear"/>
            <w:vAlign w:val="bottom"/>
          </w:tcPr>
          <w:p>
            <w:pPr>
              <w:pStyle w:val="TableContents"/>
              <w:spacing w:before="0" w:after="0"/>
              <w:rPr/>
            </w:pPr>
            <w:r>
              <w:rPr/>
              <w:t>%</w:t>
            </w:r>
          </w:p>
        </w:tc>
        <w:tc>
          <w:tcPr>
            <w:tcW w:w="63" w:type="dxa"/>
            <w:tcBorders/>
            <w:shd w:fill="FFFFFF" w:val="clear"/>
            <w:vAlign w:val="bottom"/>
          </w:tcPr>
          <w:p>
            <w:pPr>
              <w:pStyle w:val="TableContents"/>
              <w:spacing w:before="0" w:after="283"/>
              <w:rPr/>
            </w:pPr>
            <w:r>
              <w:rPr/>
              <w:t> </w:t>
            </w:r>
          </w:p>
        </w:tc>
        <w:tc>
          <w:tcPr>
            <w:tcW w:w="148" w:type="dxa"/>
            <w:tcBorders>
              <w:bottom w:val="double" w:sz="8" w:space="0" w:color="000000"/>
            </w:tcBorders>
            <w:shd w:fill="FFFFFF" w:val="clear"/>
            <w:tcMar>
              <w:bottom w:w="28" w:type="dxa"/>
            </w:tcMar>
            <w:vAlign w:val="bottom"/>
          </w:tcPr>
          <w:p>
            <w:pPr>
              <w:pStyle w:val="TableContents"/>
              <w:spacing w:before="0" w:after="283"/>
              <w:rPr/>
            </w:pPr>
            <w:r>
              <w:rPr/>
              <w:t> </w:t>
            </w:r>
          </w:p>
        </w:tc>
        <w:tc>
          <w:tcPr>
            <w:tcW w:w="720" w:type="dxa"/>
            <w:tcBorders>
              <w:bottom w:val="double" w:sz="8" w:space="0" w:color="000000"/>
            </w:tcBorders>
            <w:shd w:fill="FFFFFF" w:val="clear"/>
            <w:tcMar>
              <w:bottom w:w="28" w:type="dxa"/>
            </w:tcMar>
            <w:vAlign w:val="bottom"/>
          </w:tcPr>
          <w:p>
            <w:pPr>
              <w:pStyle w:val="TableContents"/>
              <w:spacing w:before="0" w:after="0"/>
              <w:jc w:val="right"/>
              <w:rPr/>
            </w:pPr>
            <w:r>
              <w:rPr/>
              <w:t>3.92</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rPr/>
            </w:pPr>
            <w:r>
              <w:rPr/>
              <w:t> </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3.86</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rPr/>
            </w:pPr>
            <w:r>
              <w:rPr/>
              <w:t> </w:t>
            </w:r>
          </w:p>
        </w:tc>
        <w:tc>
          <w:tcPr>
            <w:tcW w:w="680" w:type="dxa"/>
            <w:tcBorders>
              <w:bottom w:val="double" w:sz="8" w:space="0" w:color="000000"/>
            </w:tcBorders>
            <w:shd w:fill="FFFFFF" w:val="clear"/>
            <w:tcMar>
              <w:bottom w:w="28" w:type="dxa"/>
            </w:tcMar>
            <w:vAlign w:val="bottom"/>
          </w:tcPr>
          <w:p>
            <w:pPr>
              <w:pStyle w:val="TableContents"/>
              <w:spacing w:before="0" w:after="0"/>
              <w:jc w:val="right"/>
              <w:rPr/>
            </w:pPr>
            <w:r>
              <w:rPr/>
              <w:t>3.81</w:t>
            </w:r>
          </w:p>
        </w:tc>
        <w:tc>
          <w:tcPr>
            <w:tcW w:w="215" w:type="dxa"/>
            <w:tcBorders/>
            <w:shd w:fill="FFFFFF" w:val="clear"/>
            <w:vAlign w:val="bottom"/>
          </w:tcPr>
          <w:p>
            <w:pPr>
              <w:pStyle w:val="TableContents"/>
              <w:spacing w:before="0" w:after="0"/>
              <w:rPr/>
            </w:pPr>
            <w:r>
              <w:rPr/>
              <w:t>%</w:t>
            </w:r>
          </w:p>
        </w:tc>
      </w:tr>
      <w:tr>
        <w:trPr/>
        <w:tc>
          <w:tcPr>
            <w:tcW w:w="5675" w:type="dxa"/>
            <w:tcBorders/>
            <w:shd w:fill="CCEEFF" w:val="clear"/>
            <w:vAlign w:val="bottom"/>
          </w:tcPr>
          <w:p>
            <w:pPr>
              <w:pStyle w:val="TableContents"/>
              <w:spacing w:lineRule="auto" w:line="240" w:before="0" w:after="0"/>
              <w:ind w:left="144" w:right="0" w:hanging="144"/>
              <w:rPr/>
            </w:pPr>
            <w:r>
              <w:rPr/>
              <w:t>Net interest margin (FTE) (1)</w:t>
            </w:r>
          </w:p>
        </w:tc>
        <w:tc>
          <w:tcPr>
            <w:tcW w:w="60"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283"/>
              <w:rPr/>
            </w:pPr>
            <w:r>
              <w:rPr/>
              <w:t> </w:t>
            </w:r>
          </w:p>
        </w:tc>
        <w:tc>
          <w:tcPr>
            <w:tcW w:w="720" w:type="dxa"/>
            <w:tcBorders>
              <w:bottom w:val="double" w:sz="8" w:space="0" w:color="000000"/>
            </w:tcBorders>
            <w:shd w:fill="CCEEFF" w:val="clear"/>
            <w:tcMar>
              <w:bottom w:w="28" w:type="dxa"/>
            </w:tcMar>
            <w:vAlign w:val="bottom"/>
          </w:tcPr>
          <w:p>
            <w:pPr>
              <w:pStyle w:val="TableContents"/>
              <w:spacing w:before="0" w:after="0"/>
              <w:jc w:val="right"/>
              <w:rPr/>
            </w:pPr>
            <w:r>
              <w:rPr/>
              <w:t>3.87</w:t>
            </w:r>
          </w:p>
        </w:tc>
        <w:tc>
          <w:tcPr>
            <w:tcW w:w="227" w:type="dxa"/>
            <w:tcBorders/>
            <w:shd w:fill="CCEEFF" w:val="clear"/>
            <w:vAlign w:val="bottom"/>
          </w:tcPr>
          <w:p>
            <w:pPr>
              <w:pStyle w:val="TableContents"/>
              <w:spacing w:before="0" w:after="0"/>
              <w:rPr/>
            </w:pPr>
            <w:r>
              <w:rPr/>
              <w:t>%</w:t>
            </w:r>
          </w:p>
        </w:tc>
        <w:tc>
          <w:tcPr>
            <w:tcW w:w="63" w:type="dxa"/>
            <w:tcBorders/>
            <w:shd w:fill="CCEEFF" w:val="clear"/>
            <w:vAlign w:val="bottom"/>
          </w:tcPr>
          <w:p>
            <w:pPr>
              <w:pStyle w:val="TableContents"/>
              <w:spacing w:before="0" w:after="283"/>
              <w:rPr/>
            </w:pPr>
            <w:r>
              <w:rPr/>
              <w:t> </w:t>
            </w:r>
          </w:p>
        </w:tc>
        <w:tc>
          <w:tcPr>
            <w:tcW w:w="148" w:type="dxa"/>
            <w:tcBorders>
              <w:bottom w:val="double" w:sz="8" w:space="0" w:color="000000"/>
            </w:tcBorders>
            <w:shd w:fill="CCEEFF" w:val="clear"/>
            <w:tcMar>
              <w:bottom w:w="28" w:type="dxa"/>
            </w:tcMar>
            <w:vAlign w:val="bottom"/>
          </w:tcPr>
          <w:p>
            <w:pPr>
              <w:pStyle w:val="TableContents"/>
              <w:spacing w:before="0" w:after="283"/>
              <w:rPr/>
            </w:pPr>
            <w:r>
              <w:rPr/>
              <w:t> </w:t>
            </w:r>
          </w:p>
        </w:tc>
        <w:tc>
          <w:tcPr>
            <w:tcW w:w="720" w:type="dxa"/>
            <w:tcBorders>
              <w:bottom w:val="double" w:sz="8" w:space="0" w:color="000000"/>
            </w:tcBorders>
            <w:shd w:fill="CCEEFF" w:val="clear"/>
            <w:tcMar>
              <w:bottom w:w="28" w:type="dxa"/>
            </w:tcMar>
            <w:vAlign w:val="bottom"/>
          </w:tcPr>
          <w:p>
            <w:pPr>
              <w:pStyle w:val="TableContents"/>
              <w:spacing w:before="0" w:after="0"/>
              <w:jc w:val="right"/>
              <w:rPr/>
            </w:pPr>
            <w:r>
              <w:rPr/>
              <w:t>3.93</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rPr/>
            </w:pPr>
            <w:r>
              <w:rPr/>
              <w:t> </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3.88</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rPr/>
            </w:pPr>
            <w:r>
              <w:rPr/>
              <w:t> </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3.83</w:t>
            </w:r>
          </w:p>
        </w:tc>
        <w:tc>
          <w:tcPr>
            <w:tcW w:w="215" w:type="dxa"/>
            <w:tcBorders/>
            <w:shd w:fill="CCEEFF" w:val="clear"/>
            <w:vAlign w:val="bottom"/>
          </w:tcPr>
          <w:p>
            <w:pPr>
              <w:pStyle w:val="TableContents"/>
              <w:spacing w:before="0" w:after="0"/>
              <w:rPr/>
            </w:pPr>
            <w:r>
              <w:rPr/>
              <w:t>%</w:t>
            </w:r>
          </w:p>
        </w:tc>
      </w:tr>
    </w:tbl>
    <w:p>
      <w:pPr>
        <w:pStyle w:val="TextBody"/>
        <w:spacing w:before="0" w:after="0"/>
        <w:rPr/>
      </w:pPr>
      <w:r>
        <w:rPr/>
      </w:r>
    </w:p>
    <w:p>
      <w:pPr>
        <w:pStyle w:val="Normal"/>
        <w:spacing w:before="0" w:after="0"/>
        <w:rPr>
          <w:sz w:val="4"/>
          <w:szCs w:val="4"/>
        </w:rPr>
      </w:pPr>
      <w:r>
        <w:rPr>
          <w:sz w:val="4"/>
          <w:szCs w:val="4"/>
        </w:rPr>
      </w:r>
      <w:bookmarkStart w:id="715" w:name="z64ae06d4dd3b4415a29da4a0360c708e"/>
      <w:bookmarkStart w:id="716" w:name="z64ae06d4dd3b4415a29da4a0360c708e"/>
      <w:bookmarkEnd w:id="716"/>
    </w:p>
    <w:tbl>
      <w:tblPr>
        <w:tblW w:w="1495" w:type="dxa"/>
        <w:jc w:val="left"/>
        <w:tblInd w:w="0" w:type="dxa"/>
        <w:tblCellMar>
          <w:top w:w="0" w:type="dxa"/>
          <w:left w:w="0" w:type="dxa"/>
          <w:bottom w:w="0" w:type="dxa"/>
          <w:right w:w="0" w:type="dxa"/>
        </w:tblCellMar>
      </w:tblPr>
      <w:tblGrid>
        <w:gridCol w:w="305"/>
        <w:gridCol w:w="1190"/>
      </w:tblGrid>
      <w:tr>
        <w:trPr/>
        <w:tc>
          <w:tcPr>
            <w:tcW w:w="305" w:type="dxa"/>
            <w:tcBorders/>
            <w:shd w:fill="auto" w:val="clear"/>
            <w:vAlign w:val="center"/>
          </w:tcPr>
          <w:p>
            <w:pPr>
              <w:pStyle w:val="TableContents"/>
              <w:spacing w:before="0" w:after="0"/>
              <w:jc w:val="left"/>
              <w:rPr/>
            </w:pPr>
            <w:r>
              <w:rPr/>
              <w:t>(1)</w:t>
            </w:r>
          </w:p>
        </w:tc>
        <w:tc>
          <w:tcPr>
            <w:tcW w:w="1190" w:type="dxa"/>
            <w:tcBorders/>
            <w:shd w:fill="auto" w:val="clear"/>
            <w:vAlign w:val="center"/>
          </w:tcPr>
          <w:p>
            <w:pPr>
              <w:pStyle w:val="TableContents"/>
              <w:spacing w:before="0" w:after="0"/>
              <w:jc w:val="left"/>
              <w:rPr/>
            </w:pPr>
            <w:r>
              <w:rPr/>
              <w:t>Annualized.</w:t>
            </w:r>
          </w:p>
        </w:tc>
      </w:tr>
    </w:tbl>
    <w:p>
      <w:pPr>
        <w:pStyle w:val="TextBody"/>
        <w:spacing w:before="0" w:after="0"/>
        <w:rPr/>
      </w:pPr>
      <w:r>
        <w:rPr/>
      </w:r>
    </w:p>
    <w:p>
      <w:pPr>
        <w:pStyle w:val="TextBody"/>
        <w:spacing w:before="0" w:after="0"/>
        <w:jc w:val="both"/>
        <w:rPr/>
      </w:pPr>
      <w:r>
        <w:rPr>
          <w:b/>
        </w:rPr>
        <w:t>Provision for loan losses.</w:t>
      </w:r>
      <w:r>
        <w:rPr/>
        <w:t>  The provision for loan losses was an expense of $0.7 million during both the three months ended June 30, 2019 and 2018. During the six-month periods ended June 30, 2019 and 2018, the provision was an expense of $1.3 million and $1.0 million, respectively. The provision reflects our assessment of the allowance for loan losses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second quarter and first half of 2019.</w:t>
      </w:r>
    </w:p>
    <w:p>
      <w:pPr>
        <w:pStyle w:val="TextBody"/>
        <w:spacing w:before="0" w:after="0"/>
        <w:rPr/>
      </w:pPr>
      <w:r>
        <w:rPr/>
      </w:r>
    </w:p>
    <w:p>
      <w:pPr>
        <w:pStyle w:val="TextBody"/>
        <w:spacing w:before="0" w:after="0"/>
        <w:jc w:val="both"/>
        <w:rPr/>
      </w:pPr>
      <w:r>
        <w:rPr>
          <w:b/>
        </w:rPr>
        <w:t xml:space="preserve">Non-interest income.  </w:t>
      </w:r>
      <w:r>
        <w:rPr>
          <w:color w:val="000000"/>
        </w:rPr>
        <w:t xml:space="preserve">Non-interest income is a significant element in assessing our results of operations. </w:t>
      </w:r>
      <w:r>
        <w:rPr/>
        <w:t>Non-interest income totaled $9.9 million during the second quarter of 2019 compared to $12.3 million in the second quarter of 2018.  For the first six months of 2019, non-interest income totaled $19.9 million compared to $24.0 million for the first six months of 2018.</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17" w:name="DSPFPageBreakArea69"/>
      <w:bookmarkStart w:id="718" w:name="DSPFPageBreakArea69"/>
      <w:bookmarkEnd w:id="7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19" w:name="DSPFPageNumber69"/>
      <w:bookmarkStart w:id="720" w:name="DSPFPageNumberArea68"/>
      <w:bookmarkEnd w:id="719"/>
      <w:bookmarkEnd w:id="720"/>
      <w:r>
        <w:rPr>
          <w:b w:val="false"/>
          <w:i w:val="false"/>
          <w:caps w:val="false"/>
          <w:smallCaps w:val="false"/>
          <w:sz w:val="13"/>
        </w:rPr>
        <w:t>70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21" w:name="DSPFPageBreak69"/>
      <w:bookmarkStart w:id="722" w:name="DSPFPageBreak69"/>
      <w:bookmarkEnd w:id="7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23" w:name="DSPFPageHeader68"/>
        <w:bookmarkEnd w:id="723"/>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The components of non-interest income are as follows:</w:t>
      </w:r>
    </w:p>
    <w:p>
      <w:pPr>
        <w:pStyle w:val="TextBody"/>
        <w:spacing w:before="0" w:after="0"/>
        <w:rPr/>
      </w:pPr>
      <w:r>
        <w:rPr/>
      </w:r>
    </w:p>
    <w:p>
      <w:pPr>
        <w:pStyle w:val="TextBody"/>
        <w:spacing w:before="0" w:after="0"/>
        <w:rPr>
          <w:b/>
          <w:color w:val="000000"/>
        </w:rPr>
      </w:pPr>
      <w:r>
        <w:rPr>
          <w:b/>
          <w:color w:val="000000"/>
        </w:rPr>
        <w:t>Non-Interest Income</w:t>
      </w:r>
    </w:p>
    <w:p>
      <w:pPr>
        <w:pStyle w:val="Normal"/>
        <w:spacing w:before="0" w:after="0"/>
        <w:rPr>
          <w:sz w:val="4"/>
          <w:szCs w:val="4"/>
        </w:rPr>
      </w:pPr>
      <w:r>
        <w:rPr>
          <w:sz w:val="4"/>
          <w:szCs w:val="4"/>
        </w:rPr>
      </w:r>
      <w:bookmarkStart w:id="724" w:name="z78b3a0c7381548e5b056e3b819425a01"/>
      <w:bookmarkStart w:id="725" w:name="z78b3a0c7381548e5b056e3b819425a01"/>
      <w:bookmarkEnd w:id="725"/>
    </w:p>
    <w:tbl>
      <w:tblPr>
        <w:tblW w:w="7718" w:type="dxa"/>
        <w:jc w:val="left"/>
        <w:tblInd w:w="0" w:type="dxa"/>
        <w:tblCellMar>
          <w:top w:w="0" w:type="dxa"/>
          <w:left w:w="0" w:type="dxa"/>
          <w:bottom w:w="0" w:type="dxa"/>
          <w:right w:w="0" w:type="dxa"/>
        </w:tblCellMar>
      </w:tblPr>
      <w:tblGrid>
        <w:gridCol w:w="3695"/>
        <w:gridCol w:w="60"/>
        <w:gridCol w:w="156"/>
        <w:gridCol w:w="709"/>
        <w:gridCol w:w="106"/>
        <w:gridCol w:w="67"/>
        <w:gridCol w:w="156"/>
        <w:gridCol w:w="759"/>
        <w:gridCol w:w="60"/>
        <w:gridCol w:w="60"/>
        <w:gridCol w:w="140"/>
        <w:gridCol w:w="680"/>
        <w:gridCol w:w="95"/>
        <w:gridCol w:w="60"/>
        <w:gridCol w:w="140"/>
        <w:gridCol w:w="680"/>
        <w:gridCol w:w="95"/>
      </w:tblGrid>
      <w:tr>
        <w:trPr/>
        <w:tc>
          <w:tcPr>
            <w:tcW w:w="3695" w:type="dxa"/>
            <w:tcBorders/>
            <w:shd w:fill="auto" w:val="clear"/>
            <w:vAlign w:val="bottom"/>
          </w:tcPr>
          <w:p>
            <w:pPr>
              <w:pStyle w:val="TableContents"/>
              <w:spacing w:before="0" w:after="283"/>
              <w:ind w:left="0" w:right="0" w:firstLine="360"/>
              <w:rPr/>
            </w:pPr>
            <w:r>
              <w:rPr/>
            </w:r>
          </w:p>
        </w:tc>
        <w:tc>
          <w:tcPr>
            <w:tcW w:w="60" w:type="dxa"/>
            <w:tcBorders/>
            <w:shd w:fill="auto" w:val="clear"/>
            <w:vAlign w:val="bottom"/>
          </w:tcPr>
          <w:p>
            <w:pPr>
              <w:pStyle w:val="TableContents"/>
              <w:spacing w:before="0" w:after="283"/>
              <w:rPr/>
            </w:pPr>
            <w:r>
              <w:rPr/>
              <w:t> </w:t>
            </w:r>
          </w:p>
        </w:tc>
        <w:tc>
          <w:tcPr>
            <w:tcW w:w="1953" w:type="dxa"/>
            <w:gridSpan w:val="6"/>
            <w:tcBorders/>
            <w:shd w:fill="auto" w:val="clear"/>
            <w:vAlign w:val="bottom"/>
          </w:tcPr>
          <w:p>
            <w:pPr>
              <w:pStyle w:val="TableContents"/>
              <w:spacing w:before="0" w:after="0"/>
              <w:jc w:val="center"/>
              <w:rPr>
                <w:color w:val="000000"/>
              </w:rPr>
            </w:pPr>
            <w:r>
              <w:rPr>
                <w:color w:val="000000"/>
              </w:rPr>
              <w:t>Three months ended</w:t>
            </w:r>
          </w:p>
          <w:p>
            <w:pPr>
              <w:pStyle w:val="TableContents"/>
              <w:spacing w:before="0" w:after="0"/>
              <w:jc w:val="center"/>
              <w:rPr>
                <w:color w:val="000000"/>
              </w:rPr>
            </w:pPr>
            <w:r>
              <w:rPr>
                <w:color w:val="000000"/>
              </w:rPr>
              <w:t>June 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5" w:type="dxa"/>
            <w:gridSpan w:val="6"/>
            <w:tcBorders/>
            <w:shd w:fill="auto" w:val="clear"/>
            <w:vAlign w:val="bottom"/>
          </w:tcPr>
          <w:p>
            <w:pPr>
              <w:pStyle w:val="TableContents"/>
              <w:spacing w:before="0" w:after="0"/>
              <w:jc w:val="center"/>
              <w:rPr>
                <w:color w:val="000000"/>
              </w:rPr>
            </w:pPr>
            <w:r>
              <w:rPr>
                <w:color w:val="000000"/>
              </w:rPr>
              <w:t>Six months ended</w:t>
            </w:r>
          </w:p>
          <w:p>
            <w:pPr>
              <w:pStyle w:val="TableContents"/>
              <w:spacing w:before="0" w:after="0"/>
              <w:jc w:val="center"/>
              <w:rPr>
                <w:color w:val="000000"/>
              </w:rPr>
            </w:pPr>
            <w:r>
              <w:rPr>
                <w:color w:val="000000"/>
              </w:rPr>
              <w:t>June 30,</w:t>
            </w:r>
          </w:p>
        </w:tc>
        <w:tc>
          <w:tcPr>
            <w:tcW w:w="95" w:type="dxa"/>
            <w:tcBorders/>
            <w:shd w:fill="auto" w:val="clear"/>
            <w:vAlign w:val="bottom"/>
          </w:tcPr>
          <w:p>
            <w:pPr>
              <w:pStyle w:val="TableContents"/>
              <w:spacing w:before="0" w:after="283"/>
              <w:rPr/>
            </w:pPr>
            <w:r>
              <w:rPr/>
              <w:t> </w:t>
            </w:r>
          </w:p>
        </w:tc>
      </w:tr>
      <w:tr>
        <w:trPr/>
        <w:tc>
          <w:tcPr>
            <w:tcW w:w="369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865"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2019</w:t>
            </w:r>
          </w:p>
        </w:tc>
        <w:tc>
          <w:tcPr>
            <w:tcW w:w="10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915"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283"/>
              <w:jc w:val="center"/>
              <w:rPr/>
            </w:pPr>
            <w:r>
              <w:rPr/>
              <w:t>2019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2018</w:t>
            </w:r>
          </w:p>
        </w:tc>
        <w:tc>
          <w:tcPr>
            <w:tcW w:w="95" w:type="dxa"/>
            <w:tcBorders/>
            <w:shd w:fill="auto" w:val="clear"/>
            <w:vAlign w:val="bottom"/>
          </w:tcPr>
          <w:p>
            <w:pPr>
              <w:pStyle w:val="TableContents"/>
              <w:spacing w:before="0" w:after="283"/>
              <w:rPr/>
            </w:pPr>
            <w:r>
              <w:rPr/>
              <w:t> </w:t>
            </w:r>
          </w:p>
        </w:tc>
      </w:tr>
      <w:tr>
        <w:trPr/>
        <w:tc>
          <w:tcPr>
            <w:tcW w:w="4620" w:type="dxa"/>
            <w:gridSpan w:val="4"/>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855" w:type="dxa"/>
            <w:gridSpan w:val="6"/>
            <w:tcBorders/>
            <w:shd w:fill="auto" w:val="clear"/>
            <w:vAlign w:val="bottom"/>
          </w:tcPr>
          <w:p>
            <w:pPr>
              <w:pStyle w:val="TableContents"/>
              <w:spacing w:before="0" w:after="0"/>
              <w:jc w:val="center"/>
              <w:rPr>
                <w:color w:val="000000"/>
              </w:rPr>
            </w:pPr>
            <w:r>
              <w:rPr>
                <w:color w:val="000000"/>
              </w:rPr>
              <w:t>(In thousands)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3695" w:type="dxa"/>
            <w:tcBorders/>
            <w:shd w:fill="CCEEFF" w:val="clear"/>
            <w:vAlign w:val="bottom"/>
          </w:tcPr>
          <w:p>
            <w:pPr>
              <w:pStyle w:val="TableContents"/>
              <w:spacing w:before="0" w:after="0"/>
              <w:ind w:left="144" w:right="0" w:hanging="144"/>
              <w:rPr>
                <w:color w:val="000000"/>
              </w:rPr>
            </w:pPr>
            <w:r>
              <w:rPr>
                <w:color w:val="000000"/>
              </w:rPr>
              <w:t>Service charges on deposit accounts</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0"/>
              <w:rPr>
                <w:color w:val="000000"/>
              </w:rPr>
            </w:pPr>
            <w:r>
              <w:rPr>
                <w:color w:val="000000"/>
              </w:rPr>
              <w:t>$</w:t>
            </w:r>
          </w:p>
        </w:tc>
        <w:tc>
          <w:tcPr>
            <w:tcW w:w="709" w:type="dxa"/>
            <w:tcBorders/>
            <w:shd w:fill="CCEEFF" w:val="clear"/>
            <w:vAlign w:val="bottom"/>
          </w:tcPr>
          <w:p>
            <w:pPr>
              <w:pStyle w:val="TableContents"/>
              <w:spacing w:before="0" w:after="0"/>
              <w:jc w:val="right"/>
              <w:rPr>
                <w:color w:val="000000"/>
              </w:rPr>
            </w:pPr>
            <w:r>
              <w:rPr>
                <w:color w:val="000000"/>
              </w:rPr>
              <w:t>2,800</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0"/>
              <w:rPr>
                <w:color w:val="000000"/>
              </w:rPr>
            </w:pPr>
            <w:r>
              <w:rPr>
                <w:color w:val="000000"/>
              </w:rPr>
              <w:t>$</w:t>
            </w:r>
          </w:p>
        </w:tc>
        <w:tc>
          <w:tcPr>
            <w:tcW w:w="759" w:type="dxa"/>
            <w:tcBorders/>
            <w:shd w:fill="CCEEFF" w:val="clear"/>
            <w:vAlign w:val="bottom"/>
          </w:tcPr>
          <w:p>
            <w:pPr>
              <w:pStyle w:val="TableContents"/>
              <w:spacing w:before="0" w:after="0"/>
              <w:jc w:val="right"/>
              <w:rPr>
                <w:color w:val="000000"/>
              </w:rPr>
            </w:pPr>
            <w:r>
              <w:rPr>
                <w:color w:val="000000"/>
              </w:rPr>
              <w:t>3,095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5,440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6,000</w:t>
            </w:r>
          </w:p>
        </w:tc>
        <w:tc>
          <w:tcPr>
            <w:tcW w:w="95" w:type="dxa"/>
            <w:tcBorders/>
            <w:shd w:fill="CCEEFF" w:val="clear"/>
            <w:vAlign w:val="bottom"/>
          </w:tcPr>
          <w:p>
            <w:pPr>
              <w:pStyle w:val="TableContents"/>
              <w:spacing w:before="0" w:after="283"/>
              <w:rPr/>
            </w:pPr>
            <w:r>
              <w:rPr/>
              <w:t> </w:t>
            </w:r>
          </w:p>
        </w:tc>
      </w:tr>
      <w:tr>
        <w:trPr/>
        <w:tc>
          <w:tcPr>
            <w:tcW w:w="3695" w:type="dxa"/>
            <w:tcBorders/>
            <w:shd w:fill="FFFFFF" w:val="clear"/>
            <w:vAlign w:val="bottom"/>
          </w:tcPr>
          <w:p>
            <w:pPr>
              <w:pStyle w:val="TableContents"/>
              <w:spacing w:before="0" w:after="0"/>
              <w:ind w:left="144" w:right="0" w:hanging="144"/>
              <w:rPr>
                <w:color w:val="000000"/>
              </w:rPr>
            </w:pPr>
            <w:r>
              <w:rPr>
                <w:color w:val="000000"/>
              </w:rPr>
              <w:t>Interchange income</w:t>
            </w:r>
          </w:p>
        </w:tc>
        <w:tc>
          <w:tcPr>
            <w:tcW w:w="60"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09" w:type="dxa"/>
            <w:tcBorders/>
            <w:shd w:fill="FFFFFF" w:val="clear"/>
            <w:vAlign w:val="bottom"/>
          </w:tcPr>
          <w:p>
            <w:pPr>
              <w:pStyle w:val="TableContents"/>
              <w:spacing w:before="0" w:after="0"/>
              <w:jc w:val="right"/>
              <w:rPr>
                <w:color w:val="000000"/>
              </w:rPr>
            </w:pPr>
            <w:r>
              <w:rPr>
                <w:color w:val="000000"/>
              </w:rPr>
              <w:t>2,604</w:t>
            </w:r>
          </w:p>
        </w:tc>
        <w:tc>
          <w:tcPr>
            <w:tcW w:w="106"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59" w:type="dxa"/>
            <w:tcBorders/>
            <w:shd w:fill="FFFFFF" w:val="clear"/>
            <w:vAlign w:val="bottom"/>
          </w:tcPr>
          <w:p>
            <w:pPr>
              <w:pStyle w:val="TableContents"/>
              <w:spacing w:before="0" w:after="0"/>
              <w:jc w:val="right"/>
              <w:rPr>
                <w:color w:val="000000"/>
              </w:rPr>
            </w:pPr>
            <w:r>
              <w:rPr>
                <w:color w:val="000000"/>
              </w:rPr>
              <w:t>2,504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4,959</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4,750</w:t>
            </w:r>
          </w:p>
        </w:tc>
        <w:tc>
          <w:tcPr>
            <w:tcW w:w="95" w:type="dxa"/>
            <w:tcBorders/>
            <w:shd w:fill="FFFFFF" w:val="clear"/>
            <w:vAlign w:val="bottom"/>
          </w:tcPr>
          <w:p>
            <w:pPr>
              <w:pStyle w:val="TableContents"/>
              <w:spacing w:before="0" w:after="283"/>
              <w:rPr/>
            </w:pPr>
            <w:r>
              <w:rPr/>
              <w:t> </w:t>
            </w:r>
          </w:p>
        </w:tc>
      </w:tr>
      <w:tr>
        <w:trPr/>
        <w:tc>
          <w:tcPr>
            <w:tcW w:w="3695" w:type="dxa"/>
            <w:tcBorders/>
            <w:shd w:fill="CCEEFF" w:val="clear"/>
            <w:vAlign w:val="bottom"/>
          </w:tcPr>
          <w:p>
            <w:pPr>
              <w:pStyle w:val="TableContents"/>
              <w:spacing w:before="0" w:after="0"/>
              <w:ind w:left="144" w:right="0" w:hanging="144"/>
              <w:rPr>
                <w:color w:val="000000"/>
              </w:rPr>
            </w:pPr>
            <w:r>
              <w:rPr>
                <w:color w:val="000000"/>
              </w:rPr>
              <w:t>Net gains (losses) on assets:</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r>
      <w:tr>
        <w:trPr/>
        <w:tc>
          <w:tcPr>
            <w:tcW w:w="3695" w:type="dxa"/>
            <w:tcBorders/>
            <w:shd w:fill="FFFFFF" w:val="clear"/>
            <w:vAlign w:val="bottom"/>
          </w:tcPr>
          <w:p>
            <w:pPr>
              <w:pStyle w:val="TableContents"/>
              <w:spacing w:before="0" w:after="0"/>
              <w:ind w:left="324" w:right="0" w:hanging="144"/>
              <w:rPr>
                <w:color w:val="000000"/>
              </w:rPr>
            </w:pPr>
            <w:r>
              <w:rPr>
                <w:color w:val="000000"/>
              </w:rPr>
              <w:t>Mortgage loans</w:t>
            </w:r>
          </w:p>
        </w:tc>
        <w:tc>
          <w:tcPr>
            <w:tcW w:w="60"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09" w:type="dxa"/>
            <w:tcBorders/>
            <w:shd w:fill="FFFFFF" w:val="clear"/>
            <w:vAlign w:val="bottom"/>
          </w:tcPr>
          <w:p>
            <w:pPr>
              <w:pStyle w:val="TableContents"/>
              <w:spacing w:before="0" w:after="0"/>
              <w:jc w:val="right"/>
              <w:rPr>
                <w:color w:val="000000"/>
              </w:rPr>
            </w:pPr>
            <w:r>
              <w:rPr>
                <w:color w:val="000000"/>
              </w:rPr>
              <w:t>4,302</w:t>
            </w:r>
          </w:p>
        </w:tc>
        <w:tc>
          <w:tcPr>
            <w:tcW w:w="106"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59" w:type="dxa"/>
            <w:tcBorders/>
            <w:shd w:fill="FFFFFF" w:val="clear"/>
            <w:vAlign w:val="bottom"/>
          </w:tcPr>
          <w:p>
            <w:pPr>
              <w:pStyle w:val="TableContents"/>
              <w:spacing w:before="0" w:after="0"/>
              <w:jc w:val="right"/>
              <w:rPr>
                <w:color w:val="000000"/>
              </w:rPr>
            </w:pPr>
            <w:r>
              <w:rPr>
                <w:color w:val="000000"/>
              </w:rPr>
              <w:t>3,255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7,913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5,826</w:t>
            </w:r>
          </w:p>
        </w:tc>
        <w:tc>
          <w:tcPr>
            <w:tcW w:w="95" w:type="dxa"/>
            <w:tcBorders/>
            <w:shd w:fill="FFFFFF" w:val="clear"/>
            <w:vAlign w:val="bottom"/>
          </w:tcPr>
          <w:p>
            <w:pPr>
              <w:pStyle w:val="TableContents"/>
              <w:spacing w:before="0" w:after="283"/>
              <w:rPr/>
            </w:pPr>
            <w:r>
              <w:rPr/>
              <w:t> </w:t>
            </w:r>
          </w:p>
        </w:tc>
      </w:tr>
      <w:tr>
        <w:trPr/>
        <w:tc>
          <w:tcPr>
            <w:tcW w:w="3695" w:type="dxa"/>
            <w:tcBorders/>
            <w:shd w:fill="CCEEFF" w:val="clear"/>
            <w:vAlign w:val="bottom"/>
          </w:tcPr>
          <w:p>
            <w:pPr>
              <w:pStyle w:val="TableContents"/>
              <w:spacing w:before="0" w:after="0"/>
              <w:ind w:left="324" w:right="0" w:hanging="144"/>
              <w:rPr>
                <w:color w:val="000000"/>
              </w:rPr>
            </w:pPr>
            <w:r>
              <w:rPr>
                <w:color w:val="000000"/>
              </w:rPr>
              <w:t>Securities</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0"/>
              <w:jc w:val="right"/>
              <w:rPr>
                <w:color w:val="000000"/>
              </w:rPr>
            </w:pPr>
            <w:r>
              <w:rPr>
                <w:color w:val="000000"/>
              </w:rPr>
              <w:t>--</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0"/>
              <w:jc w:val="right"/>
              <w:rPr>
                <w:color w:val="000000"/>
              </w:rPr>
            </w:pPr>
            <w:r>
              <w:rPr>
                <w:color w:val="000000"/>
              </w:rPr>
              <w:t>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304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(164</w:t>
            </w:r>
          </w:p>
        </w:tc>
        <w:tc>
          <w:tcPr>
            <w:tcW w:w="95" w:type="dxa"/>
            <w:tcBorders/>
            <w:shd w:fill="CCEEFF" w:val="clear"/>
            <w:vAlign w:val="bottom"/>
          </w:tcPr>
          <w:p>
            <w:pPr>
              <w:pStyle w:val="TableContents"/>
              <w:spacing w:before="0" w:after="0"/>
              <w:rPr>
                <w:color w:val="000000"/>
              </w:rPr>
            </w:pPr>
            <w:r>
              <w:rPr>
                <w:color w:val="000000"/>
              </w:rPr>
              <w:t>)</w:t>
            </w:r>
          </w:p>
        </w:tc>
      </w:tr>
      <w:tr>
        <w:trPr/>
        <w:tc>
          <w:tcPr>
            <w:tcW w:w="3695" w:type="dxa"/>
            <w:tcBorders/>
            <w:shd w:fill="FFFFFF" w:val="clear"/>
            <w:vAlign w:val="bottom"/>
          </w:tcPr>
          <w:p>
            <w:pPr>
              <w:pStyle w:val="TableContents"/>
              <w:spacing w:before="0" w:after="0"/>
              <w:ind w:left="144" w:right="0" w:hanging="144"/>
              <w:rPr>
                <w:color w:val="000000"/>
              </w:rPr>
            </w:pPr>
            <w:r>
              <w:rPr>
                <w:color w:val="000000"/>
              </w:rPr>
              <w:t>Mortgage loan servicing, net</w:t>
            </w:r>
          </w:p>
        </w:tc>
        <w:tc>
          <w:tcPr>
            <w:tcW w:w="60"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09" w:type="dxa"/>
            <w:tcBorders/>
            <w:shd w:fill="FFFFFF" w:val="clear"/>
            <w:vAlign w:val="bottom"/>
          </w:tcPr>
          <w:p>
            <w:pPr>
              <w:pStyle w:val="TableContents"/>
              <w:spacing w:before="0" w:after="0"/>
              <w:jc w:val="right"/>
              <w:rPr>
                <w:color w:val="000000"/>
              </w:rPr>
            </w:pPr>
            <w:r>
              <w:rPr>
                <w:color w:val="000000"/>
              </w:rPr>
              <w:t>(1,907</w:t>
            </w:r>
          </w:p>
        </w:tc>
        <w:tc>
          <w:tcPr>
            <w:tcW w:w="106" w:type="dxa"/>
            <w:tcBorders/>
            <w:shd w:fill="FFFFFF" w:val="clear"/>
            <w:vAlign w:val="bottom"/>
          </w:tcPr>
          <w:p>
            <w:pPr>
              <w:pStyle w:val="TableContents"/>
              <w:spacing w:before="0" w:after="0"/>
              <w:rPr>
                <w:color w:val="000000"/>
              </w:rPr>
            </w:pPr>
            <w:r>
              <w:rPr>
                <w:color w:val="000000"/>
              </w:rPr>
              <w:t>)</w:t>
            </w:r>
          </w:p>
        </w:tc>
        <w:tc>
          <w:tcPr>
            <w:tcW w:w="67"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59" w:type="dxa"/>
            <w:tcBorders/>
            <w:shd w:fill="FFFFFF" w:val="clear"/>
            <w:vAlign w:val="bottom"/>
          </w:tcPr>
          <w:p>
            <w:pPr>
              <w:pStyle w:val="TableContents"/>
              <w:spacing w:before="0" w:after="0"/>
              <w:jc w:val="right"/>
              <w:rPr>
                <w:color w:val="000000"/>
              </w:rPr>
            </w:pPr>
            <w:r>
              <w:rPr>
                <w:color w:val="000000"/>
              </w:rPr>
              <w:t>1,235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(3,122</w:t>
            </w:r>
          </w:p>
        </w:tc>
        <w:tc>
          <w:tcPr>
            <w:tcW w:w="95" w:type="dxa"/>
            <w:tcBorders/>
            <w:shd w:fill="FFFFFF" w:val="clear"/>
            <w:vAlign w:val="bottom"/>
          </w:tcPr>
          <w:p>
            <w:pPr>
              <w:pStyle w:val="TableContents"/>
              <w:spacing w:before="0" w:after="0"/>
              <w:rPr>
                <w:color w:val="000000"/>
              </w:rPr>
            </w:pPr>
            <w:r>
              <w:rPr>
                <w:color w:val="000000"/>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3,456</w:t>
            </w:r>
          </w:p>
        </w:tc>
        <w:tc>
          <w:tcPr>
            <w:tcW w:w="95" w:type="dxa"/>
            <w:tcBorders/>
            <w:shd w:fill="FFFFFF" w:val="clear"/>
            <w:vAlign w:val="bottom"/>
          </w:tcPr>
          <w:p>
            <w:pPr>
              <w:pStyle w:val="TableContents"/>
              <w:spacing w:before="0" w:after="283"/>
              <w:rPr/>
            </w:pPr>
            <w:r>
              <w:rPr/>
              <w:t> </w:t>
            </w:r>
          </w:p>
        </w:tc>
      </w:tr>
      <w:tr>
        <w:trPr/>
        <w:tc>
          <w:tcPr>
            <w:tcW w:w="3695" w:type="dxa"/>
            <w:tcBorders/>
            <w:shd w:fill="CCEEFF" w:val="clear"/>
            <w:vAlign w:val="bottom"/>
          </w:tcPr>
          <w:p>
            <w:pPr>
              <w:pStyle w:val="TableContents"/>
              <w:spacing w:before="0" w:after="0"/>
              <w:ind w:left="144" w:right="0" w:hanging="144"/>
              <w:rPr>
                <w:color w:val="000000"/>
              </w:rPr>
            </w:pPr>
            <w:r>
              <w:rPr>
                <w:color w:val="000000"/>
              </w:rPr>
              <w:t>Investment and insurance commissions</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0"/>
              <w:jc w:val="right"/>
              <w:rPr>
                <w:color w:val="000000"/>
              </w:rPr>
            </w:pPr>
            <w:r>
              <w:rPr>
                <w:color w:val="000000"/>
              </w:rPr>
              <w:t>450</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0"/>
              <w:jc w:val="right"/>
              <w:rPr>
                <w:color w:val="000000"/>
              </w:rPr>
            </w:pPr>
            <w:r>
              <w:rPr>
                <w:color w:val="000000"/>
              </w:rPr>
              <w:t>483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747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921</w:t>
            </w:r>
          </w:p>
        </w:tc>
        <w:tc>
          <w:tcPr>
            <w:tcW w:w="95" w:type="dxa"/>
            <w:tcBorders/>
            <w:shd w:fill="CCEEFF" w:val="clear"/>
            <w:vAlign w:val="bottom"/>
          </w:tcPr>
          <w:p>
            <w:pPr>
              <w:pStyle w:val="TableContents"/>
              <w:spacing w:before="0" w:after="283"/>
              <w:rPr/>
            </w:pPr>
            <w:r>
              <w:rPr/>
              <w:t> </w:t>
            </w:r>
          </w:p>
        </w:tc>
      </w:tr>
      <w:tr>
        <w:trPr/>
        <w:tc>
          <w:tcPr>
            <w:tcW w:w="3695" w:type="dxa"/>
            <w:tcBorders/>
            <w:shd w:fill="FFFFFF" w:val="clear"/>
            <w:vAlign w:val="bottom"/>
          </w:tcPr>
          <w:p>
            <w:pPr>
              <w:pStyle w:val="TableContents"/>
              <w:spacing w:before="0" w:after="0"/>
              <w:ind w:left="144" w:right="0" w:hanging="144"/>
              <w:rPr>
                <w:color w:val="000000"/>
              </w:rPr>
            </w:pPr>
            <w:r>
              <w:rPr>
                <w:color w:val="000000"/>
              </w:rPr>
              <w:t>Bank owned life insurance</w:t>
            </w:r>
          </w:p>
        </w:tc>
        <w:tc>
          <w:tcPr>
            <w:tcW w:w="60"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09" w:type="dxa"/>
            <w:tcBorders/>
            <w:shd w:fill="FFFFFF" w:val="clear"/>
            <w:vAlign w:val="bottom"/>
          </w:tcPr>
          <w:p>
            <w:pPr>
              <w:pStyle w:val="TableContents"/>
              <w:spacing w:before="0" w:after="0"/>
              <w:jc w:val="right"/>
              <w:rPr>
                <w:color w:val="000000"/>
              </w:rPr>
            </w:pPr>
            <w:r>
              <w:rPr>
                <w:color w:val="000000"/>
              </w:rPr>
              <w:t>270</w:t>
            </w:r>
          </w:p>
        </w:tc>
        <w:tc>
          <w:tcPr>
            <w:tcW w:w="106"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759" w:type="dxa"/>
            <w:tcBorders/>
            <w:shd w:fill="FFFFFF" w:val="clear"/>
            <w:vAlign w:val="bottom"/>
          </w:tcPr>
          <w:p>
            <w:pPr>
              <w:pStyle w:val="TableContents"/>
              <w:spacing w:before="0" w:after="0"/>
              <w:jc w:val="right"/>
              <w:rPr>
                <w:color w:val="000000"/>
              </w:rPr>
            </w:pPr>
            <w:r>
              <w:rPr>
                <w:color w:val="000000"/>
              </w:rPr>
              <w:t>220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512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476</w:t>
            </w:r>
          </w:p>
        </w:tc>
        <w:tc>
          <w:tcPr>
            <w:tcW w:w="95" w:type="dxa"/>
            <w:tcBorders/>
            <w:shd w:fill="FFFFFF" w:val="clear"/>
            <w:vAlign w:val="bottom"/>
          </w:tcPr>
          <w:p>
            <w:pPr>
              <w:pStyle w:val="TableContents"/>
              <w:spacing w:before="0" w:after="283"/>
              <w:rPr/>
            </w:pPr>
            <w:r>
              <w:rPr/>
              <w:t> </w:t>
            </w:r>
          </w:p>
        </w:tc>
      </w:tr>
      <w:tr>
        <w:trPr/>
        <w:tc>
          <w:tcPr>
            <w:tcW w:w="3695" w:type="dxa"/>
            <w:tcBorders/>
            <w:shd w:fill="CCEEFF" w:val="clear"/>
            <w:vAlign w:val="bottom"/>
          </w:tcPr>
          <w:p>
            <w:pPr>
              <w:pStyle w:val="TableContents"/>
              <w:spacing w:before="0" w:after="0"/>
              <w:ind w:left="144" w:right="0" w:hanging="144"/>
              <w:rPr>
                <w:color w:val="000000"/>
              </w:rPr>
            </w:pPr>
            <w:r>
              <w:rPr>
                <w:color w:val="000000"/>
              </w:rPr>
              <w:t>Other</w:t>
            </w:r>
          </w:p>
        </w:tc>
        <w:tc>
          <w:tcPr>
            <w:tcW w:w="60"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0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1,386</w:t>
            </w:r>
          </w:p>
        </w:tc>
        <w:tc>
          <w:tcPr>
            <w:tcW w:w="106"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5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1,514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3,111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2,763</w:t>
            </w:r>
          </w:p>
        </w:tc>
        <w:tc>
          <w:tcPr>
            <w:tcW w:w="95" w:type="dxa"/>
            <w:tcBorders/>
            <w:shd w:fill="CCEEFF" w:val="clear"/>
            <w:vAlign w:val="bottom"/>
          </w:tcPr>
          <w:p>
            <w:pPr>
              <w:pStyle w:val="TableContents"/>
              <w:spacing w:before="0" w:after="283"/>
              <w:rPr/>
            </w:pPr>
            <w:r>
              <w:rPr/>
              <w:t> </w:t>
            </w:r>
          </w:p>
        </w:tc>
      </w:tr>
      <w:tr>
        <w:trPr/>
        <w:tc>
          <w:tcPr>
            <w:tcW w:w="3695" w:type="dxa"/>
            <w:tcBorders/>
            <w:shd w:fill="FFFFFF" w:val="clear"/>
            <w:vAlign w:val="bottom"/>
          </w:tcPr>
          <w:p>
            <w:pPr>
              <w:pStyle w:val="TableContents"/>
              <w:spacing w:before="0" w:after="0"/>
              <w:ind w:left="504" w:right="0" w:hanging="144"/>
              <w:rPr>
                <w:color w:val="000000"/>
              </w:rPr>
            </w:pPr>
            <w:r>
              <w:rPr>
                <w:color w:val="000000"/>
              </w:rPr>
              <w:t>Total non-interest income</w:t>
            </w:r>
          </w:p>
        </w:tc>
        <w:tc>
          <w:tcPr>
            <w:tcW w:w="60" w:type="dxa"/>
            <w:tcBorders/>
            <w:shd w:fill="FFFFFF" w:val="clear"/>
            <w:vAlign w:val="bottom"/>
          </w:tcPr>
          <w:p>
            <w:pPr>
              <w:pStyle w:val="TableContents"/>
              <w:spacing w:before="0" w:after="283"/>
              <w:rPr/>
            </w:pPr>
            <w:r>
              <w:rPr/>
              <w:t> </w:t>
            </w:r>
          </w:p>
        </w:tc>
        <w:tc>
          <w:tcPr>
            <w:tcW w:w="156"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709"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9,905</w:t>
            </w:r>
          </w:p>
        </w:tc>
        <w:tc>
          <w:tcPr>
            <w:tcW w:w="106" w:type="dxa"/>
            <w:tcBorders/>
            <w:shd w:fill="FFFFFF" w:val="clear"/>
            <w:vAlign w:val="bottom"/>
          </w:tcPr>
          <w:p>
            <w:pPr>
              <w:pStyle w:val="TableContents"/>
              <w:spacing w:before="0" w:after="283"/>
              <w:rPr/>
            </w:pPr>
            <w:r>
              <w:rPr/>
              <w:t> </w:t>
            </w:r>
          </w:p>
        </w:tc>
        <w:tc>
          <w:tcPr>
            <w:tcW w:w="67" w:type="dxa"/>
            <w:tcBorders/>
            <w:shd w:fill="FFFFFF" w:val="clear"/>
            <w:vAlign w:val="bottom"/>
          </w:tcPr>
          <w:p>
            <w:pPr>
              <w:pStyle w:val="TableContents"/>
              <w:spacing w:before="0" w:after="283"/>
              <w:rPr/>
            </w:pPr>
            <w:r>
              <w:rPr/>
              <w:t> </w:t>
            </w:r>
          </w:p>
        </w:tc>
        <w:tc>
          <w:tcPr>
            <w:tcW w:w="156"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759"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12,315</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19,864</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24,028</w:t>
            </w:r>
          </w:p>
        </w:tc>
        <w:tc>
          <w:tcPr>
            <w:tcW w:w="9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Service charges on deposit accounts decreased on both a comparative quarterly and year-to-date basis in 2019 as compared to 2018.  These decreases were principally due to lower service charges on commercial accounts and a decrease in non-sufficient funds occurrences.</w:t>
      </w:r>
    </w:p>
    <w:p>
      <w:pPr>
        <w:pStyle w:val="TextBody"/>
        <w:spacing w:before="0" w:after="0"/>
        <w:rPr/>
      </w:pPr>
      <w:r>
        <w:rPr/>
      </w:r>
    </w:p>
    <w:p>
      <w:pPr>
        <w:pStyle w:val="TextBody"/>
        <w:spacing w:before="0" w:after="0"/>
        <w:jc w:val="both"/>
        <w:rPr/>
      </w:pPr>
      <w:r>
        <w:rPr/>
        <w:t>Interchange income increased on both a comparative quarterly and year-to-date basis in 2019 as compared to 2018 due primarily to an increase in debit card transaction volume.</w:t>
      </w:r>
    </w:p>
    <w:p>
      <w:pPr>
        <w:pStyle w:val="TextBody"/>
        <w:spacing w:before="0" w:after="0"/>
        <w:rPr/>
      </w:pPr>
      <w:r>
        <w:rPr/>
      </w:r>
    </w:p>
    <w:p>
      <w:pPr>
        <w:pStyle w:val="TextBody"/>
        <w:spacing w:before="0" w:after="0"/>
        <w:jc w:val="both"/>
        <w:rPr/>
      </w:pPr>
      <w:r>
        <w:rPr/>
        <w:t>Net gains on mortgage loans increased from 2018 on both a quarterly and a year to date basis. Mortgage loan activity is summarized as follows:</w:t>
      </w:r>
    </w:p>
    <w:p>
      <w:pPr>
        <w:pStyle w:val="TextBody"/>
        <w:spacing w:before="0" w:after="0"/>
        <w:rPr/>
      </w:pPr>
      <w:r>
        <w:rPr/>
      </w:r>
    </w:p>
    <w:p>
      <w:pPr>
        <w:pStyle w:val="TextBody"/>
        <w:spacing w:before="0" w:after="0"/>
        <w:rPr>
          <w:b/>
          <w:color w:val="000000"/>
        </w:rPr>
      </w:pPr>
      <w:r>
        <w:rPr>
          <w:b/>
          <w:color w:val="000000"/>
        </w:rPr>
        <w:t>Mortgage Loan Activity</w:t>
      </w:r>
    </w:p>
    <w:p>
      <w:pPr>
        <w:pStyle w:val="Normal"/>
        <w:spacing w:before="0" w:after="0"/>
        <w:rPr>
          <w:sz w:val="4"/>
          <w:szCs w:val="4"/>
        </w:rPr>
      </w:pPr>
      <w:r>
        <w:rPr>
          <w:sz w:val="4"/>
          <w:szCs w:val="4"/>
        </w:rPr>
      </w:r>
      <w:bookmarkStart w:id="726" w:name="zc481720bcd2c4a618b75e55ba45ed231"/>
      <w:bookmarkStart w:id="727" w:name="zc481720bcd2c4a618b75e55ba45ed231"/>
      <w:bookmarkEnd w:id="727"/>
    </w:p>
    <w:tbl>
      <w:tblPr>
        <w:tblW w:w="10205" w:type="dxa"/>
        <w:jc w:val="left"/>
        <w:tblInd w:w="0" w:type="dxa"/>
        <w:tblCellMar>
          <w:top w:w="0" w:type="dxa"/>
          <w:left w:w="0" w:type="dxa"/>
          <w:bottom w:w="0" w:type="dxa"/>
          <w:right w:w="0" w:type="dxa"/>
        </w:tblCellMar>
      </w:tblPr>
      <w:tblGrid>
        <w:gridCol w:w="5345"/>
        <w:gridCol w:w="60"/>
        <w:gridCol w:w="140"/>
        <w:gridCol w:w="800"/>
        <w:gridCol w:w="215"/>
        <w:gridCol w:w="60"/>
        <w:gridCol w:w="140"/>
        <w:gridCol w:w="800"/>
        <w:gridCol w:w="215"/>
        <w:gridCol w:w="60"/>
        <w:gridCol w:w="140"/>
        <w:gridCol w:w="800"/>
        <w:gridCol w:w="215"/>
        <w:gridCol w:w="60"/>
        <w:gridCol w:w="140"/>
        <w:gridCol w:w="800"/>
        <w:gridCol w:w="215"/>
      </w:tblGrid>
      <w:tr>
        <w:trPr/>
        <w:tc>
          <w:tcPr>
            <w:tcW w:w="534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2155" w:type="dxa"/>
            <w:gridSpan w:val="6"/>
            <w:tcBorders/>
            <w:shd w:fill="auto" w:val="cle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5" w:type="dxa"/>
            <w:gridSpan w:val="6"/>
            <w:tcBorders/>
            <w:shd w:fill="auto" w:val="cle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215" w:type="dxa"/>
            <w:tcBorders/>
            <w:shd w:fill="auto" w:val="clear"/>
            <w:vAlign w:val="bottom"/>
          </w:tcPr>
          <w:p>
            <w:pPr>
              <w:pStyle w:val="TableContents"/>
              <w:spacing w:before="0" w:after="283"/>
              <w:rPr/>
            </w:pPr>
            <w:r>
              <w:rPr/>
              <w:t> </w:t>
            </w:r>
          </w:p>
        </w:tc>
      </w:tr>
      <w:tr>
        <w:trPr/>
        <w:tc>
          <w:tcPr>
            <w:tcW w:w="53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215" w:type="dxa"/>
            <w:tcBorders/>
            <w:shd w:fill="auto" w:val="clear"/>
            <w:vAlign w:val="bottom"/>
          </w:tcPr>
          <w:p>
            <w:pPr>
              <w:pStyle w:val="TableContents"/>
              <w:spacing w:before="0" w:after="283"/>
              <w:rPr/>
            </w:pPr>
            <w:r>
              <w:rPr/>
              <w:t> </w:t>
            </w:r>
          </w:p>
        </w:tc>
      </w:tr>
      <w:tr>
        <w:trPr/>
        <w:tc>
          <w:tcPr>
            <w:tcW w:w="53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85" w:type="dxa"/>
            <w:gridSpan w:val="14"/>
            <w:tcBorders/>
            <w:shd w:fill="auto" w:val="clear"/>
            <w:vAlign w:val="bottom"/>
          </w:tcPr>
          <w:p>
            <w:pPr>
              <w:pStyle w:val="TableContents"/>
              <w:spacing w:before="0" w:after="0"/>
              <w:jc w:val="center"/>
              <w:rPr/>
            </w:pPr>
            <w:r>
              <w:rPr/>
              <w:t>(Dollars in thousands)</w:t>
            </w:r>
          </w:p>
        </w:tc>
        <w:tc>
          <w:tcPr>
            <w:tcW w:w="215" w:type="dxa"/>
            <w:tcBorders/>
            <w:shd w:fill="auto" w:val="clear"/>
            <w:vAlign w:val="bottom"/>
          </w:tcPr>
          <w:p>
            <w:pPr>
              <w:pStyle w:val="TableContents"/>
              <w:spacing w:before="0" w:after="283"/>
              <w:rPr/>
            </w:pPr>
            <w:r>
              <w:rPr/>
              <w:t> </w:t>
            </w:r>
          </w:p>
        </w:tc>
      </w:tr>
      <w:tr>
        <w:trPr/>
        <w:tc>
          <w:tcPr>
            <w:tcW w:w="5345" w:type="dxa"/>
            <w:tcBorders/>
            <w:shd w:fill="CCEEFF" w:val="clear"/>
            <w:vAlign w:val="bottom"/>
          </w:tcPr>
          <w:p>
            <w:pPr>
              <w:pStyle w:val="TableContents"/>
              <w:spacing w:before="0" w:after="0"/>
              <w:ind w:left="144" w:right="0" w:hanging="144"/>
              <w:rPr/>
            </w:pPr>
            <w:r>
              <w:rPr/>
              <w:t>Mortgage loans originated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241,402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226,264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379,160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385,231</w:t>
            </w:r>
          </w:p>
        </w:tc>
        <w:tc>
          <w:tcPr>
            <w:tcW w:w="215" w:type="dxa"/>
            <w:tcBorders/>
            <w:shd w:fill="CCEEFF" w:val="clear"/>
            <w:vAlign w:val="bottom"/>
          </w:tcPr>
          <w:p>
            <w:pPr>
              <w:pStyle w:val="TableContents"/>
              <w:spacing w:before="0" w:after="283"/>
              <w:rPr/>
            </w:pPr>
            <w:r>
              <w:rPr/>
              <w:t> </w:t>
            </w:r>
          </w:p>
        </w:tc>
      </w:tr>
      <w:tr>
        <w:trPr/>
        <w:tc>
          <w:tcPr>
            <w:tcW w:w="5345" w:type="dxa"/>
            <w:tcBorders/>
            <w:shd w:fill="FFFFFF" w:val="clear"/>
            <w:vAlign w:val="bottom"/>
          </w:tcPr>
          <w:p>
            <w:pPr>
              <w:pStyle w:val="TableContents"/>
              <w:spacing w:before="0" w:after="0"/>
              <w:ind w:left="144" w:right="0" w:hanging="144"/>
              <w:rPr/>
            </w:pPr>
            <w:r>
              <w:rPr/>
              <w:t>Mortgage loans sold</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131,636</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115,299</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286,161</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221,642</w:t>
            </w:r>
          </w:p>
        </w:tc>
        <w:tc>
          <w:tcPr>
            <w:tcW w:w="215" w:type="dxa"/>
            <w:tcBorders/>
            <w:shd w:fill="FFFFFF" w:val="clear"/>
            <w:vAlign w:val="bottom"/>
          </w:tcPr>
          <w:p>
            <w:pPr>
              <w:pStyle w:val="TableContents"/>
              <w:spacing w:before="0" w:after="283"/>
              <w:rPr/>
            </w:pPr>
            <w:r>
              <w:rPr/>
              <w:t> </w:t>
            </w:r>
          </w:p>
        </w:tc>
      </w:tr>
      <w:tr>
        <w:trPr/>
        <w:tc>
          <w:tcPr>
            <w:tcW w:w="5345" w:type="dxa"/>
            <w:tcBorders/>
            <w:shd w:fill="CCEEFF" w:val="clear"/>
            <w:vAlign w:val="bottom"/>
          </w:tcPr>
          <w:p>
            <w:pPr>
              <w:pStyle w:val="TableContents"/>
              <w:spacing w:before="0" w:after="0"/>
              <w:ind w:left="144" w:right="0" w:hanging="144"/>
              <w:rPr/>
            </w:pPr>
            <w:r>
              <w:rPr/>
              <w:t>Net gains on mortgage loans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4,302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3,255</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7,913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5,826</w:t>
            </w:r>
          </w:p>
        </w:tc>
        <w:tc>
          <w:tcPr>
            <w:tcW w:w="215" w:type="dxa"/>
            <w:tcBorders/>
            <w:shd w:fill="CCEEFF" w:val="clear"/>
            <w:vAlign w:val="bottom"/>
          </w:tcPr>
          <w:p>
            <w:pPr>
              <w:pStyle w:val="TableContents"/>
              <w:spacing w:before="0" w:after="283"/>
              <w:rPr/>
            </w:pPr>
            <w:r>
              <w:rPr/>
              <w:t> </w:t>
            </w:r>
          </w:p>
        </w:tc>
      </w:tr>
      <w:tr>
        <w:trPr/>
        <w:tc>
          <w:tcPr>
            <w:tcW w:w="5345" w:type="dxa"/>
            <w:tcBorders/>
            <w:shd w:fill="FFFFFF" w:val="clear"/>
            <w:vAlign w:val="bottom"/>
          </w:tcPr>
          <w:p>
            <w:pPr>
              <w:pStyle w:val="TableContents"/>
              <w:spacing w:before="0" w:after="0"/>
              <w:rPr/>
            </w:pPr>
            <w:r>
              <w:rPr/>
              <w:t>Net gains as a percent of mortgage loans sold (“Loan Sales Margin”)</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3.27</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2.82</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2.77</w:t>
            </w:r>
          </w:p>
        </w:tc>
        <w:tc>
          <w:tcPr>
            <w:tcW w:w="21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2.63</w:t>
            </w:r>
          </w:p>
        </w:tc>
        <w:tc>
          <w:tcPr>
            <w:tcW w:w="215" w:type="dxa"/>
            <w:tcBorders/>
            <w:shd w:fill="FFFFFF" w:val="clear"/>
            <w:vAlign w:val="bottom"/>
          </w:tcPr>
          <w:p>
            <w:pPr>
              <w:pStyle w:val="TableContents"/>
              <w:spacing w:before="0" w:after="0"/>
              <w:rPr/>
            </w:pPr>
            <w:r>
              <w:rPr/>
              <w:t>%</w:t>
            </w:r>
          </w:p>
        </w:tc>
      </w:tr>
      <w:tr>
        <w:trPr/>
        <w:tc>
          <w:tcPr>
            <w:tcW w:w="5345" w:type="dxa"/>
            <w:tcBorders/>
            <w:shd w:fill="CCEEFF" w:val="clear"/>
            <w:vAlign w:val="bottom"/>
          </w:tcPr>
          <w:p>
            <w:pPr>
              <w:pStyle w:val="TableContents"/>
              <w:spacing w:before="0" w:after="0"/>
              <w:rPr/>
            </w:pPr>
            <w:r>
              <w:rPr/>
              <w:t>Fair value adjustments included in the Loan Sales Margin</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0.74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0.57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0.66</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0.35</w:t>
            </w:r>
          </w:p>
        </w:tc>
        <w:tc>
          <w:tcPr>
            <w:tcW w:w="215" w:type="dxa"/>
            <w:tcBorders/>
            <w:shd w:fill="CCEE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The quarterly comparative increase in mortgage loans originated is due primarily to lower interest rates in the second quarter of 2019 which have begun to increase refinance volumes.  On a year-to-date comparative basis, mortgage loans originated were relatively unchanged. Mortgage loans sold increased due to a higher mix of salable loans in our origination volumes and some portfolio mortgage loan sales that were completed during the first quarter of 2019. Net gains on mortgage loans also increased in 2019 as compared to 2018 due to fair value adjustments as discussed below.</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28" w:name="DSPFPageBreakArea70"/>
      <w:bookmarkStart w:id="729" w:name="DSPFPageBreakArea70"/>
      <w:bookmarkEnd w:id="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30" w:name="DSPFPageNumber70"/>
      <w:bookmarkStart w:id="731" w:name="DSPFPageNumberArea69"/>
      <w:bookmarkEnd w:id="730"/>
      <w:bookmarkEnd w:id="731"/>
      <w:r>
        <w:rPr>
          <w:b w:val="false"/>
          <w:i w:val="false"/>
          <w:caps w:val="false"/>
          <w:smallCaps w:val="false"/>
          <w:sz w:val="13"/>
        </w:rPr>
        <w:t>71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2" w:name="DSPFPageBreak70"/>
      <w:bookmarkStart w:id="733" w:name="DSPFPageBreak70"/>
      <w:bookmarkEnd w:id="7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34" w:name="DSPFPageHeader69"/>
        <w:bookmarkEnd w:id="734"/>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pStyle w:val="TextBody"/>
        <w:spacing w:before="0" w:after="0"/>
        <w:rPr/>
      </w:pPr>
      <w:r>
        <w:rPr/>
      </w:r>
    </w:p>
    <w:p>
      <w:pPr>
        <w:pStyle w:val="TextBody"/>
        <w:spacing w:before="0" w:after="0"/>
        <w:jc w:val="both"/>
        <w:rPr/>
      </w:pPr>
      <w:r>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2.53% and 2.25% in the second quarters of 2019 and 2018, respectively and 2.11% and 2.28% for the comparative 2019 and 2018 year-to-date periods, respectively.  The increase in the Loan Sales Margin (excluding fair value adjustments) in the second quarter of 2019 was generally due to a widening of primary-to-secondary market pricing spreads as market interest rates fell during this period.  The lower Loan Sales Margin (excluding fair value adjustments) for the first six months of 2019, primarily reflects the impact of some portfolio mortgage loan sales in the first quarter of 2019 that were executed at lower pricing spreads. The changes in the fair value accounting adjustments are primarily due to changes in the amount of commitments to originate mortgage loans for sale.</w:t>
      </w:r>
    </w:p>
    <w:p>
      <w:pPr>
        <w:pStyle w:val="TextBody"/>
        <w:spacing w:before="0" w:after="0"/>
        <w:rPr/>
      </w:pPr>
      <w:r>
        <w:rPr/>
      </w:r>
    </w:p>
    <w:p>
      <w:pPr>
        <w:pStyle w:val="TextBody"/>
        <w:spacing w:before="0" w:after="0"/>
        <w:jc w:val="both"/>
        <w:rPr/>
      </w:pPr>
      <w:r>
        <w:rPr/>
        <w:t>Net gains (losses) on securities were relatively nominal for the comparative quarterly periods.  We recorded a net gain of $0.3 million and a net loss of $0.2 million on securities for the first six months of 2019 and 2018, respectively.  We recorded no net impairment losses in either 2019 or 2018 for other than temporary impairment of securities available for sale.  See “Securities” below and note #3 to the Condensed Consolidated Financial Statements.</w:t>
      </w:r>
    </w:p>
    <w:p>
      <w:pPr>
        <w:pStyle w:val="TextBody"/>
        <w:spacing w:before="0" w:after="0"/>
        <w:rPr/>
      </w:pPr>
      <w:r>
        <w:rPr/>
      </w:r>
    </w:p>
    <w:p>
      <w:pPr>
        <w:pStyle w:val="TextBody"/>
        <w:spacing w:before="0" w:after="0"/>
        <w:jc w:val="both"/>
        <w:rPr/>
      </w:pPr>
      <w:r>
        <w:rPr/>
        <w:t>Mortgage loan servicing, net, generated a loss of $1.9 million and income of $1.2 million in the second quarters of 2019 and 2018, respectively. For the first six months of 2019, mortgage loan servicing, net, generated a loss of $3.1 million as compared to income of $3.5 million for the comparable period in 2018. The significant variances in mortgage loan servicing, net are primarily due to changes in the fair value of capitalized mortgage loan servicing rights associated with changes in mortgage loan interest rates (a decline in 2019 as compared to an increase in 2018) and expected future prepayment levels. Mortgage loan servicing, net activity is summarized in the following table:</w:t>
      </w:r>
    </w:p>
    <w:p>
      <w:pPr>
        <w:pStyle w:val="TextBody"/>
        <w:spacing w:before="0" w:after="0"/>
        <w:rPr/>
      </w:pPr>
      <w:r>
        <w:rPr/>
      </w:r>
    </w:p>
    <w:p>
      <w:pPr>
        <w:pStyle w:val="Normal"/>
        <w:spacing w:before="0" w:after="0"/>
        <w:rPr>
          <w:sz w:val="4"/>
          <w:szCs w:val="4"/>
        </w:rPr>
      </w:pPr>
      <w:r>
        <w:rPr>
          <w:sz w:val="4"/>
          <w:szCs w:val="4"/>
        </w:rPr>
      </w:r>
      <w:bookmarkStart w:id="735" w:name="z756f351b33ee4981b42a47d25190ee4d"/>
      <w:bookmarkStart w:id="736" w:name="z756f351b33ee4981b42a47d25190ee4d"/>
      <w:bookmarkEnd w:id="736"/>
    </w:p>
    <w:tbl>
      <w:tblPr>
        <w:tblW w:w="7577" w:type="dxa"/>
        <w:jc w:val="left"/>
        <w:tblInd w:w="0" w:type="dxa"/>
        <w:tblCellMar>
          <w:top w:w="0" w:type="dxa"/>
          <w:left w:w="0" w:type="dxa"/>
          <w:bottom w:w="0" w:type="dxa"/>
          <w:right w:w="0" w:type="dxa"/>
        </w:tblCellMar>
      </w:tblPr>
      <w:tblGrid>
        <w:gridCol w:w="3455"/>
        <w:gridCol w:w="60"/>
        <w:gridCol w:w="174"/>
        <w:gridCol w:w="790"/>
        <w:gridCol w:w="118"/>
        <w:gridCol w:w="74"/>
        <w:gridCol w:w="174"/>
        <w:gridCol w:w="697"/>
        <w:gridCol w:w="95"/>
        <w:gridCol w:w="60"/>
        <w:gridCol w:w="146"/>
        <w:gridCol w:w="666"/>
        <w:gridCol w:w="99"/>
        <w:gridCol w:w="62"/>
        <w:gridCol w:w="146"/>
        <w:gridCol w:w="666"/>
        <w:gridCol w:w="95"/>
      </w:tblGrid>
      <w:tr>
        <w:trPr/>
        <w:tc>
          <w:tcPr>
            <w:tcW w:w="345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2027" w:type="dxa"/>
            <w:gridSpan w:val="6"/>
            <w:tcBorders>
              <w:bottom w:val="single" w:sz="12" w:space="0" w:color="000000"/>
            </w:tcBorders>
            <w:shd w:fill="auto" w:val="clear"/>
            <w:tcMar>
              <w:bottom w:w="28" w:type="dxa"/>
            </w:tcM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9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785" w:type="dxa"/>
            <w:gridSpan w:val="6"/>
            <w:tcBorders>
              <w:bottom w:val="single" w:sz="12" w:space="0" w:color="000000"/>
            </w:tcBorders>
            <w:shd w:fill="auto" w:val="clear"/>
            <w:tcMar>
              <w:bottom w:w="28" w:type="dxa"/>
            </w:tcM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95" w:type="dxa"/>
            <w:tcBorders/>
            <w:shd w:fill="auto" w:val="clear"/>
            <w:vAlign w:val="bottom"/>
          </w:tcPr>
          <w:p>
            <w:pPr>
              <w:pStyle w:val="TableContents"/>
              <w:spacing w:before="0" w:after="283"/>
              <w:rPr/>
            </w:pPr>
            <w:r>
              <w:rPr/>
              <w:t> </w:t>
            </w:r>
          </w:p>
        </w:tc>
      </w:tr>
      <w:tr>
        <w:trPr/>
        <w:tc>
          <w:tcPr>
            <w:tcW w:w="34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4"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118" w:type="dxa"/>
            <w:tcBorders>
              <w:bottom w:val="single" w:sz="12" w:space="0" w:color="000000"/>
            </w:tcBorders>
            <w:shd w:fill="auto" w:val="clear"/>
            <w:tcMar>
              <w:bottom w:w="28" w:type="dxa"/>
            </w:tcMar>
            <w:vAlign w:val="bottom"/>
          </w:tcPr>
          <w:p>
            <w:pPr>
              <w:pStyle w:val="TableContents"/>
              <w:spacing w:before="0" w:after="283"/>
              <w:rPr/>
            </w:pPr>
            <w:r>
              <w:rPr/>
              <w:t> </w:t>
            </w:r>
          </w:p>
        </w:tc>
        <w:tc>
          <w:tcPr>
            <w:tcW w:w="74" w:type="dxa"/>
            <w:tcBorders>
              <w:bottom w:val="single" w:sz="12" w:space="0" w:color="000000"/>
            </w:tcBorders>
            <w:shd w:fill="auto" w:val="clear"/>
            <w:tcMar>
              <w:bottom w:w="28" w:type="dxa"/>
            </w:tcMar>
            <w:vAlign w:val="bottom"/>
          </w:tcPr>
          <w:p>
            <w:pPr>
              <w:pStyle w:val="TableContents"/>
              <w:spacing w:before="0" w:after="283"/>
              <w:rPr/>
            </w:pPr>
            <w:r>
              <w:rPr/>
              <w:t> </w:t>
            </w:r>
          </w:p>
        </w:tc>
        <w:tc>
          <w:tcPr>
            <w:tcW w:w="871"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9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12"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99" w:type="dxa"/>
            <w:tcBorders>
              <w:bottom w:val="single" w:sz="12" w:space="0" w:color="000000"/>
            </w:tcBorders>
            <w:shd w:fill="auto" w:val="clear"/>
            <w:tcMar>
              <w:bottom w:w="28" w:type="dxa"/>
            </w:tcMar>
            <w:vAlign w:val="bottom"/>
          </w:tcPr>
          <w:p>
            <w:pPr>
              <w:pStyle w:val="TableContents"/>
              <w:spacing w:before="0" w:after="283"/>
              <w:rPr/>
            </w:pPr>
            <w:r>
              <w:rPr/>
              <w:t> </w:t>
            </w:r>
          </w:p>
        </w:tc>
        <w:tc>
          <w:tcPr>
            <w:tcW w:w="62" w:type="dxa"/>
            <w:tcBorders>
              <w:bottom w:val="single" w:sz="12" w:space="0" w:color="000000"/>
            </w:tcBorders>
            <w:shd w:fill="auto" w:val="clear"/>
            <w:tcMar>
              <w:bottom w:w="28" w:type="dxa"/>
            </w:tcMar>
            <w:vAlign w:val="bottom"/>
          </w:tcPr>
          <w:p>
            <w:pPr>
              <w:pStyle w:val="TableContents"/>
              <w:spacing w:before="0" w:after="283"/>
              <w:rPr/>
            </w:pPr>
            <w:r>
              <w:rPr/>
              <w:t> </w:t>
            </w:r>
          </w:p>
        </w:tc>
        <w:tc>
          <w:tcPr>
            <w:tcW w:w="812"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95" w:type="dxa"/>
            <w:tcBorders/>
            <w:shd w:fill="auto" w:val="clear"/>
            <w:vAlign w:val="bottom"/>
          </w:tcPr>
          <w:p>
            <w:pPr>
              <w:pStyle w:val="TableContents"/>
              <w:spacing w:before="0" w:after="283"/>
              <w:rPr/>
            </w:pPr>
            <w:r>
              <w:rPr/>
              <w:t> </w:t>
            </w:r>
          </w:p>
        </w:tc>
      </w:tr>
      <w:tr>
        <w:trPr/>
        <w:tc>
          <w:tcPr>
            <w:tcW w:w="3455" w:type="dxa"/>
            <w:tcBorders/>
            <w:shd w:fill="auto" w:val="clear"/>
            <w:vAlign w:val="bottom"/>
          </w:tcPr>
          <w:p>
            <w:pPr>
              <w:pStyle w:val="TableContents"/>
              <w:spacing w:before="0" w:after="0"/>
              <w:ind w:left="144" w:right="0" w:hanging="144"/>
              <w:rPr/>
            </w:pPr>
            <w:r>
              <w:rPr/>
              <w:t>Mortgage loan servicing, net:</w:t>
            </w:r>
          </w:p>
        </w:tc>
        <w:tc>
          <w:tcPr>
            <w:tcW w:w="60" w:type="dxa"/>
            <w:tcBorders/>
            <w:shd w:fill="auto" w:val="clear"/>
            <w:vAlign w:val="bottom"/>
          </w:tcPr>
          <w:p>
            <w:pPr>
              <w:pStyle w:val="TableContents"/>
              <w:spacing w:before="0" w:after="283"/>
              <w:rPr/>
            </w:pPr>
            <w:r>
              <w:rPr/>
              <w:t> </w:t>
            </w:r>
          </w:p>
        </w:tc>
        <w:tc>
          <w:tcPr>
            <w:tcW w:w="3967" w:type="dxa"/>
            <w:gridSpan w:val="14"/>
            <w:tcBorders/>
            <w:shd w:fill="auto" w:val="clear"/>
            <w:vAlign w:val="bottom"/>
          </w:tcPr>
          <w:p>
            <w:pPr>
              <w:pStyle w:val="TableContents"/>
              <w:spacing w:before="0" w:after="0"/>
              <w:jc w:val="center"/>
              <w:rPr/>
            </w:pPr>
            <w:r>
              <w:rPr/>
              <w:t>(In thousands)</w:t>
            </w:r>
          </w:p>
        </w:tc>
        <w:tc>
          <w:tcPr>
            <w:tcW w:w="95" w:type="dxa"/>
            <w:tcBorders/>
            <w:shd w:fill="auto"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0"/>
              <w:ind w:left="324" w:right="0" w:hanging="144"/>
              <w:rPr/>
            </w:pPr>
            <w:r>
              <w:rPr/>
              <w:t>Revenue, net</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0"/>
              <w:rPr/>
            </w:pPr>
            <w:r>
              <w:rPr/>
              <w:t>$</w:t>
            </w:r>
          </w:p>
        </w:tc>
        <w:tc>
          <w:tcPr>
            <w:tcW w:w="790" w:type="dxa"/>
            <w:tcBorders/>
            <w:shd w:fill="CCEEFF" w:val="clear"/>
            <w:vAlign w:val="bottom"/>
          </w:tcPr>
          <w:p>
            <w:pPr>
              <w:pStyle w:val="TableContents"/>
              <w:spacing w:before="0" w:after="0"/>
              <w:jc w:val="right"/>
              <w:rPr/>
            </w:pPr>
            <w:r>
              <w:rPr/>
              <w:t>1,515</w:t>
            </w:r>
          </w:p>
        </w:tc>
        <w:tc>
          <w:tcPr>
            <w:tcW w:w="11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0"/>
              <w:rPr/>
            </w:pPr>
            <w:r>
              <w:rPr/>
              <w:t>$</w:t>
            </w:r>
          </w:p>
        </w:tc>
        <w:tc>
          <w:tcPr>
            <w:tcW w:w="697" w:type="dxa"/>
            <w:tcBorders/>
            <w:shd w:fill="CCEEFF" w:val="clear"/>
            <w:vAlign w:val="bottom"/>
          </w:tcPr>
          <w:p>
            <w:pPr>
              <w:pStyle w:val="TableContents"/>
              <w:spacing w:before="0" w:after="0"/>
              <w:jc w:val="right"/>
              <w:rPr/>
            </w:pPr>
            <w:r>
              <w:rPr/>
              <w:t>1,372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0"/>
              <w:rPr/>
            </w:pPr>
            <w:r>
              <w:rPr/>
              <w:t>$</w:t>
            </w:r>
          </w:p>
        </w:tc>
        <w:tc>
          <w:tcPr>
            <w:tcW w:w="666" w:type="dxa"/>
            <w:tcBorders/>
            <w:shd w:fill="CCEEFF" w:val="clear"/>
            <w:vAlign w:val="bottom"/>
          </w:tcPr>
          <w:p>
            <w:pPr>
              <w:pStyle w:val="TableContents"/>
              <w:spacing w:before="0" w:after="0"/>
              <w:jc w:val="right"/>
              <w:rPr/>
            </w:pPr>
            <w:r>
              <w:rPr/>
              <w:t>2,991</w:t>
            </w:r>
          </w:p>
        </w:tc>
        <w:tc>
          <w:tcPr>
            <w:tcW w:w="9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0"/>
              <w:rPr/>
            </w:pPr>
            <w:r>
              <w:rPr/>
              <w:t>$</w:t>
            </w:r>
          </w:p>
        </w:tc>
        <w:tc>
          <w:tcPr>
            <w:tcW w:w="666" w:type="dxa"/>
            <w:tcBorders/>
            <w:shd w:fill="CCEEFF" w:val="clear"/>
            <w:vAlign w:val="bottom"/>
          </w:tcPr>
          <w:p>
            <w:pPr>
              <w:pStyle w:val="TableContents"/>
              <w:spacing w:before="0" w:after="0"/>
              <w:jc w:val="right"/>
              <w:rPr/>
            </w:pPr>
            <w:r>
              <w:rPr/>
              <w:t>2,564</w:t>
            </w:r>
          </w:p>
        </w:tc>
        <w:tc>
          <w:tcPr>
            <w:tcW w:w="95"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0"/>
              <w:ind w:left="324" w:right="0" w:hanging="144"/>
              <w:rPr/>
            </w:pPr>
            <w:r>
              <w:rPr/>
              <w:t>Fair value change due to price</w:t>
            </w:r>
          </w:p>
        </w:tc>
        <w:tc>
          <w:tcPr>
            <w:tcW w:w="60"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790" w:type="dxa"/>
            <w:tcBorders/>
            <w:shd w:fill="FFFFFF" w:val="clear"/>
            <w:vAlign w:val="bottom"/>
          </w:tcPr>
          <w:p>
            <w:pPr>
              <w:pStyle w:val="TableContents"/>
              <w:spacing w:before="0" w:after="0"/>
              <w:jc w:val="right"/>
              <w:rPr/>
            </w:pPr>
            <w:r>
              <w:rPr/>
              <w:t>(2,670</w:t>
            </w:r>
          </w:p>
        </w:tc>
        <w:tc>
          <w:tcPr>
            <w:tcW w:w="118" w:type="dxa"/>
            <w:tcBorders/>
            <w:shd w:fill="FFFFFF" w:val="clear"/>
            <w:vAlign w:val="bottom"/>
          </w:tcPr>
          <w:p>
            <w:pPr>
              <w:pStyle w:val="TableContents"/>
              <w:spacing w:before="0" w:after="0"/>
              <w:rPr/>
            </w:pPr>
            <w:r>
              <w:rPr/>
              <w:t>)</w:t>
            </w:r>
          </w:p>
        </w:tc>
        <w:tc>
          <w:tcPr>
            <w:tcW w:w="74" w:type="dxa"/>
            <w:tcBorders/>
            <w:shd w:fill="FFFFFF" w:val="clear"/>
            <w:vAlign w:val="bottom"/>
          </w:tcPr>
          <w:p>
            <w:pPr>
              <w:pStyle w:val="TableContents"/>
              <w:spacing w:before="0" w:after="283"/>
              <w:rPr/>
            </w:pPr>
            <w:r>
              <w:rPr/>
              <w:t> </w:t>
            </w:r>
          </w:p>
        </w:tc>
        <w:tc>
          <w:tcPr>
            <w:tcW w:w="174" w:type="dxa"/>
            <w:tcBorders/>
            <w:shd w:fill="FFFFFF" w:val="clear"/>
            <w:vAlign w:val="bottom"/>
          </w:tcPr>
          <w:p>
            <w:pPr>
              <w:pStyle w:val="TableContents"/>
              <w:spacing w:before="0" w:after="283"/>
              <w:rPr/>
            </w:pPr>
            <w:r>
              <w:rPr/>
              <w:t> </w:t>
            </w:r>
          </w:p>
        </w:tc>
        <w:tc>
          <w:tcPr>
            <w:tcW w:w="697" w:type="dxa"/>
            <w:tcBorders/>
            <w:shd w:fill="FFFFFF" w:val="clear"/>
            <w:vAlign w:val="bottom"/>
          </w:tcPr>
          <w:p>
            <w:pPr>
              <w:pStyle w:val="TableContents"/>
              <w:spacing w:before="0" w:after="0"/>
              <w:jc w:val="right"/>
              <w:rPr/>
            </w:pPr>
            <w:r>
              <w:rPr/>
              <w:t>518</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666" w:type="dxa"/>
            <w:tcBorders/>
            <w:shd w:fill="FFFFFF" w:val="clear"/>
            <w:vAlign w:val="bottom"/>
          </w:tcPr>
          <w:p>
            <w:pPr>
              <w:pStyle w:val="TableContents"/>
              <w:spacing w:before="0" w:after="0"/>
              <w:jc w:val="right"/>
              <w:rPr/>
            </w:pPr>
            <w:r>
              <w:rPr/>
              <w:t>(4,873</w:t>
            </w:r>
          </w:p>
        </w:tc>
        <w:tc>
          <w:tcPr>
            <w:tcW w:w="99" w:type="dxa"/>
            <w:tcBorders/>
            <w:shd w:fill="FFFFFF" w:val="clear"/>
            <w:vAlign w:val="bottom"/>
          </w:tcPr>
          <w:p>
            <w:pPr>
              <w:pStyle w:val="TableContents"/>
              <w:spacing w:before="0" w:after="0"/>
              <w:rPr/>
            </w:pPr>
            <w:r>
              <w:rPr/>
              <w:t>)</w:t>
            </w:r>
          </w:p>
        </w:tc>
        <w:tc>
          <w:tcPr>
            <w:tcW w:w="62"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rPr/>
            </w:pPr>
            <w:r>
              <w:rPr/>
              <w:t> </w:t>
            </w:r>
          </w:p>
        </w:tc>
        <w:tc>
          <w:tcPr>
            <w:tcW w:w="666" w:type="dxa"/>
            <w:tcBorders/>
            <w:shd w:fill="FFFFFF" w:val="clear"/>
            <w:vAlign w:val="bottom"/>
          </w:tcPr>
          <w:p>
            <w:pPr>
              <w:pStyle w:val="TableContents"/>
              <w:spacing w:before="0" w:after="0"/>
              <w:jc w:val="right"/>
              <w:rPr/>
            </w:pPr>
            <w:r>
              <w:rPr/>
              <w:t>1,976</w:t>
            </w:r>
          </w:p>
        </w:tc>
        <w:tc>
          <w:tcPr>
            <w:tcW w:w="95"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0"/>
              <w:ind w:left="324" w:right="0" w:hanging="144"/>
              <w:rPr/>
            </w:pPr>
            <w:r>
              <w:rPr/>
              <w:t>Fair value change due to pay-downs</w:t>
            </w:r>
          </w:p>
        </w:tc>
        <w:tc>
          <w:tcPr>
            <w:tcW w:w="60" w:type="dxa"/>
            <w:tcBorders/>
            <w:shd w:fill="CCEEFF" w:val="clear"/>
            <w:vAlign w:val="bottom"/>
          </w:tcPr>
          <w:p>
            <w:pPr>
              <w:pStyle w:val="TableContents"/>
              <w:spacing w:before="0" w:after="283"/>
              <w:rPr/>
            </w:pPr>
            <w:r>
              <w:rPr/>
              <w:t> </w:t>
            </w:r>
          </w:p>
        </w:tc>
        <w:tc>
          <w:tcPr>
            <w:tcW w:w="17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90" w:type="dxa"/>
            <w:tcBorders>
              <w:bottom w:val="single" w:sz="12" w:space="0" w:color="000000"/>
            </w:tcBorders>
            <w:shd w:fill="CCEEFF" w:val="clear"/>
            <w:tcMar>
              <w:bottom w:w="28" w:type="dxa"/>
            </w:tcMar>
            <w:vAlign w:val="bottom"/>
          </w:tcPr>
          <w:p>
            <w:pPr>
              <w:pStyle w:val="TableContents"/>
              <w:spacing w:before="0" w:after="0"/>
              <w:jc w:val="right"/>
              <w:rPr/>
            </w:pPr>
            <w:r>
              <w:rPr/>
              <w:t>(752</w:t>
            </w:r>
          </w:p>
        </w:tc>
        <w:tc>
          <w:tcPr>
            <w:tcW w:w="118" w:type="dxa"/>
            <w:tcBorders>
              <w:bottom w:val="single" w:sz="12" w:space="0" w:color="000000"/>
            </w:tcBorders>
            <w:shd w:fill="CCEEFF" w:val="clear"/>
            <w:tcMar>
              <w:bottom w:w="28" w:type="dxa"/>
            </w:tcMar>
            <w:vAlign w:val="bottom"/>
          </w:tcPr>
          <w:p>
            <w:pPr>
              <w:pStyle w:val="TableContents"/>
              <w:spacing w:before="0" w:after="0"/>
              <w:rPr/>
            </w:pPr>
            <w:r>
              <w:rPr/>
              <w:t>)</w:t>
            </w:r>
          </w:p>
        </w:tc>
        <w:tc>
          <w:tcPr>
            <w:tcW w:w="7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74"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97" w:type="dxa"/>
            <w:tcBorders>
              <w:bottom w:val="single" w:sz="12" w:space="0" w:color="000000"/>
            </w:tcBorders>
            <w:shd w:fill="CCEEFF" w:val="clear"/>
            <w:tcMar>
              <w:bottom w:w="28" w:type="dxa"/>
            </w:tcMar>
            <w:vAlign w:val="bottom"/>
          </w:tcPr>
          <w:p>
            <w:pPr>
              <w:pStyle w:val="TableContents"/>
              <w:spacing w:before="0" w:after="0"/>
              <w:jc w:val="right"/>
              <w:rPr/>
            </w:pPr>
            <w:r>
              <w:rPr/>
              <w:t>(655</w:t>
            </w:r>
          </w:p>
        </w:tc>
        <w:tc>
          <w:tcPr>
            <w:tcW w:w="95" w:type="dxa"/>
            <w:tcBorders>
              <w:bottom w:val="single" w:sz="12" w:space="0" w:color="000000"/>
            </w:tcBorders>
            <w:shd w:fill="CCEEFF" w:val="clear"/>
            <w:tcMar>
              <w:bottom w:w="28" w:type="dxa"/>
            </w:tcMar>
            <w:vAlign w:val="bottom"/>
          </w:tcPr>
          <w:p>
            <w:pPr>
              <w:pStyle w:val="TableContents"/>
              <w:spacing w:before="0" w:after="0"/>
              <w:rPr/>
            </w:pPr>
            <w:r>
              <w:rPr/>
              <w:t>)</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4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pPr>
            <w:r>
              <w:rPr/>
              <w:t>(1,240</w:t>
            </w:r>
          </w:p>
        </w:tc>
        <w:tc>
          <w:tcPr>
            <w:tcW w:w="99" w:type="dxa"/>
            <w:tcBorders>
              <w:bottom w:val="single" w:sz="12" w:space="0" w:color="000000"/>
            </w:tcBorders>
            <w:shd w:fill="CCEEFF" w:val="clear"/>
            <w:tcMar>
              <w:bottom w:w="28" w:type="dxa"/>
            </w:tcMar>
            <w:vAlign w:val="bottom"/>
          </w:tcPr>
          <w:p>
            <w:pPr>
              <w:pStyle w:val="TableContents"/>
              <w:spacing w:before="0" w:after="0"/>
              <w:rPr/>
            </w:pPr>
            <w:r>
              <w:rPr/>
              <w:t>)</w:t>
            </w:r>
          </w:p>
        </w:tc>
        <w:tc>
          <w:tcPr>
            <w:tcW w:w="6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4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pPr>
            <w:r>
              <w:rPr/>
              <w:t>(1,084</w:t>
            </w:r>
          </w:p>
        </w:tc>
        <w:tc>
          <w:tcPr>
            <w:tcW w:w="95" w:type="dxa"/>
            <w:tcBorders/>
            <w:shd w:fill="CCEEFF" w:val="clear"/>
            <w:vAlign w:val="bottom"/>
          </w:tcPr>
          <w:p>
            <w:pPr>
              <w:pStyle w:val="TableContents"/>
              <w:spacing w:before="0" w:after="0"/>
              <w:rPr/>
            </w:pPr>
            <w:r>
              <w:rPr/>
              <w:t>)</w:t>
            </w:r>
          </w:p>
        </w:tc>
      </w:tr>
      <w:tr>
        <w:trPr/>
        <w:tc>
          <w:tcPr>
            <w:tcW w:w="3455" w:type="dxa"/>
            <w:tcBorders/>
            <w:shd w:fill="FFFFFF" w:val="clear"/>
            <w:vAlign w:val="bottom"/>
          </w:tcPr>
          <w:p>
            <w:pPr>
              <w:pStyle w:val="TableContents"/>
              <w:spacing w:before="0" w:after="0"/>
              <w:ind w:left="144" w:right="0" w:hanging="144"/>
              <w:rPr/>
            </w:pPr>
            <w:r>
              <w:rPr/>
              <w:t>Total</w:t>
            </w:r>
          </w:p>
        </w:tc>
        <w:tc>
          <w:tcPr>
            <w:tcW w:w="60" w:type="dxa"/>
            <w:tcBorders/>
            <w:shd w:fill="FFFFFF" w:val="clear"/>
            <w:vAlign w:val="bottom"/>
          </w:tcPr>
          <w:p>
            <w:pPr>
              <w:pStyle w:val="TableContents"/>
              <w:spacing w:before="0" w:after="283"/>
              <w:rPr/>
            </w:pPr>
            <w:r>
              <w:rPr/>
              <w:t> </w:t>
            </w:r>
          </w:p>
        </w:tc>
        <w:tc>
          <w:tcPr>
            <w:tcW w:w="174" w:type="dxa"/>
            <w:tcBorders>
              <w:bottom w:val="single" w:sz="12" w:space="0" w:color="000000"/>
            </w:tcBorders>
            <w:shd w:fill="FFFFFF" w:val="clear"/>
            <w:tcMar>
              <w:bottom w:w="28" w:type="dxa"/>
            </w:tcMar>
            <w:vAlign w:val="bottom"/>
          </w:tcPr>
          <w:p>
            <w:pPr>
              <w:pStyle w:val="TableContents"/>
              <w:spacing w:before="0" w:after="0"/>
              <w:rPr/>
            </w:pPr>
            <w:r>
              <w:rPr/>
              <w:t>$</w:t>
            </w:r>
          </w:p>
        </w:tc>
        <w:tc>
          <w:tcPr>
            <w:tcW w:w="790" w:type="dxa"/>
            <w:tcBorders>
              <w:bottom w:val="single" w:sz="12" w:space="0" w:color="000000"/>
            </w:tcBorders>
            <w:shd w:fill="FFFFFF" w:val="clear"/>
            <w:tcMar>
              <w:bottom w:w="28" w:type="dxa"/>
            </w:tcMar>
            <w:vAlign w:val="bottom"/>
          </w:tcPr>
          <w:p>
            <w:pPr>
              <w:pStyle w:val="TableContents"/>
              <w:spacing w:before="0" w:after="0"/>
              <w:jc w:val="right"/>
              <w:rPr/>
            </w:pPr>
            <w:r>
              <w:rPr/>
              <w:t>(1,907</w:t>
            </w:r>
          </w:p>
        </w:tc>
        <w:tc>
          <w:tcPr>
            <w:tcW w:w="118" w:type="dxa"/>
            <w:tcBorders>
              <w:bottom w:val="single" w:sz="12" w:space="0" w:color="000000"/>
            </w:tcBorders>
            <w:shd w:fill="FFFFFF" w:val="clear"/>
            <w:tcMar>
              <w:bottom w:w="28" w:type="dxa"/>
            </w:tcMar>
            <w:vAlign w:val="bottom"/>
          </w:tcPr>
          <w:p>
            <w:pPr>
              <w:pStyle w:val="TableContents"/>
              <w:spacing w:before="0" w:after="0"/>
              <w:rPr/>
            </w:pPr>
            <w:r>
              <w:rPr/>
              <w:t>)</w:t>
            </w:r>
          </w:p>
        </w:tc>
        <w:tc>
          <w:tcPr>
            <w:tcW w:w="7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74" w:type="dxa"/>
            <w:tcBorders>
              <w:bottom w:val="single" w:sz="12" w:space="0" w:color="000000"/>
            </w:tcBorders>
            <w:shd w:fill="FFFFFF" w:val="clear"/>
            <w:tcMar>
              <w:bottom w:w="28" w:type="dxa"/>
            </w:tcMar>
            <w:vAlign w:val="bottom"/>
          </w:tcPr>
          <w:p>
            <w:pPr>
              <w:pStyle w:val="TableContents"/>
              <w:spacing w:before="0" w:after="0"/>
              <w:rPr/>
            </w:pPr>
            <w:r>
              <w:rPr/>
              <w:t>$</w:t>
            </w:r>
          </w:p>
        </w:tc>
        <w:tc>
          <w:tcPr>
            <w:tcW w:w="697" w:type="dxa"/>
            <w:tcBorders>
              <w:bottom w:val="single" w:sz="12" w:space="0" w:color="000000"/>
            </w:tcBorders>
            <w:shd w:fill="FFFFFF" w:val="clear"/>
            <w:tcMar>
              <w:bottom w:w="28" w:type="dxa"/>
            </w:tcMar>
            <w:vAlign w:val="bottom"/>
          </w:tcPr>
          <w:p>
            <w:pPr>
              <w:pStyle w:val="TableContents"/>
              <w:spacing w:before="0" w:after="0"/>
              <w:jc w:val="right"/>
              <w:rPr/>
            </w:pPr>
            <w:r>
              <w:rPr/>
              <w:t>1,235</w:t>
            </w:r>
          </w:p>
        </w:tc>
        <w:tc>
          <w:tcPr>
            <w:tcW w:w="95"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0"/>
              <w:rPr/>
            </w:pPr>
            <w:r>
              <w:rPr/>
              <w:t>$</w:t>
            </w:r>
          </w:p>
        </w:tc>
        <w:tc>
          <w:tcPr>
            <w:tcW w:w="666" w:type="dxa"/>
            <w:tcBorders>
              <w:bottom w:val="single" w:sz="12" w:space="0" w:color="000000"/>
            </w:tcBorders>
            <w:shd w:fill="FFFFFF" w:val="clear"/>
            <w:tcMar>
              <w:bottom w:w="28" w:type="dxa"/>
            </w:tcMar>
            <w:vAlign w:val="bottom"/>
          </w:tcPr>
          <w:p>
            <w:pPr>
              <w:pStyle w:val="TableContents"/>
              <w:spacing w:before="0" w:after="0"/>
              <w:jc w:val="right"/>
              <w:rPr/>
            </w:pPr>
            <w:r>
              <w:rPr/>
              <w:t>(3,122</w:t>
            </w:r>
          </w:p>
        </w:tc>
        <w:tc>
          <w:tcPr>
            <w:tcW w:w="99" w:type="dxa"/>
            <w:tcBorders>
              <w:bottom w:val="single" w:sz="12" w:space="0" w:color="000000"/>
            </w:tcBorders>
            <w:shd w:fill="FFFFFF" w:val="clear"/>
            <w:tcMar>
              <w:bottom w:w="28" w:type="dxa"/>
            </w:tcMar>
            <w:vAlign w:val="bottom"/>
          </w:tcPr>
          <w:p>
            <w:pPr>
              <w:pStyle w:val="TableContents"/>
              <w:spacing w:before="0" w:after="0"/>
              <w:rPr/>
            </w:pPr>
            <w:r>
              <w:rPr/>
              <w:t>)</w:t>
            </w:r>
          </w:p>
        </w:tc>
        <w:tc>
          <w:tcPr>
            <w:tcW w:w="6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46" w:type="dxa"/>
            <w:tcBorders>
              <w:bottom w:val="single" w:sz="12" w:space="0" w:color="000000"/>
            </w:tcBorders>
            <w:shd w:fill="FFFFFF" w:val="clear"/>
            <w:tcMar>
              <w:bottom w:w="28" w:type="dxa"/>
            </w:tcMar>
            <w:vAlign w:val="bottom"/>
          </w:tcPr>
          <w:p>
            <w:pPr>
              <w:pStyle w:val="TableContents"/>
              <w:spacing w:before="0" w:after="0"/>
              <w:rPr/>
            </w:pPr>
            <w:r>
              <w:rPr/>
              <w:t>$</w:t>
            </w:r>
          </w:p>
        </w:tc>
        <w:tc>
          <w:tcPr>
            <w:tcW w:w="666" w:type="dxa"/>
            <w:tcBorders>
              <w:bottom w:val="single" w:sz="12" w:space="0" w:color="000000"/>
            </w:tcBorders>
            <w:shd w:fill="FFFFFF" w:val="clear"/>
            <w:tcMar>
              <w:bottom w:w="28" w:type="dxa"/>
            </w:tcMar>
            <w:vAlign w:val="bottom"/>
          </w:tcPr>
          <w:p>
            <w:pPr>
              <w:pStyle w:val="TableContents"/>
              <w:spacing w:before="0" w:after="0"/>
              <w:jc w:val="right"/>
              <w:rPr/>
            </w:pPr>
            <w:r>
              <w:rPr/>
              <w:t>3,456</w:t>
            </w:r>
          </w:p>
        </w:tc>
        <w:tc>
          <w:tcPr>
            <w:tcW w:w="95" w:type="dxa"/>
            <w:tcBorders/>
            <w:shd w:fill="FFFFFF" w:val="clear"/>
            <w:vAlign w:val="bottom"/>
          </w:tcPr>
          <w:p>
            <w:pPr>
              <w:pStyle w:val="TableContents"/>
              <w:spacing w:before="0" w:after="283"/>
              <w:rPr/>
            </w:pPr>
            <w:r>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37" w:name="DSPFPageBreakArea71"/>
      <w:bookmarkStart w:id="738" w:name="DSPFPageBreakArea71"/>
      <w:bookmarkEnd w:id="7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39" w:name="DSPFPageNumber71"/>
      <w:bookmarkStart w:id="740" w:name="DSPFPageNumberArea70"/>
      <w:bookmarkEnd w:id="739"/>
      <w:bookmarkEnd w:id="740"/>
      <w:r>
        <w:rPr>
          <w:b w:val="false"/>
          <w:i w:val="false"/>
          <w:caps w:val="false"/>
          <w:smallCaps w:val="false"/>
          <w:sz w:val="13"/>
        </w:rPr>
        <w:t>72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41" w:name="DSPFPageBreak71"/>
      <w:bookmarkStart w:id="742" w:name="DSPFPageBreak71"/>
      <w:bookmarkEnd w:id="7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43" w:name="DSPFPageHeader70"/>
        <w:bookmarkEnd w:id="743"/>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Activity related to capitalized mortgage loan servicing rights is as follows:</w:t>
      </w:r>
    </w:p>
    <w:p>
      <w:pPr>
        <w:pStyle w:val="TextBody"/>
        <w:spacing w:before="0" w:after="0"/>
        <w:rPr/>
      </w:pPr>
      <w:r>
        <w:rPr/>
      </w:r>
    </w:p>
    <w:p>
      <w:pPr>
        <w:pStyle w:val="TextBody"/>
        <w:spacing w:before="0" w:after="0"/>
        <w:rPr>
          <w:b/>
        </w:rPr>
      </w:pPr>
      <w:r>
        <w:rPr>
          <w:b/>
        </w:rPr>
        <w:t>Capitalized Mortgage Loan Servicing Rights</w:t>
      </w:r>
    </w:p>
    <w:p>
      <w:pPr>
        <w:pStyle w:val="Normal"/>
        <w:spacing w:before="0" w:after="0"/>
        <w:rPr>
          <w:sz w:val="4"/>
          <w:szCs w:val="4"/>
        </w:rPr>
      </w:pPr>
      <w:r>
        <w:rPr>
          <w:sz w:val="4"/>
          <w:szCs w:val="4"/>
        </w:rPr>
      </w:r>
      <w:bookmarkStart w:id="744" w:name="z12f1a6da20bc4a969eae6e43e5066a99"/>
      <w:bookmarkStart w:id="745" w:name="z12f1a6da20bc4a969eae6e43e5066a99"/>
      <w:bookmarkEnd w:id="745"/>
    </w:p>
    <w:tbl>
      <w:tblPr>
        <w:tblW w:w="7612" w:type="dxa"/>
        <w:jc w:val="left"/>
        <w:tblInd w:w="0" w:type="dxa"/>
        <w:tblCellMar>
          <w:top w:w="0" w:type="dxa"/>
          <w:left w:w="0" w:type="dxa"/>
          <w:bottom w:w="0" w:type="dxa"/>
          <w:right w:w="0" w:type="dxa"/>
        </w:tblCellMar>
      </w:tblPr>
      <w:tblGrid>
        <w:gridCol w:w="3590"/>
        <w:gridCol w:w="60"/>
        <w:gridCol w:w="152"/>
        <w:gridCol w:w="740"/>
        <w:gridCol w:w="103"/>
        <w:gridCol w:w="65"/>
        <w:gridCol w:w="152"/>
        <w:gridCol w:w="740"/>
        <w:gridCol w:w="95"/>
        <w:gridCol w:w="60"/>
        <w:gridCol w:w="140"/>
        <w:gridCol w:w="680"/>
        <w:gridCol w:w="95"/>
        <w:gridCol w:w="60"/>
        <w:gridCol w:w="140"/>
        <w:gridCol w:w="680"/>
        <w:gridCol w:w="60"/>
      </w:tblGrid>
      <w:tr>
        <w:trPr/>
        <w:tc>
          <w:tcPr>
            <w:tcW w:w="35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2" w:type="dxa"/>
            <w:gridSpan w:val="6"/>
            <w:tcBorders/>
            <w:shd w:fill="auto" w:val="clear"/>
            <w:vAlign w:val="bottom"/>
          </w:tcPr>
          <w:p>
            <w:pPr>
              <w:pStyle w:val="TableContents"/>
              <w:spacing w:before="0" w:after="0"/>
              <w:jc w:val="center"/>
              <w:rPr/>
            </w:pPr>
            <w:r>
              <w:rPr/>
              <w:t>Three months ended</w:t>
            </w:r>
          </w:p>
          <w:p>
            <w:pPr>
              <w:pStyle w:val="TableContents"/>
              <w:spacing w:before="0" w:after="0"/>
              <w:jc w:val="center"/>
              <w:rPr/>
            </w:pPr>
            <w:r>
              <w:rPr/>
              <w:t>June 30,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5" w:type="dxa"/>
            <w:gridSpan w:val="6"/>
            <w:tcBorders/>
            <w:shd w:fill="auto" w:val="cle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60" w:type="dxa"/>
            <w:tcBorders/>
            <w:shd w:fill="auto" w:val="clear"/>
            <w:vAlign w:val="bottom"/>
          </w:tcPr>
          <w:p>
            <w:pPr>
              <w:pStyle w:val="TableContents"/>
              <w:spacing w:before="0" w:after="283"/>
              <w:rPr/>
            </w:pPr>
            <w:r>
              <w:rPr/>
              <w:t> </w:t>
            </w:r>
          </w:p>
        </w:tc>
      </w:tr>
      <w:tr>
        <w:trPr/>
        <w:tc>
          <w:tcPr>
            <w:tcW w:w="35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2"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103"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892"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60" w:type="dxa"/>
            <w:tcBorders/>
            <w:shd w:fill="auto" w:val="clear"/>
            <w:vAlign w:val="bottom"/>
          </w:tcPr>
          <w:p>
            <w:pPr>
              <w:pStyle w:val="TableContents"/>
              <w:spacing w:before="0" w:after="283"/>
              <w:rPr/>
            </w:pPr>
            <w:r>
              <w:rPr/>
              <w:t> </w:t>
            </w:r>
          </w:p>
        </w:tc>
      </w:tr>
      <w:tr>
        <w:trPr/>
        <w:tc>
          <w:tcPr>
            <w:tcW w:w="35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02" w:type="dxa"/>
            <w:gridSpan w:val="14"/>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r>
      <w:tr>
        <w:trPr/>
        <w:tc>
          <w:tcPr>
            <w:tcW w:w="3590" w:type="dxa"/>
            <w:tcBorders/>
            <w:shd w:fill="CCEEFF" w:val="clear"/>
            <w:vAlign w:val="bottom"/>
          </w:tcPr>
          <w:p>
            <w:pPr>
              <w:pStyle w:val="TableContents"/>
              <w:spacing w:before="0" w:after="0"/>
              <w:ind w:left="144" w:right="0" w:hanging="144"/>
              <w:rPr/>
            </w:pPr>
            <w:r>
              <w:rPr/>
              <w:t>Balance at beginning of period</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740" w:type="dxa"/>
            <w:tcBorders/>
            <w:shd w:fill="CCEEFF" w:val="clear"/>
            <w:vAlign w:val="bottom"/>
          </w:tcPr>
          <w:p>
            <w:pPr>
              <w:pStyle w:val="TableContents"/>
              <w:spacing w:before="0" w:after="0"/>
              <w:jc w:val="right"/>
              <w:rPr/>
            </w:pPr>
            <w:r>
              <w:rPr/>
              <w:t>19,909</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pPr>
            <w:r>
              <w:rPr/>
              <w:t>$</w:t>
            </w:r>
          </w:p>
        </w:tc>
        <w:tc>
          <w:tcPr>
            <w:tcW w:w="740" w:type="dxa"/>
            <w:tcBorders/>
            <w:shd w:fill="CCEEFF" w:val="clear"/>
            <w:vAlign w:val="bottom"/>
          </w:tcPr>
          <w:p>
            <w:pPr>
              <w:pStyle w:val="TableContents"/>
              <w:spacing w:before="0" w:after="0"/>
              <w:jc w:val="right"/>
              <w:rPr/>
            </w:pPr>
            <w:r>
              <w:rPr/>
              <w:t>17,783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21,400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15,699</w:t>
            </w:r>
          </w:p>
        </w:tc>
        <w:tc>
          <w:tcPr>
            <w:tcW w:w="60" w:type="dxa"/>
            <w:tcBorders/>
            <w:shd w:fill="CCEEFF" w:val="clear"/>
            <w:vAlign w:val="bottom"/>
          </w:tcPr>
          <w:p>
            <w:pPr>
              <w:pStyle w:val="TableContents"/>
              <w:spacing w:before="0" w:after="283"/>
              <w:rPr/>
            </w:pPr>
            <w:r>
              <w:rPr/>
              <w:t> </w:t>
            </w:r>
          </w:p>
        </w:tc>
      </w:tr>
      <w:tr>
        <w:trPr/>
        <w:tc>
          <w:tcPr>
            <w:tcW w:w="3590" w:type="dxa"/>
            <w:tcBorders/>
            <w:shd w:fill="FFFFFF" w:val="clear"/>
            <w:vAlign w:val="bottom"/>
          </w:tcPr>
          <w:p>
            <w:pPr>
              <w:pStyle w:val="TableContents"/>
              <w:spacing w:before="0" w:after="0"/>
              <w:ind w:left="324" w:right="0" w:hanging="144"/>
              <w:rPr/>
            </w:pPr>
            <w:r>
              <w:rPr/>
              <w:t>Servicing rights acquired</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740" w:type="dxa"/>
            <w:tcBorders/>
            <w:shd w:fill="FFFFFF" w:val="clear"/>
            <w:vAlign w:val="bottom"/>
          </w:tcPr>
          <w:p>
            <w:pPr>
              <w:pStyle w:val="TableContents"/>
              <w:spacing w:before="0" w:after="0"/>
              <w:jc w:val="right"/>
              <w:rPr/>
            </w:pPr>
            <w:r>
              <w:rPr/>
              <w:t>-</w:t>
            </w:r>
          </w:p>
        </w:tc>
        <w:tc>
          <w:tcPr>
            <w:tcW w:w="103" w:type="dxa"/>
            <w:tcBorders/>
            <w:shd w:fill="FFFFFF" w:val="clear"/>
            <w:vAlign w:val="bottom"/>
          </w:tcPr>
          <w:p>
            <w:pPr>
              <w:pStyle w:val="TableContents"/>
              <w:spacing w:before="0" w:after="283"/>
              <w:rPr/>
            </w:pPr>
            <w:r>
              <w:rPr/>
              <w:t> </w:t>
            </w:r>
          </w:p>
        </w:tc>
        <w:tc>
          <w:tcPr>
            <w:tcW w:w="65"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0"/>
              <w:rPr/>
            </w:pPr>
            <w:r>
              <w:rPr/>
              <w:t>$</w:t>
            </w:r>
          </w:p>
        </w:tc>
        <w:tc>
          <w:tcPr>
            <w:tcW w:w="740" w:type="dxa"/>
            <w:tcBorders/>
            <w:shd w:fill="FFFFFF" w:val="clear"/>
            <w:vAlign w:val="bottom"/>
          </w:tcPr>
          <w:p>
            <w:pPr>
              <w:pStyle w:val="TableContents"/>
              <w:spacing w:before="0" w:after="0"/>
              <w:jc w:val="right"/>
              <w:rPr/>
            </w:pPr>
            <w:r>
              <w:rPr/>
              <w:t>3,047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0"/>
              <w:rPr/>
            </w:pPr>
            <w:r>
              <w:rPr/>
              <w:t>$</w:t>
            </w:r>
          </w:p>
        </w:tc>
        <w:tc>
          <w:tcPr>
            <w:tcW w:w="680" w:type="dxa"/>
            <w:tcBorders/>
            <w:shd w:fill="FFFFFF" w:val="clear"/>
            <w:vAlign w:val="bottom"/>
          </w:tcPr>
          <w:p>
            <w:pPr>
              <w:pStyle w:val="TableContents"/>
              <w:spacing w:before="0" w:after="0"/>
              <w:jc w:val="right"/>
              <w:rPr/>
            </w:pPr>
            <w:r>
              <w:rPr/>
              <w:t>3,047</w:t>
            </w:r>
          </w:p>
        </w:tc>
        <w:tc>
          <w:tcPr>
            <w:tcW w:w="60" w:type="dxa"/>
            <w:tcBorders/>
            <w:shd w:fill="FFFFFF" w:val="clear"/>
            <w:vAlign w:val="bottom"/>
          </w:tcPr>
          <w:p>
            <w:pPr>
              <w:pStyle w:val="TableContents"/>
              <w:spacing w:before="0" w:after="283"/>
              <w:rPr/>
            </w:pPr>
            <w:r>
              <w:rPr/>
              <w:t> </w:t>
            </w:r>
          </w:p>
        </w:tc>
      </w:tr>
      <w:tr>
        <w:trPr/>
        <w:tc>
          <w:tcPr>
            <w:tcW w:w="3590" w:type="dxa"/>
            <w:tcBorders/>
            <w:shd w:fill="CCEEFF" w:val="clear"/>
            <w:vAlign w:val="bottom"/>
          </w:tcPr>
          <w:p>
            <w:pPr>
              <w:pStyle w:val="TableContents"/>
              <w:spacing w:before="0" w:after="0"/>
              <w:ind w:left="324" w:right="0" w:hanging="144"/>
              <w:rPr/>
            </w:pPr>
            <w:r>
              <w:rPr/>
              <w:t>Originated servicing rights capitalized</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1,407</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0"/>
              <w:jc w:val="right"/>
              <w:rPr/>
            </w:pPr>
            <w:r>
              <w:rPr/>
              <w:t>1,155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2,607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2,210</w:t>
            </w:r>
          </w:p>
        </w:tc>
        <w:tc>
          <w:tcPr>
            <w:tcW w:w="60" w:type="dxa"/>
            <w:tcBorders/>
            <w:shd w:fill="CCEEFF" w:val="clear"/>
            <w:vAlign w:val="bottom"/>
          </w:tcPr>
          <w:p>
            <w:pPr>
              <w:pStyle w:val="TableContents"/>
              <w:spacing w:before="0" w:after="283"/>
              <w:rPr/>
            </w:pPr>
            <w:r>
              <w:rPr/>
              <w:t> </w:t>
            </w:r>
          </w:p>
        </w:tc>
      </w:tr>
      <w:tr>
        <w:trPr/>
        <w:tc>
          <w:tcPr>
            <w:tcW w:w="3590" w:type="dxa"/>
            <w:tcBorders/>
            <w:shd w:fill="FFFFFF" w:val="clear"/>
            <w:vAlign w:val="bottom"/>
          </w:tcPr>
          <w:p>
            <w:pPr>
              <w:pStyle w:val="TableContents"/>
              <w:spacing w:before="0" w:after="0"/>
              <w:ind w:left="324" w:right="0" w:hanging="144"/>
              <w:rPr/>
            </w:pPr>
            <w:r>
              <w:rPr/>
              <w:t>Change in fair value</w:t>
            </w:r>
          </w:p>
        </w:tc>
        <w:tc>
          <w:tcPr>
            <w:tcW w:w="60"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pPr>
            <w:r>
              <w:rPr/>
              <w:t>(3,422</w:t>
            </w:r>
          </w:p>
        </w:tc>
        <w:tc>
          <w:tcPr>
            <w:tcW w:w="103" w:type="dxa"/>
            <w:tcBorders/>
            <w:shd w:fill="FFFFFF" w:val="clear"/>
            <w:vAlign w:val="bottom"/>
          </w:tcPr>
          <w:p>
            <w:pPr>
              <w:pStyle w:val="TableContents"/>
              <w:spacing w:before="0" w:after="0"/>
              <w:rPr/>
            </w:pPr>
            <w:r>
              <w:rPr/>
              <w:t>)</w:t>
            </w:r>
          </w:p>
        </w:tc>
        <w:tc>
          <w:tcPr>
            <w:tcW w:w="65" w:type="dxa"/>
            <w:tcBorders/>
            <w:shd w:fill="FFFFFF" w:val="clear"/>
            <w:vAlign w:val="bottom"/>
          </w:tcPr>
          <w:p>
            <w:pPr>
              <w:pStyle w:val="TableContents"/>
              <w:spacing w:before="0" w:after="283"/>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40" w:type="dxa"/>
            <w:tcBorders>
              <w:bottom w:val="single" w:sz="12" w:space="0" w:color="000000"/>
            </w:tcBorders>
            <w:shd w:fill="FFFFFF" w:val="clear"/>
            <w:tcMar>
              <w:bottom w:w="28" w:type="dxa"/>
            </w:tcMar>
            <w:vAlign w:val="bottom"/>
          </w:tcPr>
          <w:p>
            <w:pPr>
              <w:pStyle w:val="TableContents"/>
              <w:spacing w:before="0" w:after="0"/>
              <w:jc w:val="right"/>
              <w:rPr/>
            </w:pPr>
            <w:r>
              <w:rPr/>
              <w:t>(137</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(6,113</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892</w:t>
            </w:r>
          </w:p>
        </w:tc>
        <w:tc>
          <w:tcPr>
            <w:tcW w:w="60" w:type="dxa"/>
            <w:tcBorders/>
            <w:shd w:fill="FFFFFF" w:val="clear"/>
            <w:vAlign w:val="bottom"/>
          </w:tcPr>
          <w:p>
            <w:pPr>
              <w:pStyle w:val="TableContents"/>
              <w:spacing w:before="0" w:after="283"/>
              <w:rPr/>
            </w:pPr>
            <w:r>
              <w:rPr/>
              <w:t> </w:t>
            </w:r>
          </w:p>
        </w:tc>
      </w:tr>
      <w:tr>
        <w:trPr/>
        <w:tc>
          <w:tcPr>
            <w:tcW w:w="3590" w:type="dxa"/>
            <w:tcBorders/>
            <w:shd w:fill="CCEEFF" w:val="clear"/>
            <w:vAlign w:val="bottom"/>
          </w:tcPr>
          <w:p>
            <w:pPr>
              <w:pStyle w:val="TableContents"/>
              <w:spacing w:before="0" w:after="0"/>
              <w:ind w:left="144" w:right="0" w:hanging="144"/>
              <w:rPr/>
            </w:pPr>
            <w:r>
              <w:rPr/>
              <w:t>Balance at end of period</w:t>
            </w:r>
          </w:p>
        </w:tc>
        <w:tc>
          <w:tcPr>
            <w:tcW w:w="60" w:type="dxa"/>
            <w:tcBorders/>
            <w:shd w:fill="CCEEFF" w:val="clear"/>
            <w:vAlign w:val="bottom"/>
          </w:tcPr>
          <w:p>
            <w:pPr>
              <w:pStyle w:val="TableContents"/>
              <w:spacing w:before="0" w:after="283"/>
              <w:rPr/>
            </w:pPr>
            <w:r>
              <w:rPr/>
              <w:t> </w:t>
            </w:r>
          </w:p>
        </w:tc>
        <w:tc>
          <w:tcPr>
            <w:tcW w:w="152" w:type="dxa"/>
            <w:tcBorders>
              <w:bottom w:val="double" w:sz="8" w:space="0" w:color="000000"/>
            </w:tcBorders>
            <w:shd w:fill="CCEEFF" w:val="clear"/>
            <w:tcMar>
              <w:bottom w:w="28" w:type="dxa"/>
            </w:tcMar>
            <w:vAlign w:val="bottom"/>
          </w:tcPr>
          <w:p>
            <w:pPr>
              <w:pStyle w:val="TableContents"/>
              <w:spacing w:before="0" w:after="0"/>
              <w:rPr/>
            </w:pPr>
            <w:r>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pPr>
            <w:r>
              <w:rPr/>
              <w:t>17,894</w:t>
            </w:r>
          </w:p>
        </w:tc>
        <w:tc>
          <w:tcPr>
            <w:tcW w:w="103" w:type="dxa"/>
            <w:tcBorders/>
            <w:shd w:fill="CCEEFF" w:val="clear"/>
            <w:vAlign w:val="bottom"/>
          </w:tcPr>
          <w:p>
            <w:pPr>
              <w:pStyle w:val="TableContents"/>
              <w:spacing w:before="0" w:after="283"/>
              <w:rPr/>
            </w:pPr>
            <w:r>
              <w:rPr/>
              <w:t> </w:t>
            </w:r>
          </w:p>
        </w:tc>
        <w:tc>
          <w:tcPr>
            <w:tcW w:w="65" w:type="dxa"/>
            <w:tcBorders/>
            <w:shd w:fill="CCEEFF" w:val="clear"/>
            <w:vAlign w:val="bottom"/>
          </w:tcPr>
          <w:p>
            <w:pPr>
              <w:pStyle w:val="TableContents"/>
              <w:spacing w:before="0" w:after="283"/>
              <w:rPr/>
            </w:pPr>
            <w:r>
              <w:rPr/>
              <w:t> </w:t>
            </w:r>
          </w:p>
        </w:tc>
        <w:tc>
          <w:tcPr>
            <w:tcW w:w="152" w:type="dxa"/>
            <w:tcBorders>
              <w:bottom w:val="double" w:sz="8" w:space="0" w:color="000000"/>
            </w:tcBorders>
            <w:shd w:fill="CCEEFF" w:val="clear"/>
            <w:tcMar>
              <w:bottom w:w="28" w:type="dxa"/>
            </w:tcMar>
            <w:vAlign w:val="bottom"/>
          </w:tcPr>
          <w:p>
            <w:pPr>
              <w:pStyle w:val="TableContents"/>
              <w:spacing w:before="0" w:after="0"/>
              <w:rPr/>
            </w:pPr>
            <w:r>
              <w:rPr/>
              <w:t>$</w:t>
            </w:r>
          </w:p>
        </w:tc>
        <w:tc>
          <w:tcPr>
            <w:tcW w:w="740" w:type="dxa"/>
            <w:tcBorders>
              <w:bottom w:val="double" w:sz="8" w:space="0" w:color="000000"/>
            </w:tcBorders>
            <w:shd w:fill="CCEEFF" w:val="clear"/>
            <w:tcMar>
              <w:bottom w:w="28" w:type="dxa"/>
            </w:tcMar>
            <w:vAlign w:val="bottom"/>
          </w:tcPr>
          <w:p>
            <w:pPr>
              <w:pStyle w:val="TableContents"/>
              <w:spacing w:before="0" w:after="0"/>
              <w:jc w:val="right"/>
              <w:rPr/>
            </w:pPr>
            <w:r>
              <w:rPr/>
              <w:t>21,848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17,894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21,848</w:t>
            </w:r>
          </w:p>
        </w:tc>
        <w:tc>
          <w:tcPr>
            <w:tcW w:w="60" w:type="dxa"/>
            <w:tcBorders/>
            <w:shd w:fill="CCEE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At June 30, 2019 we were servicing approximately $2.41 billion in mortgage loans for others on which servicing rights have been capitalized. This servicing portfolio had a weighted average coupon rate of 4.27% and a weighted average service fee of approximately 25.8 basis points. Capitalized mortgage loan servicing rights at June 30, 2019 totaled $17.9 million, representing approximately 74.1 basis points on the related amount of mortgage loans serviced for others.</w:t>
      </w:r>
    </w:p>
    <w:p>
      <w:pPr>
        <w:pStyle w:val="TextBody"/>
        <w:spacing w:before="0" w:after="0"/>
        <w:rPr/>
      </w:pPr>
      <w:r>
        <w:rPr/>
      </w:r>
    </w:p>
    <w:p>
      <w:pPr>
        <w:pStyle w:val="TextBody"/>
        <w:spacing w:before="0" w:after="0"/>
        <w:jc w:val="both"/>
        <w:rPr/>
      </w:pPr>
      <w:r>
        <w:rPr/>
        <w:t>Investment and insurance commissions represent revenues generated on the sale or management of investments and insurance for our customers.  These revenues were relatively comparable on a quarterly basis, but declined on a year-to-date basis in 2019 as compared to 2018.  The year-to-date decline in 2019 was primarily due to slower sales in the first quarter of 2019, principally reflecting market volatility and uncertainty.</w:t>
      </w:r>
    </w:p>
    <w:p>
      <w:pPr>
        <w:pStyle w:val="TextBody"/>
        <w:spacing w:before="0" w:after="0"/>
        <w:rPr/>
      </w:pPr>
      <w:r>
        <w:rPr/>
      </w:r>
    </w:p>
    <w:p>
      <w:pPr>
        <w:pStyle w:val="TextBody"/>
        <w:spacing w:before="0" w:after="0"/>
        <w:jc w:val="both"/>
        <w:rPr/>
      </w:pPr>
      <w:r>
        <w:rPr/>
        <w:t>Income from bank owned life insurance (“BOLI”) increased on both a comparative quarterly and year-to-date basis in 2019 compared to 2018 reflecting a higher crediting rate on our cash surrender value. Our BOLI separate account is primarily invested in agency mortgage-backed securities. The crediting rate (on which the earnings are based) reflects the performance of the separate account.  The total cash surrender value of our BOLI was $55.6 million and $55.1 million at June 30, 2019 and December 31, 2018, respectively.</w:t>
      </w:r>
    </w:p>
    <w:p>
      <w:pPr>
        <w:pStyle w:val="TextBody"/>
        <w:spacing w:before="0" w:after="0"/>
        <w:rPr/>
      </w:pPr>
      <w:r>
        <w:rPr/>
      </w:r>
    </w:p>
    <w:p>
      <w:pPr>
        <w:pStyle w:val="TextBody"/>
        <w:spacing w:before="0" w:after="0"/>
        <w:jc w:val="both"/>
        <w:rPr/>
      </w:pPr>
      <w:r>
        <w:rPr/>
        <w:t>Other non-interest income decreased slightly on a comparative quarterly basis, but increased on a year-to-date basis in 2019 compared to 2018.  The year-to-date increase in 2019 compared to 2018 is primarily due to $0.38 million of recoveries recorded in the first quarter of 2019 on TCSB loans that had been charged-off prior to the Merger.</w:t>
      </w:r>
    </w:p>
    <w:p>
      <w:pPr>
        <w:pStyle w:val="TextBody"/>
        <w:spacing w:before="0" w:after="0"/>
        <w:rPr/>
      </w:pPr>
      <w:r>
        <w:rPr/>
      </w:r>
    </w:p>
    <w:p>
      <w:pPr>
        <w:pStyle w:val="TextBody"/>
        <w:spacing w:before="0" w:after="0"/>
        <w:jc w:val="both"/>
        <w:rPr>
          <w:color w:val="000000"/>
        </w:rPr>
      </w:pPr>
      <w:r>
        <w:rPr>
          <w:b/>
          <w:color w:val="000000"/>
        </w:rPr>
        <w:t>Non-interest expense.</w:t>
      </w:r>
      <w:r>
        <w:rPr>
          <w:color w:val="000000"/>
        </w:rPr>
        <w:t>  Non-interest expense is an important component of our results of operations. We strive to efficiently manage our cost structure.</w:t>
      </w:r>
    </w:p>
    <w:p>
      <w:pPr>
        <w:pStyle w:val="TextBody"/>
        <w:spacing w:before="0" w:after="0"/>
        <w:rPr/>
      </w:pPr>
      <w:r>
        <w:rPr/>
      </w:r>
    </w:p>
    <w:p>
      <w:pPr>
        <w:pStyle w:val="TextBody"/>
        <w:spacing w:before="0" w:after="0"/>
        <w:jc w:val="both"/>
        <w:rPr/>
      </w:pPr>
      <w:r>
        <w:rPr/>
        <w:t>Non-interest expense decreased by $3.2 million to $26.6 million and increased by $0.7 million to $54.6 million during the three- and six-month periods ended June 30, 2019, respectively, compared to the same periods in 2018.  On a year-to-date basis, several of our components of non-interest expense increased in 2019 due to the Merger.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46" w:name="DSPFPageBreakArea72"/>
      <w:bookmarkStart w:id="747" w:name="DSPFPageBreakArea72"/>
      <w:bookmarkEnd w:id="7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48" w:name="DSPFPageNumber72"/>
      <w:bookmarkStart w:id="749" w:name="DSPFPageNumberArea71"/>
      <w:bookmarkEnd w:id="748"/>
      <w:bookmarkEnd w:id="749"/>
      <w:r>
        <w:rPr>
          <w:b w:val="false"/>
          <w:i w:val="false"/>
          <w:caps w:val="false"/>
          <w:smallCaps w:val="false"/>
          <w:sz w:val="13"/>
        </w:rPr>
        <w:t>73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0" w:name="DSPFPageBreak72"/>
      <w:bookmarkStart w:id="751" w:name="DSPFPageBreak72"/>
      <w:bookmarkEnd w:id="7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52" w:name="DSPFPageHeader71"/>
        <w:bookmarkEnd w:id="752"/>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The components of non-interest expense are as follows:</w:t>
      </w:r>
    </w:p>
    <w:p>
      <w:pPr>
        <w:pStyle w:val="TextBody"/>
        <w:spacing w:before="0" w:after="0"/>
        <w:rPr/>
      </w:pPr>
      <w:r>
        <w:rPr/>
      </w:r>
    </w:p>
    <w:p>
      <w:pPr>
        <w:pStyle w:val="TextBody"/>
        <w:spacing w:before="0" w:after="0"/>
        <w:rPr>
          <w:b/>
          <w:color w:val="000000"/>
        </w:rPr>
      </w:pPr>
      <w:r>
        <w:rPr>
          <w:b/>
          <w:color w:val="000000"/>
        </w:rPr>
        <w:t>Non-Interest Expense</w:t>
      </w:r>
    </w:p>
    <w:p>
      <w:pPr>
        <w:pStyle w:val="TextBody"/>
        <w:spacing w:before="0" w:after="0"/>
        <w:rPr/>
      </w:pPr>
      <w:r>
        <w:rPr/>
      </w:r>
    </w:p>
    <w:p>
      <w:pPr>
        <w:pStyle w:val="Normal"/>
        <w:spacing w:before="0" w:after="0"/>
        <w:rPr>
          <w:sz w:val="4"/>
          <w:szCs w:val="4"/>
        </w:rPr>
      </w:pPr>
      <w:r>
        <w:rPr>
          <w:sz w:val="4"/>
          <w:szCs w:val="4"/>
        </w:rPr>
      </w:r>
      <w:bookmarkStart w:id="753" w:name="z1571d9639b7648a0930c8b07ef76123e"/>
      <w:bookmarkStart w:id="754" w:name="z1571d9639b7648a0930c8b07ef76123e"/>
      <w:bookmarkEnd w:id="754"/>
    </w:p>
    <w:tbl>
      <w:tblPr>
        <w:tblW w:w="10205" w:type="dxa"/>
        <w:jc w:val="left"/>
        <w:tblInd w:w="0" w:type="dxa"/>
        <w:tblCellMar>
          <w:top w:w="0" w:type="dxa"/>
          <w:left w:w="0" w:type="dxa"/>
          <w:bottom w:w="0" w:type="dxa"/>
          <w:right w:w="0" w:type="dxa"/>
        </w:tblCellMar>
      </w:tblPr>
      <w:tblGrid>
        <w:gridCol w:w="5644"/>
        <w:gridCol w:w="60"/>
        <w:gridCol w:w="151"/>
        <w:gridCol w:w="739"/>
        <w:gridCol w:w="102"/>
        <w:gridCol w:w="64"/>
        <w:gridCol w:w="151"/>
        <w:gridCol w:w="739"/>
        <w:gridCol w:w="95"/>
        <w:gridCol w:w="60"/>
        <w:gridCol w:w="140"/>
        <w:gridCol w:w="680"/>
        <w:gridCol w:w="95"/>
        <w:gridCol w:w="60"/>
        <w:gridCol w:w="140"/>
        <w:gridCol w:w="680"/>
        <w:gridCol w:w="605"/>
      </w:tblGrid>
      <w:tr>
        <w:trPr/>
        <w:tc>
          <w:tcPr>
            <w:tcW w:w="5644" w:type="dxa"/>
            <w:tcBorders/>
            <w:shd w:fill="auto" w:val="clear"/>
            <w:vAlign w:val="bottom"/>
          </w:tcPr>
          <w:p>
            <w:pPr>
              <w:pStyle w:val="TableContents"/>
              <w:spacing w:before="0" w:after="283"/>
              <w:ind w:left="0" w:right="0" w:firstLine="180"/>
              <w:rPr/>
            </w:pPr>
            <w:r>
              <w:rPr/>
            </w:r>
          </w:p>
        </w:tc>
        <w:tc>
          <w:tcPr>
            <w:tcW w:w="60" w:type="dxa"/>
            <w:tcBorders/>
            <w:shd w:fill="auto" w:val="clear"/>
            <w:vAlign w:val="bottom"/>
          </w:tcPr>
          <w:p>
            <w:pPr>
              <w:pStyle w:val="TableContents"/>
              <w:spacing w:before="0" w:after="283"/>
              <w:rPr/>
            </w:pPr>
            <w:r>
              <w:rPr/>
            </w:r>
          </w:p>
        </w:tc>
        <w:tc>
          <w:tcPr>
            <w:tcW w:w="1946" w:type="dxa"/>
            <w:gridSpan w:val="6"/>
            <w:tcBorders/>
            <w:shd w:fill="auto" w:val="clear"/>
            <w:vAlign w:val="bottom"/>
          </w:tcPr>
          <w:p>
            <w:pPr>
              <w:pStyle w:val="TableContents"/>
              <w:spacing w:before="0" w:after="0"/>
              <w:jc w:val="center"/>
              <w:rPr>
                <w:color w:val="000000"/>
              </w:rPr>
            </w:pPr>
            <w:r>
              <w:rPr>
                <w:color w:val="000000"/>
              </w:rPr>
              <w:t>Three months ended</w:t>
            </w:r>
          </w:p>
          <w:p>
            <w:pPr>
              <w:pStyle w:val="TableContents"/>
              <w:spacing w:before="0" w:after="0"/>
              <w:jc w:val="center"/>
              <w:rPr>
                <w:color w:val="000000"/>
              </w:rPr>
            </w:pPr>
            <w:r>
              <w:rPr>
                <w:color w:val="000000"/>
              </w:rPr>
              <w:t>June 30,</w:t>
            </w:r>
          </w:p>
        </w:tc>
        <w:tc>
          <w:tcPr>
            <w:tcW w:w="9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1795" w:type="dxa"/>
            <w:gridSpan w:val="6"/>
            <w:tcBorders/>
            <w:shd w:fill="auto" w:val="clear"/>
            <w:vAlign w:val="bottom"/>
          </w:tcPr>
          <w:p>
            <w:pPr>
              <w:pStyle w:val="TableContents"/>
              <w:spacing w:before="0" w:after="0"/>
              <w:jc w:val="center"/>
              <w:rPr>
                <w:color w:val="000000"/>
              </w:rPr>
            </w:pPr>
            <w:r>
              <w:rPr>
                <w:color w:val="000000"/>
              </w:rPr>
              <w:t>Six months ended</w:t>
            </w:r>
          </w:p>
          <w:p>
            <w:pPr>
              <w:pStyle w:val="TableContents"/>
              <w:spacing w:before="0" w:after="0"/>
              <w:jc w:val="center"/>
              <w:rPr>
                <w:color w:val="000000"/>
              </w:rPr>
            </w:pPr>
            <w:r>
              <w:rPr>
                <w:color w:val="000000"/>
              </w:rPr>
              <w:t>June 30,</w:t>
            </w:r>
          </w:p>
        </w:tc>
        <w:tc>
          <w:tcPr>
            <w:tcW w:w="605" w:type="dxa"/>
            <w:tcBorders/>
            <w:shd w:fill="auto" w:val="clear"/>
            <w:vAlign w:val="bottom"/>
          </w:tcPr>
          <w:p>
            <w:pPr>
              <w:pStyle w:val="TableContents"/>
              <w:spacing w:before="0" w:after="283"/>
              <w:ind w:left="0" w:right="0" w:firstLine="360"/>
              <w:rPr/>
            </w:pPr>
            <w:r>
              <w:rPr/>
            </w:r>
          </w:p>
        </w:tc>
      </w:tr>
      <w:tr>
        <w:trPr/>
        <w:tc>
          <w:tcPr>
            <w:tcW w:w="56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2019</w:t>
            </w:r>
          </w:p>
        </w:tc>
        <w:tc>
          <w:tcPr>
            <w:tcW w:w="102"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2018</w:t>
            </w:r>
          </w:p>
        </w:tc>
        <w:tc>
          <w:tcPr>
            <w:tcW w:w="605" w:type="dxa"/>
            <w:tcBorders/>
            <w:shd w:fill="auto" w:val="clear"/>
            <w:vAlign w:val="bottom"/>
          </w:tcPr>
          <w:p>
            <w:pPr>
              <w:pStyle w:val="TableContents"/>
              <w:spacing w:before="0" w:after="283"/>
              <w:ind w:left="0" w:right="0" w:firstLine="540"/>
              <w:rPr/>
            </w:pPr>
            <w:r>
              <w:rPr/>
              <w:t> </w:t>
            </w:r>
          </w:p>
        </w:tc>
      </w:tr>
      <w:tr>
        <w:trPr/>
        <w:tc>
          <w:tcPr>
            <w:tcW w:w="56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96" w:type="dxa"/>
            <w:gridSpan w:val="14"/>
            <w:tcBorders/>
            <w:shd w:fill="auto" w:val="clear"/>
            <w:vAlign w:val="bottom"/>
          </w:tcPr>
          <w:p>
            <w:pPr>
              <w:pStyle w:val="TableContents"/>
              <w:spacing w:before="0" w:after="0"/>
              <w:jc w:val="center"/>
              <w:rPr>
                <w:color w:val="000000"/>
              </w:rPr>
            </w:pPr>
            <w:r>
              <w:rPr>
                <w:color w:val="000000"/>
              </w:rPr>
              <w:t>(In thousands)</w:t>
            </w:r>
          </w:p>
        </w:tc>
        <w:tc>
          <w:tcPr>
            <w:tcW w:w="605" w:type="dxa"/>
            <w:tcBorders/>
            <w:shd w:fill="auto"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Compensation</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rPr>
                <w:color w:val="000000"/>
              </w:rPr>
            </w:pPr>
            <w:r>
              <w:rPr>
                <w:color w:val="000000"/>
              </w:rPr>
              <w:t>$</w:t>
            </w:r>
          </w:p>
        </w:tc>
        <w:tc>
          <w:tcPr>
            <w:tcW w:w="739" w:type="dxa"/>
            <w:tcBorders/>
            <w:shd w:fill="CCEEFF" w:val="clear"/>
            <w:vAlign w:val="bottom"/>
          </w:tcPr>
          <w:p>
            <w:pPr>
              <w:pStyle w:val="TableContents"/>
              <w:spacing w:before="0" w:after="0"/>
              <w:jc w:val="right"/>
              <w:rPr>
                <w:color w:val="000000"/>
              </w:rPr>
            </w:pPr>
            <w:r>
              <w:rPr>
                <w:color w:val="000000"/>
              </w:rPr>
              <w:t>10,185</w:t>
            </w:r>
          </w:p>
        </w:tc>
        <w:tc>
          <w:tcPr>
            <w:tcW w:w="102"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rPr>
                <w:color w:val="000000"/>
              </w:rPr>
            </w:pPr>
            <w:r>
              <w:rPr>
                <w:color w:val="000000"/>
              </w:rPr>
              <w:t>$</w:t>
            </w:r>
          </w:p>
        </w:tc>
        <w:tc>
          <w:tcPr>
            <w:tcW w:w="739" w:type="dxa"/>
            <w:tcBorders/>
            <w:shd w:fill="CCEEFF" w:val="clear"/>
            <w:vAlign w:val="bottom"/>
          </w:tcPr>
          <w:p>
            <w:pPr>
              <w:pStyle w:val="TableContents"/>
              <w:spacing w:before="0" w:after="0"/>
              <w:jc w:val="right"/>
              <w:rPr>
                <w:color w:val="000000"/>
              </w:rPr>
            </w:pPr>
            <w:r>
              <w:rPr>
                <w:color w:val="000000"/>
              </w:rPr>
              <w:t>9,574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20,666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18,504</w:t>
            </w:r>
          </w:p>
        </w:tc>
        <w:tc>
          <w:tcPr>
            <w:tcW w:w="605" w:type="dxa"/>
            <w:tcBorders/>
            <w:shd w:fill="CCEEFF" w:val="clear"/>
            <w:vAlign w:val="bottom"/>
          </w:tcPr>
          <w:p>
            <w:pPr>
              <w:pStyle w:val="TableContents"/>
              <w:spacing w:before="0" w:after="283"/>
              <w:rPr/>
            </w:pPr>
            <w:r>
              <w:rPr/>
              <w:t> </w:t>
            </w:r>
          </w:p>
        </w:tc>
      </w:tr>
      <w:tr>
        <w:trPr/>
        <w:tc>
          <w:tcPr>
            <w:tcW w:w="5644" w:type="dxa"/>
            <w:tcBorders/>
            <w:shd w:fill="FFFFFF" w:val="clear"/>
            <w:vAlign w:val="bottom"/>
          </w:tcPr>
          <w:p>
            <w:pPr>
              <w:pStyle w:val="TableContents"/>
              <w:spacing w:before="0" w:after="0"/>
              <w:rPr>
                <w:color w:val="000000"/>
              </w:rPr>
            </w:pPr>
            <w:r>
              <w:rPr>
                <w:color w:val="000000"/>
              </w:rPr>
              <w:t>Performance-based compensation</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2,296</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3,150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4,516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5,933</w:t>
            </w:r>
          </w:p>
        </w:tc>
        <w:tc>
          <w:tcPr>
            <w:tcW w:w="605" w:type="dxa"/>
            <w:tcBorders/>
            <w:shd w:fill="FFFFFF"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Payroll taxes and employee benefits</w:t>
            </w:r>
          </w:p>
        </w:tc>
        <w:tc>
          <w:tcPr>
            <w:tcW w:w="60" w:type="dxa"/>
            <w:tcBorders/>
            <w:shd w:fill="CCEEFF" w:val="clear"/>
            <w:vAlign w:val="bottom"/>
          </w:tcPr>
          <w:p>
            <w:pPr>
              <w:pStyle w:val="TableContents"/>
              <w:spacing w:before="0" w:after="283"/>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3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3,450</w:t>
            </w:r>
          </w:p>
        </w:tc>
        <w:tc>
          <w:tcPr>
            <w:tcW w:w="102"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3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3,145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7,100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5,900</w:t>
            </w:r>
          </w:p>
        </w:tc>
        <w:tc>
          <w:tcPr>
            <w:tcW w:w="605" w:type="dxa"/>
            <w:tcBorders/>
            <w:shd w:fill="CCEEFF" w:val="clear"/>
            <w:vAlign w:val="bottom"/>
          </w:tcPr>
          <w:p>
            <w:pPr>
              <w:pStyle w:val="TableContents"/>
              <w:spacing w:before="0" w:after="283"/>
              <w:rPr/>
            </w:pPr>
            <w:r>
              <w:rPr/>
              <w:t> </w:t>
            </w:r>
          </w:p>
        </w:tc>
      </w:tr>
      <w:tr>
        <w:trPr/>
        <w:tc>
          <w:tcPr>
            <w:tcW w:w="5644" w:type="dxa"/>
            <w:tcBorders/>
            <w:shd w:fill="FFFFFF" w:val="clear"/>
            <w:vAlign w:val="bottom"/>
          </w:tcPr>
          <w:p>
            <w:pPr>
              <w:pStyle w:val="TableContents"/>
              <w:spacing w:before="0" w:after="0"/>
              <w:ind w:left="180" w:right="0" w:hanging="0"/>
              <w:rPr>
                <w:color w:val="000000"/>
              </w:rPr>
            </w:pPr>
            <w:r>
              <w:rPr>
                <w:color w:val="000000"/>
              </w:rPr>
              <w:t>Compensation and employee benefits</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15,931</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15,869</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32,282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30,337</w:t>
            </w:r>
          </w:p>
        </w:tc>
        <w:tc>
          <w:tcPr>
            <w:tcW w:w="605" w:type="dxa"/>
            <w:tcBorders/>
            <w:shd w:fill="FFFFFF"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Occupancy, net</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2,131</w:t>
            </w:r>
          </w:p>
        </w:tc>
        <w:tc>
          <w:tcPr>
            <w:tcW w:w="102"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2,170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4,636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4,434</w:t>
            </w:r>
          </w:p>
        </w:tc>
        <w:tc>
          <w:tcPr>
            <w:tcW w:w="605" w:type="dxa"/>
            <w:tcBorders/>
            <w:shd w:fill="CCEEFF" w:val="clear"/>
            <w:vAlign w:val="bottom"/>
          </w:tcPr>
          <w:p>
            <w:pPr>
              <w:pStyle w:val="TableContents"/>
              <w:spacing w:before="0" w:after="283"/>
              <w:rPr/>
            </w:pPr>
            <w:r>
              <w:rPr/>
              <w:t> </w:t>
            </w:r>
          </w:p>
        </w:tc>
      </w:tr>
      <w:tr>
        <w:trPr/>
        <w:tc>
          <w:tcPr>
            <w:tcW w:w="5644" w:type="dxa"/>
            <w:tcBorders/>
            <w:shd w:fill="FFFFFF" w:val="clear"/>
            <w:vAlign w:val="bottom"/>
          </w:tcPr>
          <w:p>
            <w:pPr>
              <w:pStyle w:val="TableContents"/>
              <w:spacing w:before="0" w:after="0"/>
              <w:rPr>
                <w:color w:val="000000"/>
              </w:rPr>
            </w:pPr>
            <w:r>
              <w:rPr>
                <w:color w:val="000000"/>
              </w:rPr>
              <w:t>Data processing</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2,171</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2,251</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4,315</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4,129</w:t>
            </w:r>
          </w:p>
        </w:tc>
        <w:tc>
          <w:tcPr>
            <w:tcW w:w="605" w:type="dxa"/>
            <w:tcBorders/>
            <w:shd w:fill="FFFFFF"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Furniture, fixtures and equipment</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1,006</w:t>
            </w:r>
          </w:p>
        </w:tc>
        <w:tc>
          <w:tcPr>
            <w:tcW w:w="102"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1,019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2,035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1,986</w:t>
            </w:r>
          </w:p>
        </w:tc>
        <w:tc>
          <w:tcPr>
            <w:tcW w:w="605" w:type="dxa"/>
            <w:tcBorders/>
            <w:shd w:fill="CCEEFF" w:val="clear"/>
            <w:vAlign w:val="bottom"/>
          </w:tcPr>
          <w:p>
            <w:pPr>
              <w:pStyle w:val="TableContents"/>
              <w:spacing w:before="0" w:after="283"/>
              <w:rPr/>
            </w:pPr>
            <w:r>
              <w:rPr/>
              <w:t> </w:t>
            </w:r>
          </w:p>
        </w:tc>
      </w:tr>
      <w:tr>
        <w:trPr/>
        <w:tc>
          <w:tcPr>
            <w:tcW w:w="5644" w:type="dxa"/>
            <w:tcBorders/>
            <w:shd w:fill="FFFFFF" w:val="clear"/>
            <w:vAlign w:val="bottom"/>
          </w:tcPr>
          <w:p>
            <w:pPr>
              <w:pStyle w:val="TableContents"/>
              <w:spacing w:before="0" w:after="0"/>
              <w:rPr>
                <w:color w:val="000000"/>
              </w:rPr>
            </w:pPr>
            <w:r>
              <w:rPr>
                <w:color w:val="000000"/>
              </w:rPr>
              <w:t>Communications</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717</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704</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1,486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1,384</w:t>
            </w:r>
          </w:p>
        </w:tc>
        <w:tc>
          <w:tcPr>
            <w:tcW w:w="605" w:type="dxa"/>
            <w:tcBorders/>
            <w:shd w:fill="FFFFFF"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Interchange expense</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753</w:t>
            </w:r>
          </w:p>
        </w:tc>
        <w:tc>
          <w:tcPr>
            <w:tcW w:w="102"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661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1,441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1,259</w:t>
            </w:r>
          </w:p>
        </w:tc>
        <w:tc>
          <w:tcPr>
            <w:tcW w:w="605" w:type="dxa"/>
            <w:tcBorders/>
            <w:shd w:fill="CCEEFF" w:val="clear"/>
            <w:vAlign w:val="bottom"/>
          </w:tcPr>
          <w:p>
            <w:pPr>
              <w:pStyle w:val="TableContents"/>
              <w:spacing w:before="0" w:after="283"/>
              <w:rPr/>
            </w:pPr>
            <w:r>
              <w:rPr/>
              <w:t> </w:t>
            </w:r>
          </w:p>
        </w:tc>
      </w:tr>
      <w:tr>
        <w:trPr/>
        <w:tc>
          <w:tcPr>
            <w:tcW w:w="5644" w:type="dxa"/>
            <w:tcBorders/>
            <w:shd w:fill="FFFFFF" w:val="clear"/>
            <w:vAlign w:val="bottom"/>
          </w:tcPr>
          <w:p>
            <w:pPr>
              <w:pStyle w:val="TableContents"/>
              <w:spacing w:before="0" w:after="0"/>
              <w:rPr>
                <w:color w:val="000000"/>
              </w:rPr>
            </w:pPr>
            <w:r>
              <w:rPr>
                <w:color w:val="000000"/>
              </w:rPr>
              <w:t>Advertising</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627</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543</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1,299</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984</w:t>
            </w:r>
          </w:p>
        </w:tc>
        <w:tc>
          <w:tcPr>
            <w:tcW w:w="605" w:type="dxa"/>
            <w:tcBorders/>
            <w:shd w:fill="FFFFFF"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Loan and collection</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628</w:t>
            </w:r>
          </w:p>
        </w:tc>
        <w:tc>
          <w:tcPr>
            <w:tcW w:w="102"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692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1,262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1,369</w:t>
            </w:r>
          </w:p>
        </w:tc>
        <w:tc>
          <w:tcPr>
            <w:tcW w:w="605" w:type="dxa"/>
            <w:tcBorders/>
            <w:shd w:fill="CCEEFF" w:val="clear"/>
            <w:vAlign w:val="bottom"/>
          </w:tcPr>
          <w:p>
            <w:pPr>
              <w:pStyle w:val="TableContents"/>
              <w:spacing w:before="0" w:after="283"/>
              <w:rPr/>
            </w:pPr>
            <w:r>
              <w:rPr/>
              <w:t> </w:t>
            </w:r>
          </w:p>
        </w:tc>
      </w:tr>
      <w:tr>
        <w:trPr/>
        <w:tc>
          <w:tcPr>
            <w:tcW w:w="5644" w:type="dxa"/>
            <w:tcBorders/>
            <w:shd w:fill="FFFFFF" w:val="clear"/>
            <w:vAlign w:val="bottom"/>
          </w:tcPr>
          <w:p>
            <w:pPr>
              <w:pStyle w:val="TableContents"/>
              <w:spacing w:before="0" w:after="0"/>
              <w:rPr>
                <w:color w:val="000000"/>
              </w:rPr>
            </w:pPr>
            <w:r>
              <w:rPr>
                <w:color w:val="000000"/>
              </w:rPr>
              <w:t>Legal and professional</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371</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456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740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834</w:t>
            </w:r>
          </w:p>
        </w:tc>
        <w:tc>
          <w:tcPr>
            <w:tcW w:w="605" w:type="dxa"/>
            <w:tcBorders/>
            <w:shd w:fill="FFFFFF"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FDIC deposit insurance</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342</w:t>
            </w:r>
          </w:p>
        </w:tc>
        <w:tc>
          <w:tcPr>
            <w:tcW w:w="102"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250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710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480</w:t>
            </w:r>
          </w:p>
        </w:tc>
        <w:tc>
          <w:tcPr>
            <w:tcW w:w="605" w:type="dxa"/>
            <w:tcBorders/>
            <w:shd w:fill="CCEEFF" w:val="clear"/>
            <w:vAlign w:val="bottom"/>
          </w:tcPr>
          <w:p>
            <w:pPr>
              <w:pStyle w:val="TableContents"/>
              <w:spacing w:before="0" w:after="283"/>
              <w:rPr/>
            </w:pPr>
            <w:r>
              <w:rPr/>
              <w:t> </w:t>
            </w:r>
          </w:p>
        </w:tc>
      </w:tr>
      <w:tr>
        <w:trPr/>
        <w:tc>
          <w:tcPr>
            <w:tcW w:w="5644" w:type="dxa"/>
            <w:tcBorders/>
            <w:shd w:fill="FFFFFF" w:val="clear"/>
            <w:vAlign w:val="bottom"/>
          </w:tcPr>
          <w:p>
            <w:pPr>
              <w:pStyle w:val="TableContents"/>
              <w:spacing w:before="0" w:after="0"/>
              <w:rPr>
                <w:color w:val="000000"/>
              </w:rPr>
            </w:pPr>
            <w:r>
              <w:rPr>
                <w:color w:val="000000"/>
              </w:rPr>
              <w:t>Amortization of intangible assets</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273</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295</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545</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381</w:t>
            </w:r>
          </w:p>
        </w:tc>
        <w:tc>
          <w:tcPr>
            <w:tcW w:w="605" w:type="dxa"/>
            <w:tcBorders/>
            <w:shd w:fill="FFFFFF"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Supplies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153</w:t>
            </w:r>
          </w:p>
        </w:tc>
        <w:tc>
          <w:tcPr>
            <w:tcW w:w="102"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178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311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343</w:t>
            </w:r>
          </w:p>
        </w:tc>
        <w:tc>
          <w:tcPr>
            <w:tcW w:w="605" w:type="dxa"/>
            <w:tcBorders/>
            <w:shd w:fill="CCEEFF" w:val="clear"/>
            <w:vAlign w:val="bottom"/>
          </w:tcPr>
          <w:p>
            <w:pPr>
              <w:pStyle w:val="TableContents"/>
              <w:spacing w:before="0" w:after="283"/>
              <w:rPr/>
            </w:pPr>
            <w:r>
              <w:rPr/>
              <w:t> </w:t>
            </w:r>
          </w:p>
        </w:tc>
      </w:tr>
      <w:tr>
        <w:trPr/>
        <w:tc>
          <w:tcPr>
            <w:tcW w:w="5644" w:type="dxa"/>
            <w:tcBorders/>
            <w:shd w:fill="FFFFFF" w:val="clear"/>
            <w:vAlign w:val="bottom"/>
          </w:tcPr>
          <w:p>
            <w:pPr>
              <w:pStyle w:val="TableContents"/>
              <w:spacing w:before="0" w:after="0"/>
              <w:rPr>
                <w:color w:val="000000"/>
              </w:rPr>
            </w:pPr>
            <w:r>
              <w:rPr>
                <w:color w:val="000000"/>
              </w:rPr>
              <w:t>Credit card and bank service fees</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97</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106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200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202</w:t>
            </w:r>
          </w:p>
        </w:tc>
        <w:tc>
          <w:tcPr>
            <w:tcW w:w="605" w:type="dxa"/>
            <w:tcBorders/>
            <w:shd w:fill="FFFFFF"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Costs (recoveries) related to unfunded lending commitments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27</w:t>
            </w:r>
          </w:p>
        </w:tc>
        <w:tc>
          <w:tcPr>
            <w:tcW w:w="102"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37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187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(77</w:t>
            </w:r>
          </w:p>
        </w:tc>
        <w:tc>
          <w:tcPr>
            <w:tcW w:w="605" w:type="dxa"/>
            <w:tcBorders/>
            <w:shd w:fill="CCEEFF" w:val="clear"/>
            <w:vAlign w:val="bottom"/>
          </w:tcPr>
          <w:p>
            <w:pPr>
              <w:pStyle w:val="TableContents"/>
              <w:spacing w:before="0" w:after="0"/>
              <w:rPr>
                <w:color w:val="000000"/>
              </w:rPr>
            </w:pPr>
            <w:r>
              <w:rPr>
                <w:color w:val="000000"/>
              </w:rPr>
              <w:t>)</w:t>
            </w:r>
          </w:p>
        </w:tc>
      </w:tr>
      <w:tr>
        <w:trPr/>
        <w:tc>
          <w:tcPr>
            <w:tcW w:w="5644" w:type="dxa"/>
            <w:tcBorders/>
            <w:shd w:fill="FFFFFF" w:val="clear"/>
            <w:vAlign w:val="bottom"/>
          </w:tcPr>
          <w:p>
            <w:pPr>
              <w:pStyle w:val="TableContents"/>
              <w:spacing w:before="0" w:after="0"/>
              <w:rPr>
                <w:color w:val="000000"/>
              </w:rPr>
            </w:pPr>
            <w:r>
              <w:rPr>
                <w:color w:val="000000"/>
              </w:rPr>
              <w:t>Provision for loss reimbursement on sold loans</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35</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20</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146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31</w:t>
            </w:r>
          </w:p>
        </w:tc>
        <w:tc>
          <w:tcPr>
            <w:tcW w:w="605" w:type="dxa"/>
            <w:tcBorders/>
            <w:shd w:fill="FFFFFF"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Net gains on other real estate and repossessed assets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(198</w:t>
            </w:r>
          </w:p>
        </w:tc>
        <w:tc>
          <w:tcPr>
            <w:tcW w:w="102" w:type="dxa"/>
            <w:tcBorders/>
            <w:shd w:fill="CCEEFF" w:val="clear"/>
            <w:vAlign w:val="bottom"/>
          </w:tcPr>
          <w:p>
            <w:pPr>
              <w:pStyle w:val="TableContents"/>
              <w:spacing w:before="0" w:after="0"/>
              <w:rPr>
                <w:color w:val="000000"/>
              </w:rPr>
            </w:pPr>
            <w:r>
              <w:rPr>
                <w:color w:val="000000"/>
              </w:rPr>
              <w:t>)</w:t>
            </w:r>
          </w:p>
        </w:tc>
        <w:tc>
          <w:tcPr>
            <w:tcW w:w="6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0"/>
              <w:jc w:val="right"/>
              <w:rPr>
                <w:color w:val="000000"/>
              </w:rPr>
            </w:pPr>
            <w:r>
              <w:rPr>
                <w:color w:val="000000"/>
              </w:rPr>
              <w:t>(4</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(79</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(294</w:t>
            </w:r>
          </w:p>
        </w:tc>
        <w:tc>
          <w:tcPr>
            <w:tcW w:w="605" w:type="dxa"/>
            <w:tcBorders/>
            <w:shd w:fill="CCEEFF" w:val="clear"/>
            <w:vAlign w:val="bottom"/>
          </w:tcPr>
          <w:p>
            <w:pPr>
              <w:pStyle w:val="TableContents"/>
              <w:spacing w:before="0" w:after="0"/>
              <w:rPr>
                <w:color w:val="000000"/>
              </w:rPr>
            </w:pPr>
            <w:r>
              <w:rPr>
                <w:color w:val="000000"/>
              </w:rPr>
              <w:t>)</w:t>
            </w:r>
          </w:p>
        </w:tc>
      </w:tr>
      <w:tr>
        <w:trPr/>
        <w:tc>
          <w:tcPr>
            <w:tcW w:w="5644" w:type="dxa"/>
            <w:tcBorders/>
            <w:shd w:fill="FFFFFF" w:val="clear"/>
            <w:vAlign w:val="bottom"/>
          </w:tcPr>
          <w:p>
            <w:pPr>
              <w:pStyle w:val="TableContents"/>
              <w:spacing w:before="0" w:after="0"/>
              <w:rPr>
                <w:color w:val="000000"/>
              </w:rPr>
            </w:pPr>
            <w:r>
              <w:rPr>
                <w:color w:val="000000"/>
              </w:rPr>
              <w:t>Merger related expenses</w:t>
            </w:r>
          </w:p>
        </w:tc>
        <w:tc>
          <w:tcPr>
            <w:tcW w:w="60"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rPr/>
            </w:pPr>
            <w:r>
              <w:rPr/>
              <w:t> </w:t>
            </w:r>
          </w:p>
        </w:tc>
        <w:tc>
          <w:tcPr>
            <w:tcW w:w="739" w:type="dxa"/>
            <w:tcBorders/>
            <w:shd w:fill="FFFFFF" w:val="clear"/>
            <w:vAlign w:val="bottom"/>
          </w:tcPr>
          <w:p>
            <w:pPr>
              <w:pStyle w:val="TableContents"/>
              <w:spacing w:before="0" w:after="0"/>
              <w:jc w:val="right"/>
              <w:rPr>
                <w:color w:val="000000"/>
              </w:rPr>
            </w:pPr>
            <w:r>
              <w:rPr>
                <w:color w:val="000000"/>
              </w:rPr>
              <w:t>3,082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3,256</w:t>
            </w:r>
          </w:p>
        </w:tc>
        <w:tc>
          <w:tcPr>
            <w:tcW w:w="605" w:type="dxa"/>
            <w:tcBorders/>
            <w:shd w:fill="FFFFFF" w:val="clear"/>
            <w:vAlign w:val="bottom"/>
          </w:tcPr>
          <w:p>
            <w:pPr>
              <w:pStyle w:val="TableContents"/>
              <w:spacing w:before="0" w:after="283"/>
              <w:rPr/>
            </w:pPr>
            <w:r>
              <w:rPr/>
              <w:t> </w:t>
            </w:r>
          </w:p>
        </w:tc>
      </w:tr>
      <w:tr>
        <w:trPr/>
        <w:tc>
          <w:tcPr>
            <w:tcW w:w="5644" w:type="dxa"/>
            <w:tcBorders/>
            <w:shd w:fill="CCEEFF" w:val="clear"/>
            <w:vAlign w:val="bottom"/>
          </w:tcPr>
          <w:p>
            <w:pPr>
              <w:pStyle w:val="TableContents"/>
              <w:spacing w:before="0" w:after="0"/>
              <w:rPr>
                <w:color w:val="000000"/>
              </w:rPr>
            </w:pPr>
            <w:r>
              <w:rPr>
                <w:color w:val="000000"/>
              </w:rPr>
              <w:t>Other</w:t>
            </w:r>
          </w:p>
        </w:tc>
        <w:tc>
          <w:tcPr>
            <w:tcW w:w="60" w:type="dxa"/>
            <w:tcBorders/>
            <w:shd w:fill="CCEEFF" w:val="clear"/>
            <w:vAlign w:val="bottom"/>
          </w:tcPr>
          <w:p>
            <w:pPr>
              <w:pStyle w:val="TableContents"/>
              <w:spacing w:before="0" w:after="283"/>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3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1,528</w:t>
            </w:r>
          </w:p>
        </w:tc>
        <w:tc>
          <w:tcPr>
            <w:tcW w:w="102" w:type="dxa"/>
            <w:tcBorders/>
            <w:shd w:fill="CCEEFF" w:val="clear"/>
            <w:vAlign w:val="bottom"/>
          </w:tcPr>
          <w:p>
            <w:pPr>
              <w:pStyle w:val="TableContents"/>
              <w:spacing w:before="0" w:after="283"/>
              <w:rPr/>
            </w:pPr>
            <w:r>
              <w:rPr/>
              <w:t> </w:t>
            </w:r>
          </w:p>
        </w:tc>
        <w:tc>
          <w:tcPr>
            <w:tcW w:w="64" w:type="dxa"/>
            <w:tcBorders/>
            <w:shd w:fill="CCEEFF" w:val="clear"/>
            <w:vAlign w:val="bottom"/>
          </w:tcPr>
          <w:p>
            <w:pPr>
              <w:pStyle w:val="TableContents"/>
              <w:spacing w:before="0" w:after="283"/>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3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1,432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3,066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2,858</w:t>
            </w:r>
          </w:p>
        </w:tc>
        <w:tc>
          <w:tcPr>
            <w:tcW w:w="605" w:type="dxa"/>
            <w:tcBorders/>
            <w:shd w:fill="CCEEFF" w:val="clear"/>
            <w:vAlign w:val="bottom"/>
          </w:tcPr>
          <w:p>
            <w:pPr>
              <w:pStyle w:val="TableContents"/>
              <w:spacing w:before="0" w:after="283"/>
              <w:rPr/>
            </w:pPr>
            <w:r>
              <w:rPr/>
              <w:t> </w:t>
            </w:r>
          </w:p>
        </w:tc>
      </w:tr>
      <w:tr>
        <w:trPr/>
        <w:tc>
          <w:tcPr>
            <w:tcW w:w="5644" w:type="dxa"/>
            <w:tcBorders/>
            <w:shd w:fill="FFFFFF" w:val="clear"/>
            <w:vAlign w:val="bottom"/>
          </w:tcPr>
          <w:p>
            <w:pPr>
              <w:pStyle w:val="TableContents"/>
              <w:spacing w:before="0" w:after="0"/>
              <w:ind w:left="180" w:right="0" w:hanging="0"/>
              <w:rPr>
                <w:color w:val="000000"/>
              </w:rPr>
            </w:pPr>
            <w:r>
              <w:rPr>
                <w:color w:val="000000"/>
              </w:rPr>
              <w:t>Total non-interest expense</w:t>
            </w:r>
          </w:p>
        </w:tc>
        <w:tc>
          <w:tcPr>
            <w:tcW w:w="60" w:type="dxa"/>
            <w:tcBorders/>
            <w:shd w:fill="FFFFFF" w:val="clear"/>
            <w:vAlign w:val="bottom"/>
          </w:tcPr>
          <w:p>
            <w:pPr>
              <w:pStyle w:val="TableContents"/>
              <w:spacing w:before="0" w:after="283"/>
              <w:rPr/>
            </w:pPr>
            <w:r>
              <w:rPr/>
              <w:t> </w:t>
            </w:r>
          </w:p>
        </w:tc>
        <w:tc>
          <w:tcPr>
            <w:tcW w:w="151"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739"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26,592</w:t>
            </w:r>
          </w:p>
        </w:tc>
        <w:tc>
          <w:tcPr>
            <w:tcW w:w="102" w:type="dxa"/>
            <w:tcBorders/>
            <w:shd w:fill="FFFFFF" w:val="clear"/>
            <w:vAlign w:val="bottom"/>
          </w:tcPr>
          <w:p>
            <w:pPr>
              <w:pStyle w:val="TableContents"/>
              <w:spacing w:before="0" w:after="283"/>
              <w:rPr/>
            </w:pPr>
            <w:r>
              <w:rPr/>
              <w:t> </w:t>
            </w:r>
          </w:p>
        </w:tc>
        <w:tc>
          <w:tcPr>
            <w:tcW w:w="64" w:type="dxa"/>
            <w:tcBorders/>
            <w:shd w:fill="FFFFFF" w:val="clear"/>
            <w:vAlign w:val="bottom"/>
          </w:tcPr>
          <w:p>
            <w:pPr>
              <w:pStyle w:val="TableContents"/>
              <w:spacing w:before="0" w:after="283"/>
              <w:rPr/>
            </w:pPr>
            <w:r>
              <w:rPr/>
              <w:t> </w:t>
            </w:r>
          </w:p>
        </w:tc>
        <w:tc>
          <w:tcPr>
            <w:tcW w:w="151"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739"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29,761</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54,582</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53,896</w:t>
            </w:r>
          </w:p>
        </w:tc>
        <w:tc>
          <w:tcPr>
            <w:tcW w:w="605"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Compensation and employee benefits expenses, in total, increased $0.1 million on a quarterly comparative basis and increased $1.9 million for the first six months of 2019 compared to the same periods in 2018.</w:t>
      </w:r>
    </w:p>
    <w:p>
      <w:pPr>
        <w:pStyle w:val="TextBody"/>
        <w:spacing w:before="0" w:after="0"/>
        <w:rPr/>
      </w:pPr>
      <w:r>
        <w:rPr/>
      </w:r>
    </w:p>
    <w:p>
      <w:pPr>
        <w:pStyle w:val="TextBody"/>
        <w:spacing w:before="0" w:after="0"/>
        <w:jc w:val="both"/>
        <w:rPr/>
      </w:pPr>
      <w:r>
        <w:rPr/>
        <w:t>Compensation expense increased by $0.6 million and $2.2 million in the second quarter and first six months of 2019, respectively, compared to the same periods in 2018.  The quarterly comparative increase in 2019 is primarily due to salary increases that were predominantly effective on January 1, 2019.  The higher year-to-date comparative increase in 2019 also reflects the impact of the Merger.</w:t>
      </w:r>
    </w:p>
    <w:p>
      <w:pPr>
        <w:pStyle w:val="TextBody"/>
        <w:spacing w:before="0" w:after="0"/>
        <w:rPr/>
      </w:pPr>
      <w:r>
        <w:rPr/>
      </w:r>
    </w:p>
    <w:p>
      <w:pPr>
        <w:pStyle w:val="TextBody"/>
        <w:spacing w:before="0" w:after="0"/>
        <w:jc w:val="both"/>
        <w:rPr/>
      </w:pPr>
      <w:r>
        <w:rPr/>
        <w:t>Performance-based compensation decreased by $0.9 million and $1.4 million in the second quarter and first six months of 2019, respectively, versus the same periods in 2018, due primarily to relative comparative changes in the accrual for anticipated incentive compensation based on our estimated full-year performance as compared to goals.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55" w:name="DSPFPageBreakArea73"/>
      <w:bookmarkStart w:id="756" w:name="DSPFPageBreakArea73"/>
      <w:bookmarkEnd w:id="7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57" w:name="DSPFPageNumber73"/>
      <w:bookmarkStart w:id="758" w:name="DSPFPageNumberArea72"/>
      <w:bookmarkEnd w:id="757"/>
      <w:bookmarkEnd w:id="758"/>
      <w:r>
        <w:rPr>
          <w:b w:val="false"/>
          <w:i w:val="false"/>
          <w:caps w:val="false"/>
          <w:smallCaps w:val="false"/>
          <w:sz w:val="13"/>
        </w:rPr>
        <w:t>74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9" w:name="DSPFPageBreak73"/>
      <w:bookmarkStart w:id="760" w:name="DSPFPageBreak73"/>
      <w:bookmarkEnd w:id="7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61" w:name="DSPFPageHeader72"/>
        <w:bookmarkEnd w:id="761"/>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Payroll taxes and employee benefits increased by $0.3 million and $1.2 million in the second quarter and first six months of 2019, respectively, compared to the same periods in 2018, due primarily to increases in health care costs (due to increased claims in 2019) and workers’ compensation insurance costs and for the year-to-date comparative periods, the impact of the Merger.</w:t>
      </w:r>
    </w:p>
    <w:p>
      <w:pPr>
        <w:pStyle w:val="TextBody"/>
        <w:spacing w:before="0" w:after="0"/>
        <w:rPr/>
      </w:pPr>
      <w:r>
        <w:rPr/>
      </w:r>
    </w:p>
    <w:p>
      <w:pPr>
        <w:pStyle w:val="TextBody"/>
        <w:spacing w:before="0" w:after="0"/>
        <w:ind w:left="0" w:right="113" w:hanging="0"/>
        <w:jc w:val="both"/>
        <w:rPr/>
      </w:pPr>
      <w:r>
        <w:rPr/>
        <w:t>Occupancy, net, data processing, furniture, fixtures and equipment, communications, supplies, and credit card and bank service fees expenses were all relatively unchanged on a comparative quarterly basis in 2019 as compared to 2018.</w:t>
      </w:r>
    </w:p>
    <w:p>
      <w:pPr>
        <w:pStyle w:val="TextBody"/>
        <w:spacing w:before="0" w:after="0"/>
        <w:rPr/>
      </w:pPr>
      <w:r>
        <w:rPr/>
      </w:r>
    </w:p>
    <w:p>
      <w:pPr>
        <w:pStyle w:val="TextBody"/>
        <w:spacing w:before="0" w:after="0"/>
        <w:ind w:left="0" w:right="113" w:hanging="0"/>
        <w:jc w:val="both"/>
        <w:rPr/>
      </w:pPr>
      <w:r>
        <w:rPr/>
        <w:t xml:space="preserve">Interchange expense primarily represents our third-party cost to process debit card transactions.  This cost increased in 2019 on both a comparative quarterly and year-to-date basis as compared to 2018 </w:t>
      </w:r>
      <w:r>
        <w:rPr>
          <w:color w:val="000000"/>
        </w:rPr>
        <w:t>due principally to an increase in transaction volume.</w:t>
      </w:r>
    </w:p>
    <w:p>
      <w:pPr>
        <w:pStyle w:val="TextBody"/>
        <w:spacing w:before="0" w:after="0"/>
        <w:rPr/>
      </w:pPr>
      <w:r>
        <w:rPr/>
      </w:r>
    </w:p>
    <w:p>
      <w:pPr>
        <w:pStyle w:val="TextBody"/>
        <w:spacing w:before="0" w:after="0"/>
        <w:jc w:val="both"/>
        <w:rPr/>
      </w:pPr>
      <w:r>
        <w:rPr>
          <w:color w:val="000000"/>
        </w:rPr>
        <w:t xml:space="preserve">Total advertising expenses </w:t>
      </w:r>
      <w:r>
        <w:rPr/>
        <w:t>increased in 2019 on both a comparative quarterly and year-to-date basis as compared to 2018 due primarily to an increase in outdoor (billboard) advertising.</w:t>
      </w:r>
    </w:p>
    <w:p>
      <w:pPr>
        <w:pStyle w:val="TextBody"/>
        <w:spacing w:before="0" w:after="0"/>
        <w:ind w:left="0" w:right="113" w:hanging="0"/>
        <w:jc w:val="both"/>
        <w:rPr/>
      </w:pPr>
      <w:r>
        <w:rPr/>
      </w:r>
    </w:p>
    <w:p>
      <w:pPr>
        <w:pStyle w:val="TextBody"/>
        <w:spacing w:before="0" w:after="0"/>
        <w:jc w:val="both"/>
        <w:rPr/>
      </w:pPr>
      <w:r>
        <w:rPr/>
        <w:t>Loan and collection expenses reflect costs related to new lending activity as well as the management and collection of non-performing loans and other problem credits.  These costs did not vary significantly in 2019 as compared to 2018.</w:t>
      </w:r>
    </w:p>
    <w:p>
      <w:pPr>
        <w:pStyle w:val="TextBody"/>
        <w:spacing w:before="0" w:after="0"/>
        <w:rPr/>
      </w:pPr>
      <w:r>
        <w:rPr/>
      </w:r>
    </w:p>
    <w:p>
      <w:pPr>
        <w:pStyle w:val="TextBody"/>
        <w:spacing w:before="0" w:after="0"/>
        <w:jc w:val="both"/>
        <w:rPr/>
      </w:pPr>
      <w:r>
        <w:rPr/>
        <w:t>Legal and professional fees declined in 2019 on both a comparative quarterly and year-to-date basis as compared to 2018 due primarily to a decrease in consulting fees related to certain deposit account acquisition and branch evaluation projects.</w:t>
      </w:r>
    </w:p>
    <w:p>
      <w:pPr>
        <w:pStyle w:val="TextBody"/>
        <w:spacing w:before="0" w:after="0"/>
        <w:rPr/>
      </w:pPr>
      <w:r>
        <w:rPr/>
      </w:r>
    </w:p>
    <w:p>
      <w:pPr>
        <w:pStyle w:val="TextBody"/>
        <w:spacing w:before="0" w:after="0"/>
        <w:jc w:val="both"/>
        <w:rPr/>
      </w:pPr>
      <w:r>
        <w:rPr>
          <w:color w:val="000000"/>
        </w:rPr>
        <w:t xml:space="preserve">FDIC deposit insurance expense </w:t>
      </w:r>
      <w:r>
        <w:rPr/>
        <w:t>increased in 2019 on both a comparative quarterly and year-to-date basis as compared to 2018</w:t>
      </w:r>
      <w:r>
        <w:rPr>
          <w:color w:val="000000"/>
        </w:rPr>
        <w:t xml:space="preserve"> due to a combination of an increase in our assessment rate and growth in our total assets.</w:t>
      </w:r>
    </w:p>
    <w:p>
      <w:pPr>
        <w:pStyle w:val="TextBody"/>
        <w:spacing w:before="0" w:after="0"/>
        <w:rPr/>
      </w:pPr>
      <w:r>
        <w:rPr/>
      </w:r>
    </w:p>
    <w:p>
      <w:pPr>
        <w:pStyle w:val="TextBody"/>
        <w:spacing w:before="0" w:after="0"/>
        <w:jc w:val="both"/>
        <w:rPr/>
      </w:pPr>
      <w:r>
        <w:rPr/>
        <w:t>The amortization of intangible assets relates to the Merger and prior branch acquisitions and the amortization of the deposit customer relationship value, including core deposit value, which was acquired in connection with those acquisitions. We had remaining unamortized intangible assets of $5.9 million and $6.4 million at June 30, 2019 and December 31, 2018, respectively. See note #7 to the Condensed Consolidated Financial Statements for a schedule of future amortization of intangible assets.</w:t>
      </w:r>
    </w:p>
    <w:p>
      <w:pPr>
        <w:pStyle w:val="TextBody"/>
        <w:spacing w:before="0" w:after="0"/>
        <w:rPr/>
      </w:pPr>
      <w:r>
        <w:rPr/>
      </w:r>
    </w:p>
    <w:p>
      <w:pPr>
        <w:pStyle w:val="TextBody"/>
        <w:spacing w:before="0" w:after="0"/>
        <w:jc w:val="both"/>
        <w:rPr/>
      </w:pPr>
      <w:r>
        <w:rPr/>
        <w:t>The changes in cost (recoveries) related to unfunded lending commitments are primarily impacted by changes in the amounts of such commitments to originate portfolio loans as well as (for commercial loan commitments) the grade (pursuant to our loan rating system) of such commitments.</w:t>
      </w:r>
    </w:p>
    <w:p>
      <w:pPr>
        <w:pStyle w:val="TextBody"/>
        <w:spacing w:before="0" w:after="0"/>
        <w:rPr/>
      </w:pPr>
      <w:r>
        <w:rPr/>
      </w:r>
    </w:p>
    <w:p>
      <w:pPr>
        <w:pStyle w:val="TextBody"/>
        <w:spacing w:before="0" w:after="0"/>
        <w:jc w:val="both"/>
        <w:rPr/>
      </w:pPr>
      <w:r>
        <w:rPr/>
        <w:t>The provision for loss reimbursement on sold loans was an expense of $0.04 million and $0.15 million in the second quarter and first six months of 2019, respectively, compared to an expense of $0.02 million and $0.03 million in the second quarter and first six months of 2018, respectively. This provision represents our estimate of incurred losses related to mortgage loans that we have sold to investors (primarily Fannie Mae, Freddie Mac, Ginnie Mae and the Federal Home Loan Bank of Indianapolis).  The small expense provisions in 2019 and 2018 are primarily due to growth in the balance of loans serviced for investors.  Since we sell mortgage loans without recourse, loss reimbursements only occur in those instances where we have breached a representation or warranty or other contractual requirement related to the loan sale.  The reserve for loss reimbursements on sold mortgage loans totaled $0.83 million and $0.78 million at June 30, 2019 and December 31, 2018, respectively. This reserve is included in accrued expenses and other liabilities in our Condensed Consolidated Statements of Financial Condition.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62" w:name="DSPFPageBreakArea74"/>
      <w:bookmarkStart w:id="763" w:name="DSPFPageBreakArea74"/>
      <w:bookmarkEnd w:id="7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64" w:name="DSPFPageNumber74"/>
      <w:bookmarkStart w:id="765" w:name="DSPFPageNumberArea73"/>
      <w:bookmarkEnd w:id="764"/>
      <w:bookmarkEnd w:id="765"/>
      <w:r>
        <w:rPr>
          <w:b w:val="false"/>
          <w:i w:val="false"/>
          <w:caps w:val="false"/>
          <w:smallCaps w:val="false"/>
          <w:sz w:val="13"/>
        </w:rPr>
        <w:t>75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66" w:name="DSPFPageBreak74"/>
      <w:bookmarkStart w:id="767" w:name="DSPFPageBreak74"/>
      <w:bookmarkEnd w:id="7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68" w:name="DSPFPageHeader73"/>
        <w:bookmarkEnd w:id="768"/>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Net gains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w:t>
      </w:r>
    </w:p>
    <w:p>
      <w:pPr>
        <w:pStyle w:val="TextBody"/>
        <w:spacing w:before="0" w:after="0"/>
        <w:rPr/>
      </w:pPr>
      <w:r>
        <w:rPr/>
      </w:r>
    </w:p>
    <w:p>
      <w:pPr>
        <w:pStyle w:val="TextBody"/>
        <w:spacing w:before="0" w:after="0"/>
        <w:ind w:left="0" w:right="113" w:hanging="0"/>
        <w:jc w:val="both"/>
        <w:rPr/>
      </w:pPr>
      <w:r>
        <w:rPr/>
        <w:t>Merger related expenses totaled $3.1 million and $3.3 million for the second quarter and first six months of 2018, respectively.  These expenses included our investment banking fees, certain accounting and legal costs, various contract termination fees, data processing conversion costs, payments made on officer change-in-control contracts, and employee severance costs.</w:t>
      </w:r>
    </w:p>
    <w:p>
      <w:pPr>
        <w:pStyle w:val="TextBody"/>
        <w:spacing w:before="0" w:after="0"/>
        <w:rPr/>
      </w:pPr>
      <w:r>
        <w:rPr/>
      </w:r>
    </w:p>
    <w:p>
      <w:pPr>
        <w:pStyle w:val="TextBody"/>
        <w:spacing w:before="0" w:after="0"/>
        <w:jc w:val="both"/>
        <w:rPr/>
      </w:pPr>
      <w:r>
        <w:rPr/>
        <w:t>Other non-interest expenses increased in 2019 on both a comparative quarterly and year-to-date basis as compared to 2018</w:t>
      </w:r>
      <w:r>
        <w:rPr>
          <w:color w:val="000000"/>
        </w:rPr>
        <w:t xml:space="preserve"> due primarily to</w:t>
      </w:r>
      <w:r>
        <w:rPr/>
        <w:t xml:space="preserve"> an increase in deposit account/debit card fraud costs.</w:t>
      </w:r>
    </w:p>
    <w:p>
      <w:pPr>
        <w:pStyle w:val="TextBody"/>
        <w:spacing w:before="0" w:after="0"/>
        <w:rPr/>
      </w:pPr>
      <w:r>
        <w:rPr/>
      </w:r>
    </w:p>
    <w:p>
      <w:pPr>
        <w:pStyle w:val="TextBody"/>
        <w:spacing w:before="0" w:after="0"/>
        <w:jc w:val="both"/>
        <w:rPr/>
      </w:pPr>
      <w:r>
        <w:rPr>
          <w:b/>
        </w:rPr>
        <w:t>Income tax expense.</w:t>
      </w:r>
      <w:r>
        <w:rPr/>
        <w:t>  We recorded an income tax expense of $2.7 million and $4.9 million in the second quarter and the first six months of 2019, respectively. This compares to an income tax expense of $2.1 million and $4.1 million in the second quarter and the first six months of 2018, respectively.</w:t>
      </w:r>
    </w:p>
    <w:p>
      <w:pPr>
        <w:pStyle w:val="TextBody"/>
        <w:spacing w:before="0" w:after="0"/>
        <w:rPr/>
      </w:pPr>
      <w:r>
        <w:rPr/>
      </w:r>
    </w:p>
    <w:p>
      <w:pPr>
        <w:pStyle w:val="TextBody"/>
        <w:spacing w:before="0" w:after="0"/>
        <w:jc w:val="both"/>
        <w:rPr/>
      </w:pPr>
      <w:r>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pStyle w:val="TextBody"/>
        <w:spacing w:before="0" w:after="0"/>
        <w:rPr/>
      </w:pPr>
      <w:r>
        <w:rPr/>
      </w:r>
    </w:p>
    <w:p>
      <w:pPr>
        <w:pStyle w:val="TextBody"/>
        <w:spacing w:before="0" w:after="0"/>
        <w:jc w:val="both"/>
        <w:rPr/>
      </w:pPr>
      <w:r>
        <w:rPr/>
        <w:t>We assess whether a valuation allowance should be established against our deferred tax assets based on the consideration of all available evidence using a “more likely than not” standard.</w:t>
      </w:r>
      <w:r>
        <w:rPr>
          <w:color w:val="000000"/>
        </w:rPr>
        <w:t xml:space="preserve">  The ultimate realization of this asset is primarily based on generating future income.  </w:t>
      </w:r>
      <w:r>
        <w:rPr/>
        <w:t xml:space="preserve">We concluded at June 30, 2019 and 2018 and at December 31, 2018, that the </w:t>
      </w:r>
      <w:r>
        <w:rPr>
          <w:color w:val="000000"/>
        </w:rPr>
        <w:t>realization of substantially all of our deferred tax assets continues to be more likely than not.</w:t>
      </w:r>
    </w:p>
    <w:p>
      <w:pPr>
        <w:pStyle w:val="TextBody"/>
        <w:spacing w:before="0" w:after="0"/>
        <w:rPr/>
      </w:pPr>
      <w:r>
        <w:rPr/>
      </w:r>
    </w:p>
    <w:p>
      <w:pPr>
        <w:pStyle w:val="TextBody"/>
        <w:spacing w:before="0" w:after="0"/>
        <w:jc w:val="center"/>
        <w:rPr>
          <w:b/>
          <w:smallCaps/>
        </w:rPr>
      </w:pPr>
      <w:r>
        <w:rPr>
          <w:b/>
          <w:smallCaps/>
        </w:rPr>
        <w:t>Financial Condition</w:t>
      </w:r>
    </w:p>
    <w:p>
      <w:pPr>
        <w:pStyle w:val="TextBody"/>
        <w:spacing w:before="0" w:after="0"/>
        <w:rPr/>
      </w:pPr>
      <w:r>
        <w:rPr/>
      </w:r>
    </w:p>
    <w:p>
      <w:pPr>
        <w:pStyle w:val="TextBody"/>
        <w:spacing w:before="0" w:after="0"/>
        <w:jc w:val="both"/>
        <w:rPr/>
      </w:pPr>
      <w:r>
        <w:rPr>
          <w:b/>
        </w:rPr>
        <w:t>Summary.</w:t>
      </w:r>
      <w:r>
        <w:rPr/>
        <w:t>  Our total assets increased by $85.0 million during the first six months of 2019.  Loans, excluding loans held for sale (“Portfolio Loans”), totaled $2.71 billion at June 30, 2019, an increase of $124.0 million, or 4.8%, from December 31, 2018.  (See “Portfolio Loans and asset quality.”)</w:t>
      </w:r>
    </w:p>
    <w:p>
      <w:pPr>
        <w:pStyle w:val="TextBody"/>
        <w:spacing w:before="0" w:after="0"/>
        <w:rPr/>
      </w:pPr>
      <w:r>
        <w:rPr/>
      </w:r>
    </w:p>
    <w:p>
      <w:pPr>
        <w:pStyle w:val="TextBody"/>
        <w:spacing w:before="0" w:after="0"/>
        <w:jc w:val="both"/>
        <w:rPr/>
      </w:pPr>
      <w:r>
        <w:rPr/>
        <w:t>Deposits totaled $2.98 billion at June 30, 2019, compared to $2.91 billion at December 31, 2018.  The $65.5 million increase in total deposits during the period is due to growth in reciprocal deposits.</w:t>
      </w:r>
    </w:p>
    <w:p>
      <w:pPr>
        <w:pStyle w:val="TextBody"/>
        <w:spacing w:before="0" w:after="0"/>
        <w:rPr/>
      </w:pPr>
      <w:r>
        <w:rPr/>
      </w:r>
    </w:p>
    <w:p>
      <w:pPr>
        <w:pStyle w:val="TextBody"/>
        <w:spacing w:before="0" w:after="0"/>
        <w:jc w:val="both"/>
        <w:rPr/>
      </w:pPr>
      <w:r>
        <w:rPr>
          <w:b/>
        </w:rPr>
        <w:t>Securities.</w:t>
      </w:r>
      <w:r>
        <w:rPr/>
        <w:t>  We maintain diversified securities portfolios, which include obligations of U.S. government-sponsored agencies, securities issued by states and 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69" w:name="DSPFPageBreakArea75"/>
      <w:bookmarkStart w:id="770" w:name="DSPFPageBreakArea75"/>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71" w:name="DSPFPageNumber75"/>
      <w:bookmarkStart w:id="772" w:name="DSPFPageNumberArea74"/>
      <w:bookmarkEnd w:id="771"/>
      <w:bookmarkEnd w:id="772"/>
      <w:r>
        <w:rPr>
          <w:b w:val="false"/>
          <w:i w:val="false"/>
          <w:caps w:val="false"/>
          <w:smallCaps w:val="false"/>
          <w:sz w:val="13"/>
        </w:rPr>
        <w:t>76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73" w:name="DSPFPageBreak75"/>
      <w:bookmarkStart w:id="774" w:name="DSPFPageBreak75"/>
      <w:bookmarkEnd w:id="7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75" w:name="DSPFPageHeader74"/>
        <w:bookmarkEnd w:id="77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color w:val="000000"/>
        </w:rPr>
      </w:pPr>
      <w:r>
        <w:rPr>
          <w:b/>
          <w:color w:val="000000"/>
        </w:rPr>
        <w:t>Securities</w:t>
      </w:r>
    </w:p>
    <w:p>
      <w:pPr>
        <w:pStyle w:val="Normal"/>
        <w:spacing w:before="0" w:after="0"/>
        <w:rPr>
          <w:sz w:val="4"/>
          <w:szCs w:val="4"/>
        </w:rPr>
      </w:pPr>
      <w:r>
        <w:rPr>
          <w:sz w:val="4"/>
          <w:szCs w:val="4"/>
        </w:rPr>
      </w:r>
      <w:bookmarkStart w:id="776" w:name="z3b2bf0673bb2438eb14de14580cce814"/>
      <w:bookmarkStart w:id="777" w:name="z3b2bf0673bb2438eb14de14580cce814"/>
      <w:bookmarkEnd w:id="777"/>
    </w:p>
    <w:tbl>
      <w:tblPr>
        <w:tblW w:w="7485" w:type="dxa"/>
        <w:jc w:val="center"/>
        <w:tblInd w:w="0" w:type="dxa"/>
        <w:tblCellMar>
          <w:top w:w="0" w:type="dxa"/>
          <w:left w:w="0" w:type="dxa"/>
          <w:bottom w:w="0" w:type="dxa"/>
          <w:right w:w="0" w:type="dxa"/>
        </w:tblCellMar>
      </w:tblPr>
      <w:tblGrid>
        <w:gridCol w:w="2585"/>
        <w:gridCol w:w="60"/>
        <w:gridCol w:w="152"/>
        <w:gridCol w:w="873"/>
        <w:gridCol w:w="60"/>
        <w:gridCol w:w="60"/>
        <w:gridCol w:w="140"/>
        <w:gridCol w:w="560"/>
        <w:gridCol w:w="60"/>
        <w:gridCol w:w="1055"/>
        <w:gridCol w:w="60"/>
        <w:gridCol w:w="140"/>
        <w:gridCol w:w="560"/>
        <w:gridCol w:w="60"/>
        <w:gridCol w:w="60"/>
        <w:gridCol w:w="140"/>
        <w:gridCol w:w="800"/>
        <w:gridCol w:w="60"/>
      </w:tblGrid>
      <w:tr>
        <w:trPr/>
        <w:tc>
          <w:tcPr>
            <w:tcW w:w="25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Unrealized</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0" w:type="dxa"/>
            <w:gridSpan w:val="3"/>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58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1025"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Amortized</w:t>
            </w:r>
          </w:p>
          <w:p>
            <w:pPr>
              <w:pStyle w:val="TableContents"/>
              <w:spacing w:before="0" w:after="0"/>
              <w:jc w:val="center"/>
              <w:rPr>
                <w:color w:val="000000"/>
              </w:rPr>
            </w:pPr>
            <w:r>
              <w:rPr>
                <w:color w:val="000000"/>
              </w:rPr>
              <w:t>Cost</w:t>
            </w:r>
          </w:p>
        </w:tc>
        <w:tc>
          <w:tcPr>
            <w:tcW w:w="6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700" w:type="dxa"/>
            <w:gridSpan w:val="2"/>
            <w:tcBorders>
              <w:bottom w:val="single" w:sz="12" w:space="0" w:color="000000"/>
            </w:tcBorders>
            <w:shd w:fill="auto" w:val="clear"/>
            <w:tcMar>
              <w:bottom w:w="28" w:type="dxa"/>
            </w:tcMar>
            <w:vAlign w:val="bottom"/>
          </w:tcPr>
          <w:p>
            <w:pPr>
              <w:pStyle w:val="TableContents"/>
              <w:spacing w:before="0" w:after="0"/>
              <w:rPr/>
            </w:pPr>
            <w:r>
              <w:rPr/>
              <w:t> </w:t>
            </w:r>
          </w:p>
          <w:p>
            <w:pPr>
              <w:pStyle w:val="TableContents"/>
              <w:spacing w:before="0" w:after="0"/>
              <w:jc w:val="center"/>
              <w:rPr>
                <w:color w:val="000000"/>
              </w:rPr>
            </w:pPr>
            <w:r>
              <w:rPr>
                <w:color w:val="000000"/>
              </w:rPr>
              <w:t>Gains</w:t>
            </w:r>
          </w:p>
        </w:tc>
        <w:tc>
          <w:tcPr>
            <w:tcW w:w="60" w:type="dxa"/>
            <w:tcBorders/>
            <w:shd w:fill="auto" w:val="clear"/>
            <w:vAlign w:val="bottom"/>
          </w:tcPr>
          <w:p>
            <w:pPr>
              <w:pStyle w:val="TableContents"/>
              <w:spacing w:before="0" w:after="283"/>
              <w:rPr/>
            </w:pPr>
            <w:r>
              <w:rPr/>
            </w:r>
          </w:p>
        </w:tc>
        <w:tc>
          <w:tcPr>
            <w:tcW w:w="105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700" w:type="dxa"/>
            <w:gridSpan w:val="2"/>
            <w:tcBorders>
              <w:bottom w:val="single" w:sz="12" w:space="0" w:color="000000"/>
            </w:tcBorders>
            <w:shd w:fill="auto" w:val="clear"/>
            <w:tcMar>
              <w:bottom w:w="28" w:type="dxa"/>
            </w:tcMar>
            <w:vAlign w:val="bottom"/>
          </w:tcPr>
          <w:p>
            <w:pPr>
              <w:pStyle w:val="TableContents"/>
              <w:spacing w:before="0" w:after="0"/>
              <w:rPr/>
            </w:pPr>
            <w:r>
              <w:rPr/>
              <w:t> </w:t>
            </w:r>
          </w:p>
          <w:p>
            <w:pPr>
              <w:pStyle w:val="TableContents"/>
              <w:spacing w:before="0" w:after="0"/>
              <w:jc w:val="center"/>
              <w:rPr>
                <w:color w:val="000000"/>
              </w:rPr>
            </w:pPr>
            <w:r>
              <w:rPr>
                <w:color w:val="000000"/>
              </w:rPr>
              <w:t>Losses</w:t>
            </w:r>
          </w:p>
        </w:tc>
        <w:tc>
          <w:tcPr>
            <w:tcW w:w="60" w:type="dxa"/>
            <w:tcBorders/>
            <w:shd w:fill="auto" w:val="clear"/>
            <w:vAlign w:val="bottom"/>
          </w:tcPr>
          <w:p>
            <w:pPr>
              <w:pStyle w:val="TableContents"/>
              <w:spacing w:before="0" w:after="283"/>
              <w:rPr/>
            </w:pPr>
            <w:r>
              <w:rPr/>
            </w:r>
          </w:p>
        </w:tc>
        <w:tc>
          <w:tcPr>
            <w:tcW w:w="1000" w:type="dxa"/>
            <w:gridSpan w:val="3"/>
            <w:tcBorders>
              <w:bottom w:val="single" w:sz="12" w:space="0" w:color="000000"/>
            </w:tcBorders>
            <w:shd w:fill="auto" w:val="clear"/>
            <w:tcMar>
              <w:bottom w:w="28" w:type="dxa"/>
            </w:tcMar>
            <w:vAlign w:val="bottom"/>
          </w:tcPr>
          <w:p>
            <w:pPr>
              <w:pStyle w:val="TableContents"/>
              <w:spacing w:before="0" w:after="0"/>
              <w:jc w:val="center"/>
              <w:rPr/>
            </w:pPr>
            <w:r>
              <w:rPr/>
              <w:t>Fair</w:t>
            </w:r>
          </w:p>
          <w:p>
            <w:pPr>
              <w:pStyle w:val="TableContents"/>
              <w:spacing w:before="0" w:after="0"/>
              <w:jc w:val="center"/>
              <w:rPr/>
            </w:pPr>
            <w:r>
              <w:rPr/>
              <w:t>Value</w:t>
            </w:r>
          </w:p>
        </w:tc>
        <w:tc>
          <w:tcPr>
            <w:tcW w:w="60" w:type="dxa"/>
            <w:tcBorders/>
            <w:shd w:fill="auto" w:val="clear"/>
            <w:vAlign w:val="bottom"/>
          </w:tcPr>
          <w:p>
            <w:pPr>
              <w:pStyle w:val="TableContents"/>
              <w:spacing w:before="0" w:after="283"/>
              <w:rPr/>
            </w:pPr>
            <w:r>
              <w:rPr/>
            </w:r>
          </w:p>
        </w:tc>
      </w:tr>
      <w:tr>
        <w:trPr/>
        <w:tc>
          <w:tcPr>
            <w:tcW w:w="25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75" w:type="dxa"/>
            <w:gridSpan w:val="7"/>
            <w:tcBorders/>
            <w:shd w:fill="auto" w:val="clear"/>
            <w:vAlign w:val="bottom"/>
          </w:tcPr>
          <w:p>
            <w:pPr>
              <w:pStyle w:val="TableContents"/>
              <w:spacing w:before="0" w:after="0"/>
              <w:jc w:val="center"/>
              <w:rPr>
                <w:color w:val="000000"/>
              </w:rPr>
            </w:pPr>
            <w:r>
              <w:rPr>
                <w:color w:val="000000"/>
              </w:rPr>
              <w:t>(In thousands)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585" w:type="dxa"/>
            <w:tcBorders/>
            <w:shd w:fill="auto" w:val="clear"/>
            <w:vAlign w:val="bottom"/>
          </w:tcPr>
          <w:p>
            <w:pPr>
              <w:pStyle w:val="TableContents"/>
              <w:spacing w:before="0" w:after="0"/>
              <w:rPr>
                <w:color w:val="000000"/>
              </w:rPr>
            </w:pPr>
            <w:r>
              <w:rPr>
                <w:color w:val="000000"/>
              </w:rPr>
              <w:t>Securities available for sale</w:t>
            </w:r>
          </w:p>
        </w:tc>
        <w:tc>
          <w:tcPr>
            <w:tcW w:w="6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2585" w:type="dxa"/>
            <w:tcBorders/>
            <w:shd w:fill="CCEEFF" w:val="clear"/>
            <w:vAlign w:val="bottom"/>
          </w:tcPr>
          <w:p>
            <w:pPr>
              <w:pStyle w:val="TableContents"/>
              <w:spacing w:before="0" w:after="0"/>
              <w:ind w:left="180" w:right="0" w:hanging="0"/>
              <w:rPr>
                <w:color w:val="000000"/>
              </w:rPr>
            </w:pPr>
            <w:r>
              <w:rPr>
                <w:color w:val="000000"/>
              </w:rPr>
              <w:t>June 30, 2019</w:t>
            </w:r>
          </w:p>
        </w:tc>
        <w:tc>
          <w:tcPr>
            <w:tcW w:w="6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0"/>
              <w:rPr>
                <w:color w:val="000000"/>
              </w:rPr>
            </w:pPr>
            <w:r>
              <w:rPr>
                <w:color w:val="000000"/>
              </w:rPr>
              <w:t>$</w:t>
            </w:r>
          </w:p>
        </w:tc>
        <w:tc>
          <w:tcPr>
            <w:tcW w:w="873" w:type="dxa"/>
            <w:tcBorders/>
            <w:shd w:fill="CCEEFF" w:val="clear"/>
            <w:vAlign w:val="bottom"/>
          </w:tcPr>
          <w:p>
            <w:pPr>
              <w:pStyle w:val="TableContents"/>
              <w:spacing w:before="0" w:after="0"/>
              <w:jc w:val="right"/>
              <w:rPr>
                <w:color w:val="000000"/>
              </w:rPr>
            </w:pPr>
            <w:r>
              <w:rPr>
                <w:color w:val="000000"/>
              </w:rPr>
              <w:t>426,458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4,922</w:t>
            </w:r>
          </w:p>
        </w:tc>
        <w:tc>
          <w:tcPr>
            <w:tcW w:w="60"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1,075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430,305</w:t>
            </w:r>
          </w:p>
        </w:tc>
        <w:tc>
          <w:tcPr>
            <w:tcW w:w="60" w:type="dxa"/>
            <w:tcBorders/>
            <w:shd w:fill="CCEEFF" w:val="clear"/>
            <w:vAlign w:val="bottom"/>
          </w:tcPr>
          <w:p>
            <w:pPr>
              <w:pStyle w:val="TableContents"/>
              <w:spacing w:before="0" w:after="283"/>
              <w:rPr/>
            </w:pPr>
            <w:r>
              <w:rPr/>
              <w:t> </w:t>
            </w:r>
          </w:p>
        </w:tc>
      </w:tr>
      <w:tr>
        <w:trPr/>
        <w:tc>
          <w:tcPr>
            <w:tcW w:w="2585" w:type="dxa"/>
            <w:tcBorders/>
            <w:shd w:fill="FFFFFF" w:val="clear"/>
            <w:vAlign w:val="bottom"/>
          </w:tcPr>
          <w:p>
            <w:pPr>
              <w:pStyle w:val="TableContents"/>
              <w:spacing w:before="0" w:after="0"/>
              <w:ind w:left="180" w:right="0" w:hanging="0"/>
              <w:rPr>
                <w:color w:val="000000"/>
              </w:rPr>
            </w:pPr>
            <w:r>
              <w:rPr>
                <w:color w:val="000000"/>
              </w:rPr>
              <w:t>December 31, 2018</w:t>
            </w:r>
          </w:p>
        </w:tc>
        <w:tc>
          <w:tcPr>
            <w:tcW w:w="60"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rPr/>
            </w:pPr>
            <w:r>
              <w:rPr/>
              <w:t> </w:t>
            </w:r>
          </w:p>
        </w:tc>
        <w:tc>
          <w:tcPr>
            <w:tcW w:w="873" w:type="dxa"/>
            <w:tcBorders/>
            <w:shd w:fill="FFFFFF" w:val="clear"/>
            <w:vAlign w:val="bottom"/>
          </w:tcPr>
          <w:p>
            <w:pPr>
              <w:pStyle w:val="TableContents"/>
              <w:spacing w:before="0" w:after="0"/>
              <w:jc w:val="right"/>
              <w:rPr>
                <w:color w:val="000000"/>
              </w:rPr>
            </w:pPr>
            <w:r>
              <w:rPr>
                <w:color w:val="000000"/>
              </w:rPr>
              <w:t>433,224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1,520</w:t>
            </w:r>
          </w:p>
        </w:tc>
        <w:tc>
          <w:tcPr>
            <w:tcW w:w="60" w:type="dxa"/>
            <w:tcBorders/>
            <w:shd w:fill="FFFFFF" w:val="clear"/>
            <w:vAlign w:val="bottom"/>
          </w:tcPr>
          <w:p>
            <w:pPr>
              <w:pStyle w:val="TableContents"/>
              <w:spacing w:before="0" w:after="283"/>
              <w:rPr/>
            </w:pPr>
            <w:r>
              <w:rPr/>
              <w:t> </w:t>
            </w:r>
          </w:p>
        </w:tc>
        <w:tc>
          <w:tcPr>
            <w:tcW w:w="105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0"/>
              <w:jc w:val="right"/>
              <w:rPr>
                <w:color w:val="000000"/>
              </w:rPr>
            </w:pPr>
            <w:r>
              <w:rPr>
                <w:color w:val="000000"/>
              </w:rPr>
              <w:t>6,818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color w:val="000000"/>
              </w:rPr>
            </w:pPr>
            <w:r>
              <w:rPr>
                <w:color w:val="000000"/>
              </w:rPr>
              <w:t>427,926</w:t>
            </w:r>
          </w:p>
        </w:tc>
        <w:tc>
          <w:tcPr>
            <w:tcW w:w="60" w:type="dxa"/>
            <w:tcBorders/>
            <w:shd w:fill="FFFF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Securities available for sale increased $2.4 million during the first six months of 2019.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(loss).  We recorded no impairment losses related to other than temporary impairment on securities available for sale in either of the first six months of 2019 or 2018.</w:t>
      </w:r>
    </w:p>
    <w:p>
      <w:pPr>
        <w:pStyle w:val="TextBody"/>
        <w:spacing w:before="0" w:after="0"/>
        <w:rPr/>
      </w:pPr>
      <w:r>
        <w:rPr/>
      </w:r>
    </w:p>
    <w:p>
      <w:pPr>
        <w:pStyle w:val="TextBody"/>
        <w:spacing w:before="0" w:after="0"/>
        <w:jc w:val="both"/>
        <w:rPr/>
      </w:pPr>
      <w:r>
        <w:rPr/>
        <w:t>Sales of securities were as follows (See “Non-interest income.”):</w:t>
      </w:r>
    </w:p>
    <w:p>
      <w:pPr>
        <w:pStyle w:val="TextBody"/>
        <w:spacing w:before="0" w:after="0"/>
        <w:rPr/>
      </w:pPr>
      <w:r>
        <w:rPr/>
      </w:r>
    </w:p>
    <w:p>
      <w:pPr>
        <w:pStyle w:val="Normal"/>
        <w:spacing w:before="0" w:after="0"/>
        <w:rPr>
          <w:sz w:val="4"/>
          <w:szCs w:val="4"/>
        </w:rPr>
      </w:pPr>
      <w:r>
        <w:rPr>
          <w:sz w:val="4"/>
          <w:szCs w:val="4"/>
        </w:rPr>
      </w:r>
      <w:bookmarkStart w:id="778" w:name="z233564493e2543ab80dfbd62ba8c0d57"/>
      <w:bookmarkStart w:id="779" w:name="z233564493e2543ab80dfbd62ba8c0d57"/>
      <w:bookmarkEnd w:id="779"/>
    </w:p>
    <w:tbl>
      <w:tblPr>
        <w:tblW w:w="4220" w:type="dxa"/>
        <w:jc w:val="center"/>
        <w:tblInd w:w="0" w:type="dxa"/>
        <w:tblCellMar>
          <w:top w:w="0" w:type="dxa"/>
          <w:left w:w="0" w:type="dxa"/>
          <w:bottom w:w="0" w:type="dxa"/>
          <w:right w:w="0" w:type="dxa"/>
        </w:tblCellMar>
      </w:tblPr>
      <w:tblGrid>
        <w:gridCol w:w="2270"/>
        <w:gridCol w:w="60"/>
        <w:gridCol w:w="140"/>
        <w:gridCol w:w="680"/>
        <w:gridCol w:w="95"/>
        <w:gridCol w:w="60"/>
        <w:gridCol w:w="140"/>
        <w:gridCol w:w="680"/>
        <w:gridCol w:w="95"/>
      </w:tblGrid>
      <w:tr>
        <w:trPr/>
        <w:tc>
          <w:tcPr>
            <w:tcW w:w="227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1795" w:type="dxa"/>
            <w:gridSpan w:val="6"/>
            <w:tcBorders/>
            <w:shd w:fill="auto" w:val="cle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95" w:type="dxa"/>
            <w:tcBorders/>
            <w:shd w:fill="auto" w:val="clear"/>
            <w:vAlign w:val="bottom"/>
          </w:tcPr>
          <w:p>
            <w:pPr>
              <w:pStyle w:val="TableContents"/>
              <w:spacing w:before="0" w:after="283"/>
              <w:rPr/>
            </w:pPr>
            <w:r>
              <w:rPr/>
            </w:r>
          </w:p>
        </w:tc>
      </w:tr>
      <w:tr>
        <w:trPr/>
        <w:tc>
          <w:tcPr>
            <w:tcW w:w="22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r>
          </w:p>
        </w:tc>
        <w:tc>
          <w:tcPr>
            <w:tcW w:w="820" w:type="dxa"/>
            <w:gridSpan w:val="2"/>
            <w:tcBorders>
              <w:bottom w:val="single" w:sz="12" w:space="0" w:color="000000"/>
            </w:tcBorders>
            <w:shd w:fill="auto" w:val="clear"/>
            <w:tcMar>
              <w:bottom w:w="28" w:type="dxa"/>
            </w:tcMar>
            <w:vAlign w:val="bottom"/>
          </w:tcPr>
          <w:p>
            <w:pPr>
              <w:pStyle w:val="TableContents"/>
              <w:spacing w:before="0" w:after="0"/>
              <w:ind w:left="0" w:right="0" w:firstLine="40"/>
              <w:jc w:val="center"/>
              <w:rPr/>
            </w:pPr>
            <w:r>
              <w:rPr/>
              <w:t>2019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95" w:type="dxa"/>
            <w:tcBorders/>
            <w:shd w:fill="auto" w:val="clear"/>
            <w:vAlign w:val="bottom"/>
          </w:tcPr>
          <w:p>
            <w:pPr>
              <w:pStyle w:val="TableContents"/>
              <w:spacing w:before="0" w:after="283"/>
              <w:rPr/>
            </w:pPr>
            <w:r>
              <w:rPr/>
            </w:r>
          </w:p>
        </w:tc>
      </w:tr>
      <w:tr>
        <w:trPr/>
        <w:tc>
          <w:tcPr>
            <w:tcW w:w="227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1795" w:type="dxa"/>
            <w:gridSpan w:val="6"/>
            <w:tcBorders/>
            <w:shd w:fill="auto" w:val="clear"/>
            <w:vAlign w:val="bottom"/>
          </w:tcPr>
          <w:p>
            <w:pPr>
              <w:pStyle w:val="TableContents"/>
              <w:spacing w:before="0" w:after="0"/>
              <w:jc w:val="center"/>
              <w:rPr/>
            </w:pPr>
            <w:r>
              <w:rPr/>
              <w:t>(In thousands)</w:t>
            </w:r>
          </w:p>
        </w:tc>
        <w:tc>
          <w:tcPr>
            <w:tcW w:w="95" w:type="dxa"/>
            <w:tcBorders/>
            <w:shd w:fill="auto" w:val="clear"/>
            <w:vAlign w:val="bottom"/>
          </w:tcPr>
          <w:p>
            <w:pPr>
              <w:pStyle w:val="TableContents"/>
              <w:spacing w:before="0" w:after="283"/>
              <w:rPr/>
            </w:pPr>
            <w:r>
              <w:rPr/>
              <w:t> </w:t>
            </w:r>
          </w:p>
        </w:tc>
      </w:tr>
      <w:tr>
        <w:trPr/>
        <w:tc>
          <w:tcPr>
            <w:tcW w:w="22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2270" w:type="dxa"/>
            <w:tcBorders/>
            <w:shd w:fill="CCEEFF" w:val="clear"/>
            <w:vAlign w:val="bottom"/>
          </w:tcPr>
          <w:p>
            <w:pPr>
              <w:pStyle w:val="TableContents"/>
              <w:spacing w:before="0" w:after="0"/>
              <w:rPr/>
            </w:pPr>
            <w:r>
              <w:rPr/>
              <w:t>Proceeds</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42,236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31,445</w:t>
            </w:r>
          </w:p>
        </w:tc>
        <w:tc>
          <w:tcPr>
            <w:tcW w:w="95" w:type="dxa"/>
            <w:tcBorders/>
            <w:shd w:fill="CCEEFF" w:val="clear"/>
            <w:vAlign w:val="bottom"/>
          </w:tcPr>
          <w:p>
            <w:pPr>
              <w:pStyle w:val="TableContents"/>
              <w:spacing w:before="0" w:after="283"/>
              <w:rPr/>
            </w:pPr>
            <w:r>
              <w:rPr/>
              <w:t> </w:t>
            </w:r>
          </w:p>
        </w:tc>
      </w:tr>
      <w:tr>
        <w:trPr/>
        <w:tc>
          <w:tcPr>
            <w:tcW w:w="227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r>
      <w:tr>
        <w:trPr/>
        <w:tc>
          <w:tcPr>
            <w:tcW w:w="2270" w:type="dxa"/>
            <w:tcBorders/>
            <w:shd w:fill="CCEEFF" w:val="clear"/>
            <w:vAlign w:val="bottom"/>
          </w:tcPr>
          <w:p>
            <w:pPr>
              <w:pStyle w:val="TableContents"/>
              <w:spacing w:before="0" w:after="0"/>
              <w:rPr/>
            </w:pPr>
            <w:r>
              <w:rPr/>
              <w:t>Gross gains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169</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81</w:t>
            </w:r>
          </w:p>
        </w:tc>
        <w:tc>
          <w:tcPr>
            <w:tcW w:w="95" w:type="dxa"/>
            <w:tcBorders/>
            <w:shd w:fill="CCEEFF" w:val="clear"/>
            <w:vAlign w:val="bottom"/>
          </w:tcPr>
          <w:p>
            <w:pPr>
              <w:pStyle w:val="TableContents"/>
              <w:spacing w:before="0" w:after="283"/>
              <w:rPr/>
            </w:pPr>
            <w:r>
              <w:rPr/>
              <w:t> </w:t>
            </w:r>
          </w:p>
        </w:tc>
      </w:tr>
      <w:tr>
        <w:trPr/>
        <w:tc>
          <w:tcPr>
            <w:tcW w:w="2270" w:type="dxa"/>
            <w:tcBorders/>
            <w:shd w:fill="FFFFFF" w:val="clear"/>
            <w:vAlign w:val="bottom"/>
          </w:tcPr>
          <w:p>
            <w:pPr>
              <w:pStyle w:val="TableContents"/>
              <w:spacing w:before="0" w:after="0"/>
              <w:rPr/>
            </w:pPr>
            <w:r>
              <w:rPr/>
              <w:t>Gross losses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(32</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(126</w:t>
            </w:r>
          </w:p>
        </w:tc>
        <w:tc>
          <w:tcPr>
            <w:tcW w:w="95" w:type="dxa"/>
            <w:tcBorders/>
            <w:shd w:fill="FFFFFF" w:val="clear"/>
            <w:vAlign w:val="bottom"/>
          </w:tcPr>
          <w:p>
            <w:pPr>
              <w:pStyle w:val="TableContents"/>
              <w:spacing w:before="0" w:after="0"/>
              <w:rPr/>
            </w:pPr>
            <w:r>
              <w:rPr/>
              <w:t>)</w:t>
            </w:r>
          </w:p>
        </w:tc>
      </w:tr>
      <w:tr>
        <w:trPr/>
        <w:tc>
          <w:tcPr>
            <w:tcW w:w="2270" w:type="dxa"/>
            <w:tcBorders/>
            <w:shd w:fill="CCEEFF" w:val="clear"/>
            <w:vAlign w:val="bottom"/>
          </w:tcPr>
          <w:p>
            <w:pPr>
              <w:pStyle w:val="TableContents"/>
              <w:spacing w:before="0" w:after="0"/>
              <w:rPr/>
            </w:pPr>
            <w:r>
              <w:rPr/>
              <w:t>Net impairment charges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r>
      <w:tr>
        <w:trPr/>
        <w:tc>
          <w:tcPr>
            <w:tcW w:w="2270" w:type="dxa"/>
            <w:tcBorders/>
            <w:shd w:fill="FFFFFF" w:val="clear"/>
            <w:vAlign w:val="bottom"/>
          </w:tcPr>
          <w:p>
            <w:pPr>
              <w:pStyle w:val="TableContents"/>
              <w:spacing w:before="0" w:after="0"/>
              <w:rPr/>
            </w:pPr>
            <w:r>
              <w:rPr/>
              <w:t>Fair value adjustments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167</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(119</w:t>
            </w:r>
          </w:p>
        </w:tc>
        <w:tc>
          <w:tcPr>
            <w:tcW w:w="95" w:type="dxa"/>
            <w:tcBorders/>
            <w:shd w:fill="FFFFFF" w:val="clear"/>
            <w:vAlign w:val="bottom"/>
          </w:tcPr>
          <w:p>
            <w:pPr>
              <w:pStyle w:val="TableContents"/>
              <w:spacing w:before="0" w:after="0"/>
              <w:rPr/>
            </w:pPr>
            <w:r>
              <w:rPr/>
              <w:t>)</w:t>
            </w:r>
          </w:p>
        </w:tc>
      </w:tr>
      <w:tr>
        <w:trPr/>
        <w:tc>
          <w:tcPr>
            <w:tcW w:w="2270" w:type="dxa"/>
            <w:tcBorders/>
            <w:shd w:fill="CCEEFF" w:val="clear"/>
            <w:vAlign w:val="bottom"/>
          </w:tcPr>
          <w:p>
            <w:pPr>
              <w:pStyle w:val="TableContents"/>
              <w:spacing w:before="0" w:after="0"/>
              <w:ind w:left="180" w:right="0" w:hanging="0"/>
              <w:rPr/>
            </w:pPr>
            <w:r>
              <w:rPr/>
              <w:t>Net gains (losses)</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304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(164</w:t>
            </w:r>
          </w:p>
        </w:tc>
        <w:tc>
          <w:tcPr>
            <w:tcW w:w="95" w:type="dxa"/>
            <w:tcBorders/>
            <w:shd w:fill="CCEEFF" w:val="clear"/>
            <w:vAlign w:val="bottom"/>
          </w:tcPr>
          <w:p>
            <w:pPr>
              <w:pStyle w:val="TableContents"/>
              <w:spacing w:before="0" w:after="0"/>
              <w:rPr/>
            </w:pPr>
            <w:r>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80" w:name="DSPFPageBreakArea76"/>
      <w:bookmarkStart w:id="781" w:name="DSPFPageBreakArea76"/>
      <w:bookmarkEnd w:id="7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82" w:name="DSPFPageNumber76"/>
      <w:bookmarkStart w:id="783" w:name="DSPFPageNumberArea75"/>
      <w:bookmarkEnd w:id="782"/>
      <w:bookmarkEnd w:id="783"/>
      <w:r>
        <w:rPr>
          <w:b w:val="false"/>
          <w:i w:val="false"/>
          <w:caps w:val="false"/>
          <w:smallCaps w:val="false"/>
          <w:sz w:val="13"/>
        </w:rPr>
        <w:t>77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84" w:name="DSPFPageBreak76"/>
      <w:bookmarkStart w:id="785" w:name="DSPFPageBreak76"/>
      <w:bookmarkEnd w:id="7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86" w:name="DSPFPageHeader75"/>
        <w:bookmarkEnd w:id="786"/>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b/>
        </w:rPr>
        <w:t xml:space="preserve">Portfolio Loans and asset quality.  </w:t>
      </w:r>
      <w:r>
        <w:rPr/>
        <w:t>In addition to the communities served by our Bank branch and loan production office network, our principal lending 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pStyle w:val="TextBody"/>
        <w:spacing w:before="0" w:after="0"/>
        <w:rPr/>
      </w:pPr>
      <w:r>
        <w:rPr/>
      </w:r>
    </w:p>
    <w:p>
      <w:pPr>
        <w:pStyle w:val="TextBody"/>
        <w:spacing w:before="0" w:after="0"/>
        <w:jc w:val="both"/>
        <w:rPr/>
      </w:pPr>
      <w:r>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pStyle w:val="TextBody"/>
        <w:spacing w:before="0" w:after="0"/>
        <w:rPr/>
      </w:pPr>
      <w:r>
        <w:rPr/>
      </w:r>
    </w:p>
    <w:p>
      <w:pPr>
        <w:pStyle w:val="TextBody"/>
        <w:spacing w:before="0" w:after="0"/>
        <w:jc w:val="both"/>
        <w:rPr/>
      </w:pPr>
      <w:r>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than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begin to attempt to sell fixed rate jumbo mortgage loans in the future.</w:t>
      </w:r>
    </w:p>
    <w:p>
      <w:pPr>
        <w:pStyle w:val="TextBody"/>
        <w:spacing w:before="0" w:after="0"/>
        <w:rPr/>
      </w:pPr>
      <w:r>
        <w:rPr/>
      </w:r>
    </w:p>
    <w:p>
      <w:pPr>
        <w:pStyle w:val="TextBody"/>
        <w:spacing w:before="0" w:after="0"/>
        <w:jc w:val="both"/>
        <w:rPr/>
      </w:pPr>
      <w:r>
        <w:rPr/>
        <w:t>A summary of our Portfolio Loans follows:</w:t>
      </w:r>
    </w:p>
    <w:p>
      <w:pPr>
        <w:pStyle w:val="TextBody"/>
        <w:spacing w:before="0" w:after="0"/>
        <w:rPr/>
      </w:pPr>
      <w:r>
        <w:rPr/>
      </w:r>
    </w:p>
    <w:p>
      <w:pPr>
        <w:pStyle w:val="Normal"/>
        <w:spacing w:before="0" w:after="0"/>
        <w:rPr>
          <w:sz w:val="4"/>
          <w:szCs w:val="4"/>
        </w:rPr>
      </w:pPr>
      <w:r>
        <w:rPr>
          <w:sz w:val="4"/>
          <w:szCs w:val="4"/>
        </w:rPr>
      </w:r>
      <w:bookmarkStart w:id="787" w:name="z185c35a4e1324f93aabec7cf671e07c4"/>
      <w:bookmarkStart w:id="788" w:name="z185c35a4e1324f93aabec7cf671e07c4"/>
      <w:bookmarkEnd w:id="788"/>
    </w:p>
    <w:tbl>
      <w:tblPr>
        <w:tblW w:w="7639" w:type="dxa"/>
        <w:jc w:val="left"/>
        <w:tblInd w:w="0" w:type="dxa"/>
        <w:tblCellMar>
          <w:top w:w="0" w:type="dxa"/>
          <w:left w:w="0" w:type="dxa"/>
          <w:bottom w:w="0" w:type="dxa"/>
          <w:right w:w="0" w:type="dxa"/>
        </w:tblCellMar>
      </w:tblPr>
      <w:tblGrid>
        <w:gridCol w:w="4910"/>
        <w:gridCol w:w="60"/>
        <w:gridCol w:w="140"/>
        <w:gridCol w:w="980"/>
        <w:gridCol w:w="60"/>
        <w:gridCol w:w="60"/>
        <w:gridCol w:w="169"/>
        <w:gridCol w:w="1185"/>
        <w:gridCol w:w="75"/>
      </w:tblGrid>
      <w:tr>
        <w:trPr/>
        <w:tc>
          <w:tcPr>
            <w:tcW w:w="49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pPr>
            <w:r>
              <w:rPr/>
              <w:t>June 30,</w:t>
            </w:r>
          </w:p>
          <w:p>
            <w:pPr>
              <w:pStyle w:val="TableContents"/>
              <w:spacing w:before="0" w:after="0"/>
              <w:jc w:val="center"/>
              <w:rPr/>
            </w:pPr>
            <w:r>
              <w:rPr/>
              <w:t>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4" w:type="dxa"/>
            <w:gridSpan w:val="2"/>
            <w:tcBorders>
              <w:bottom w:val="single" w:sz="12" w:space="0" w:color="000000"/>
            </w:tcBorders>
            <w:shd w:fill="auto" w:val="clear"/>
            <w:tcMar>
              <w:bottom w:w="28" w:type="dxa"/>
            </w:tcMar>
            <w:vAlign w:val="bottom"/>
          </w:tcPr>
          <w:p>
            <w:pPr>
              <w:pStyle w:val="TableContents"/>
              <w:spacing w:before="0" w:after="0"/>
              <w:jc w:val="center"/>
              <w:rPr/>
            </w:pPr>
            <w:r>
              <w:rPr/>
              <w:t>December 31,</w:t>
            </w:r>
          </w:p>
          <w:p>
            <w:pPr>
              <w:pStyle w:val="TableContents"/>
              <w:spacing w:before="0" w:after="0"/>
              <w:jc w:val="center"/>
              <w:rPr/>
            </w:pPr>
            <w:r>
              <w:rPr/>
              <w:t>2018</w:t>
            </w:r>
          </w:p>
        </w:tc>
        <w:tc>
          <w:tcPr>
            <w:tcW w:w="75" w:type="dxa"/>
            <w:tcBorders/>
            <w:shd w:fill="auto" w:val="clear"/>
            <w:vAlign w:val="bottom"/>
          </w:tcPr>
          <w:p>
            <w:pPr>
              <w:pStyle w:val="TableContents"/>
              <w:spacing w:before="0" w:after="283"/>
              <w:rPr/>
            </w:pPr>
            <w:r>
              <w:rPr/>
              <w:t> </w:t>
            </w:r>
          </w:p>
        </w:tc>
      </w:tr>
      <w:tr>
        <w:trPr/>
        <w:tc>
          <w:tcPr>
            <w:tcW w:w="49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94" w:type="dxa"/>
            <w:gridSpan w:val="6"/>
            <w:tcBorders/>
            <w:shd w:fill="auto" w:val="clear"/>
            <w:vAlign w:val="bottom"/>
          </w:tcPr>
          <w:p>
            <w:pPr>
              <w:pStyle w:val="TableContents"/>
              <w:spacing w:before="0" w:after="0"/>
              <w:jc w:val="center"/>
              <w:rPr>
                <w:b/>
                <w:sz w:val="13"/>
              </w:rPr>
            </w:pPr>
            <w:r>
              <w:rPr>
                <w:b/>
                <w:sz w:val="13"/>
              </w:rPr>
              <w:t>(In thousands)</w:t>
            </w:r>
          </w:p>
        </w:tc>
        <w:tc>
          <w:tcPr>
            <w:tcW w:w="75" w:type="dxa"/>
            <w:tcBorders/>
            <w:shd w:fill="auto" w:val="clear"/>
            <w:vAlign w:val="bottom"/>
          </w:tcPr>
          <w:p>
            <w:pPr>
              <w:pStyle w:val="TableContents"/>
              <w:spacing w:before="0" w:after="283"/>
              <w:rPr/>
            </w:pPr>
            <w:r>
              <w:rPr/>
              <w:t> </w:t>
            </w:r>
          </w:p>
        </w:tc>
      </w:tr>
      <w:tr>
        <w:trPr/>
        <w:tc>
          <w:tcPr>
            <w:tcW w:w="4910" w:type="dxa"/>
            <w:tcBorders/>
            <w:shd w:fill="auto" w:val="clear"/>
            <w:vAlign w:val="bottom"/>
          </w:tcPr>
          <w:p>
            <w:pPr>
              <w:pStyle w:val="TableContents"/>
              <w:spacing w:before="0" w:after="0"/>
              <w:ind w:left="144" w:right="0" w:hanging="144"/>
              <w:rPr/>
            </w:pPr>
            <w:r>
              <w:rPr/>
              <w:t>Real estate(1)</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4"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4910" w:type="dxa"/>
            <w:tcBorders/>
            <w:shd w:fill="CCEEFF" w:val="clear"/>
            <w:vAlign w:val="bottom"/>
          </w:tcPr>
          <w:p>
            <w:pPr>
              <w:pStyle w:val="TableContents"/>
              <w:spacing w:before="0" w:after="0"/>
              <w:ind w:left="324" w:right="0" w:hanging="144"/>
              <w:rPr/>
            </w:pPr>
            <w:r>
              <w:rPr/>
              <w:t>Residential first mortgages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844,151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0"/>
              <w:rPr/>
            </w:pPr>
            <w:r>
              <w:rPr/>
              <w:t>$</w:t>
            </w:r>
          </w:p>
        </w:tc>
        <w:tc>
          <w:tcPr>
            <w:tcW w:w="1185" w:type="dxa"/>
            <w:tcBorders/>
            <w:shd w:fill="CCEEFF" w:val="clear"/>
            <w:vAlign w:val="bottom"/>
          </w:tcPr>
          <w:p>
            <w:pPr>
              <w:pStyle w:val="TableContents"/>
              <w:spacing w:before="0" w:after="0"/>
              <w:jc w:val="right"/>
              <w:rPr/>
            </w:pPr>
            <w:r>
              <w:rPr/>
              <w:t>811,719</w:t>
            </w:r>
          </w:p>
        </w:tc>
        <w:tc>
          <w:tcPr>
            <w:tcW w:w="75" w:type="dxa"/>
            <w:tcBorders/>
            <w:shd w:fill="CCEEFF" w:val="clear"/>
            <w:vAlign w:val="bottom"/>
          </w:tcPr>
          <w:p>
            <w:pPr>
              <w:pStyle w:val="TableContents"/>
              <w:spacing w:before="0" w:after="283"/>
              <w:rPr/>
            </w:pPr>
            <w:r>
              <w:rPr/>
              <w:t> </w:t>
            </w:r>
          </w:p>
        </w:tc>
      </w:tr>
      <w:tr>
        <w:trPr/>
        <w:tc>
          <w:tcPr>
            <w:tcW w:w="4910" w:type="dxa"/>
            <w:tcBorders/>
            <w:shd w:fill="FFFFFF" w:val="clear"/>
            <w:vAlign w:val="bottom"/>
          </w:tcPr>
          <w:p>
            <w:pPr>
              <w:pStyle w:val="TableContents"/>
              <w:spacing w:before="0" w:after="0"/>
              <w:ind w:left="324" w:right="0" w:hanging="144"/>
              <w:rPr/>
            </w:pPr>
            <w:r>
              <w:rPr/>
              <w:t>Residential home equity and other junior mortgages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175,330</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5" w:type="dxa"/>
            <w:tcBorders/>
            <w:shd w:fill="FFFFFF" w:val="clear"/>
            <w:vAlign w:val="bottom"/>
          </w:tcPr>
          <w:p>
            <w:pPr>
              <w:pStyle w:val="TableContents"/>
              <w:spacing w:before="0" w:after="0"/>
              <w:jc w:val="right"/>
              <w:rPr/>
            </w:pPr>
            <w:r>
              <w:rPr/>
              <w:t>177,574</w:t>
            </w:r>
          </w:p>
        </w:tc>
        <w:tc>
          <w:tcPr>
            <w:tcW w:w="75" w:type="dxa"/>
            <w:tcBorders/>
            <w:shd w:fill="FFFFFF" w:val="clear"/>
            <w:vAlign w:val="bottom"/>
          </w:tcPr>
          <w:p>
            <w:pPr>
              <w:pStyle w:val="TableContents"/>
              <w:spacing w:before="0" w:after="283"/>
              <w:rPr/>
            </w:pPr>
            <w:r>
              <w:rPr/>
              <w:t> </w:t>
            </w:r>
          </w:p>
        </w:tc>
      </w:tr>
      <w:tr>
        <w:trPr/>
        <w:tc>
          <w:tcPr>
            <w:tcW w:w="4910" w:type="dxa"/>
            <w:tcBorders/>
            <w:shd w:fill="CCEEFF" w:val="clear"/>
            <w:vAlign w:val="bottom"/>
          </w:tcPr>
          <w:p>
            <w:pPr>
              <w:pStyle w:val="TableContents"/>
              <w:spacing w:before="0" w:after="0"/>
              <w:ind w:left="324" w:right="0" w:hanging="144"/>
              <w:rPr/>
            </w:pPr>
            <w:r>
              <w:rPr/>
              <w:t>Construction and land development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202,997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0"/>
              <w:jc w:val="right"/>
              <w:rPr/>
            </w:pPr>
            <w:r>
              <w:rPr/>
              <w:t>180,286</w:t>
            </w:r>
          </w:p>
        </w:tc>
        <w:tc>
          <w:tcPr>
            <w:tcW w:w="75" w:type="dxa"/>
            <w:tcBorders/>
            <w:shd w:fill="CCEEFF" w:val="clear"/>
            <w:vAlign w:val="bottom"/>
          </w:tcPr>
          <w:p>
            <w:pPr>
              <w:pStyle w:val="TableContents"/>
              <w:spacing w:before="0" w:after="283"/>
              <w:rPr/>
            </w:pPr>
            <w:r>
              <w:rPr/>
              <w:t> </w:t>
            </w:r>
          </w:p>
        </w:tc>
      </w:tr>
      <w:tr>
        <w:trPr/>
        <w:tc>
          <w:tcPr>
            <w:tcW w:w="4910" w:type="dxa"/>
            <w:tcBorders/>
            <w:shd w:fill="FFFFFF" w:val="clear"/>
            <w:vAlign w:val="bottom"/>
          </w:tcPr>
          <w:p>
            <w:pPr>
              <w:pStyle w:val="TableContents"/>
              <w:spacing w:before="0" w:after="0"/>
              <w:ind w:left="324" w:right="0" w:hanging="144"/>
              <w:rPr/>
            </w:pPr>
            <w:r>
              <w:rPr/>
              <w:t>Other(2)</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713,008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5" w:type="dxa"/>
            <w:tcBorders/>
            <w:shd w:fill="FFFFFF" w:val="clear"/>
            <w:vAlign w:val="bottom"/>
          </w:tcPr>
          <w:p>
            <w:pPr>
              <w:pStyle w:val="TableContents"/>
              <w:spacing w:before="0" w:after="0"/>
              <w:jc w:val="right"/>
              <w:rPr/>
            </w:pPr>
            <w:r>
              <w:rPr/>
              <w:t>707,347</w:t>
            </w:r>
          </w:p>
        </w:tc>
        <w:tc>
          <w:tcPr>
            <w:tcW w:w="75" w:type="dxa"/>
            <w:tcBorders/>
            <w:shd w:fill="FFFFFF" w:val="clear"/>
            <w:vAlign w:val="bottom"/>
          </w:tcPr>
          <w:p>
            <w:pPr>
              <w:pStyle w:val="TableContents"/>
              <w:spacing w:before="0" w:after="283"/>
              <w:rPr/>
            </w:pPr>
            <w:r>
              <w:rPr/>
              <w:t> </w:t>
            </w:r>
          </w:p>
        </w:tc>
      </w:tr>
      <w:tr>
        <w:trPr/>
        <w:tc>
          <w:tcPr>
            <w:tcW w:w="4910" w:type="dxa"/>
            <w:tcBorders/>
            <w:shd w:fill="CCEEFF" w:val="clear"/>
            <w:vAlign w:val="bottom"/>
          </w:tcPr>
          <w:p>
            <w:pPr>
              <w:pStyle w:val="TableContents"/>
              <w:spacing w:before="0" w:after="0"/>
              <w:ind w:left="144" w:right="0" w:hanging="144"/>
              <w:rPr/>
            </w:pPr>
            <w:r>
              <w:rPr/>
              <w:t>Consumer</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431,227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0"/>
              <w:jc w:val="right"/>
              <w:rPr/>
            </w:pPr>
            <w:r>
              <w:rPr/>
              <w:t>379,607</w:t>
            </w:r>
          </w:p>
        </w:tc>
        <w:tc>
          <w:tcPr>
            <w:tcW w:w="75" w:type="dxa"/>
            <w:tcBorders/>
            <w:shd w:fill="CCEEFF" w:val="clear"/>
            <w:vAlign w:val="bottom"/>
          </w:tcPr>
          <w:p>
            <w:pPr>
              <w:pStyle w:val="TableContents"/>
              <w:spacing w:before="0" w:after="283"/>
              <w:rPr/>
            </w:pPr>
            <w:r>
              <w:rPr/>
              <w:t> </w:t>
            </w:r>
          </w:p>
        </w:tc>
      </w:tr>
      <w:tr>
        <w:trPr/>
        <w:tc>
          <w:tcPr>
            <w:tcW w:w="4910" w:type="dxa"/>
            <w:tcBorders/>
            <w:shd w:fill="FFFFFF" w:val="clear"/>
            <w:vAlign w:val="bottom"/>
          </w:tcPr>
          <w:p>
            <w:pPr>
              <w:pStyle w:val="TableContents"/>
              <w:spacing w:before="0" w:after="0"/>
              <w:ind w:left="144" w:right="0" w:hanging="144"/>
              <w:rPr/>
            </w:pPr>
            <w:r>
              <w:rPr/>
              <w:t>Commercial</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980" w:type="dxa"/>
            <w:tcBorders/>
            <w:shd w:fill="FFFFFF" w:val="clear"/>
            <w:vAlign w:val="bottom"/>
          </w:tcPr>
          <w:p>
            <w:pPr>
              <w:pStyle w:val="TableContents"/>
              <w:spacing w:before="0" w:after="0"/>
              <w:jc w:val="right"/>
              <w:rPr/>
            </w:pPr>
            <w:r>
              <w:rPr/>
              <w:t>333,522</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9" w:type="dxa"/>
            <w:tcBorders/>
            <w:shd w:fill="FFFFFF" w:val="clear"/>
            <w:vAlign w:val="bottom"/>
          </w:tcPr>
          <w:p>
            <w:pPr>
              <w:pStyle w:val="TableContents"/>
              <w:spacing w:before="0" w:after="283"/>
              <w:rPr/>
            </w:pPr>
            <w:r>
              <w:rPr/>
              <w:t> </w:t>
            </w:r>
          </w:p>
        </w:tc>
        <w:tc>
          <w:tcPr>
            <w:tcW w:w="1185" w:type="dxa"/>
            <w:tcBorders/>
            <w:shd w:fill="FFFFFF" w:val="clear"/>
            <w:vAlign w:val="bottom"/>
          </w:tcPr>
          <w:p>
            <w:pPr>
              <w:pStyle w:val="TableContents"/>
              <w:spacing w:before="0" w:after="0"/>
              <w:jc w:val="right"/>
              <w:rPr/>
            </w:pPr>
            <w:r>
              <w:rPr/>
              <w:t>319,058</w:t>
            </w:r>
          </w:p>
        </w:tc>
        <w:tc>
          <w:tcPr>
            <w:tcW w:w="75" w:type="dxa"/>
            <w:tcBorders/>
            <w:shd w:fill="FFFFFF" w:val="clear"/>
            <w:vAlign w:val="bottom"/>
          </w:tcPr>
          <w:p>
            <w:pPr>
              <w:pStyle w:val="TableContents"/>
              <w:spacing w:before="0" w:after="283"/>
              <w:rPr/>
            </w:pPr>
            <w:r>
              <w:rPr/>
              <w:t> </w:t>
            </w:r>
          </w:p>
        </w:tc>
      </w:tr>
      <w:tr>
        <w:trPr/>
        <w:tc>
          <w:tcPr>
            <w:tcW w:w="4910" w:type="dxa"/>
            <w:tcBorders/>
            <w:shd w:fill="CCEEFF" w:val="clear"/>
            <w:vAlign w:val="bottom"/>
          </w:tcPr>
          <w:p>
            <w:pPr>
              <w:pStyle w:val="TableContents"/>
              <w:spacing w:before="0" w:after="0"/>
              <w:ind w:left="144" w:right="0" w:hanging="144"/>
              <w:rPr/>
            </w:pPr>
            <w:r>
              <w:rPr/>
              <w:t>Agricultural</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6,291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85" w:type="dxa"/>
            <w:tcBorders>
              <w:bottom w:val="single" w:sz="12" w:space="0" w:color="000000"/>
            </w:tcBorders>
            <w:shd w:fill="CCEEFF" w:val="clear"/>
            <w:tcMar>
              <w:bottom w:w="28" w:type="dxa"/>
            </w:tcMar>
            <w:vAlign w:val="bottom"/>
          </w:tcPr>
          <w:p>
            <w:pPr>
              <w:pStyle w:val="TableContents"/>
              <w:spacing w:before="0" w:after="0"/>
              <w:jc w:val="right"/>
              <w:rPr/>
            </w:pPr>
            <w:r>
              <w:rPr/>
              <w:t>6,929</w:t>
            </w:r>
          </w:p>
        </w:tc>
        <w:tc>
          <w:tcPr>
            <w:tcW w:w="75" w:type="dxa"/>
            <w:tcBorders/>
            <w:shd w:fill="CCEEFF" w:val="clear"/>
            <w:vAlign w:val="bottom"/>
          </w:tcPr>
          <w:p>
            <w:pPr>
              <w:pStyle w:val="TableContents"/>
              <w:spacing w:before="0" w:after="283"/>
              <w:rPr/>
            </w:pPr>
            <w:r>
              <w:rPr/>
              <w:t> </w:t>
            </w:r>
          </w:p>
        </w:tc>
      </w:tr>
      <w:tr>
        <w:trPr/>
        <w:tc>
          <w:tcPr>
            <w:tcW w:w="4910" w:type="dxa"/>
            <w:tcBorders/>
            <w:shd w:fill="FFFFFF" w:val="clear"/>
            <w:vAlign w:val="bottom"/>
          </w:tcPr>
          <w:p>
            <w:pPr>
              <w:pStyle w:val="TableContents"/>
              <w:spacing w:before="0" w:after="0"/>
              <w:ind w:left="324" w:right="0" w:hanging="144"/>
              <w:rPr/>
            </w:pPr>
            <w:r>
              <w:rPr/>
              <w:t>Total loans</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pPr>
            <w:r>
              <w:rPr/>
              <w:t>$</w:t>
            </w:r>
          </w:p>
        </w:tc>
        <w:tc>
          <w:tcPr>
            <w:tcW w:w="980" w:type="dxa"/>
            <w:tcBorders>
              <w:bottom w:val="double" w:sz="8" w:space="0" w:color="000000"/>
            </w:tcBorders>
            <w:shd w:fill="FFFFFF" w:val="clear"/>
            <w:tcMar>
              <w:bottom w:w="28" w:type="dxa"/>
            </w:tcMar>
            <w:vAlign w:val="bottom"/>
          </w:tcPr>
          <w:p>
            <w:pPr>
              <w:pStyle w:val="TableContents"/>
              <w:spacing w:before="0" w:after="0"/>
              <w:jc w:val="right"/>
              <w:rPr/>
            </w:pPr>
            <w:r>
              <w:rPr/>
              <w:t>2,706,526</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69" w:type="dxa"/>
            <w:tcBorders>
              <w:bottom w:val="double" w:sz="8" w:space="0" w:color="000000"/>
            </w:tcBorders>
            <w:shd w:fill="FFFFFF" w:val="clear"/>
            <w:tcMar>
              <w:bottom w:w="28" w:type="dxa"/>
            </w:tcMar>
            <w:vAlign w:val="bottom"/>
          </w:tcPr>
          <w:p>
            <w:pPr>
              <w:pStyle w:val="TableContents"/>
              <w:spacing w:before="0" w:after="0"/>
              <w:rPr/>
            </w:pPr>
            <w:r>
              <w:rPr/>
              <w:t>$</w:t>
            </w:r>
          </w:p>
        </w:tc>
        <w:tc>
          <w:tcPr>
            <w:tcW w:w="1185" w:type="dxa"/>
            <w:tcBorders>
              <w:bottom w:val="double" w:sz="8" w:space="0" w:color="000000"/>
            </w:tcBorders>
            <w:shd w:fill="FFFFFF" w:val="clear"/>
            <w:tcMar>
              <w:bottom w:w="28" w:type="dxa"/>
            </w:tcMar>
            <w:vAlign w:val="bottom"/>
          </w:tcPr>
          <w:p>
            <w:pPr>
              <w:pStyle w:val="TableContents"/>
              <w:spacing w:before="0" w:after="0"/>
              <w:jc w:val="right"/>
              <w:rPr/>
            </w:pPr>
            <w:r>
              <w:rPr/>
              <w:t>2,582,520</w:t>
            </w:r>
          </w:p>
        </w:tc>
        <w:tc>
          <w:tcPr>
            <w:tcW w:w="75" w:type="dxa"/>
            <w:tcBorders/>
            <w:shd w:fill="FFFFFF"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20" w:space="0" w:color="808080"/>
        </w:pBdr>
        <w:rPr/>
      </w:pPr>
      <w:r>
        <w:rPr/>
      </w:r>
    </w:p>
    <w:p>
      <w:pPr>
        <w:pStyle w:val="Normal"/>
        <w:spacing w:before="0" w:after="0"/>
        <w:rPr>
          <w:sz w:val="4"/>
          <w:szCs w:val="4"/>
        </w:rPr>
      </w:pPr>
      <w:r>
        <w:rPr>
          <w:sz w:val="4"/>
          <w:szCs w:val="4"/>
        </w:rPr>
      </w:r>
      <w:bookmarkStart w:id="789" w:name="z6dec5daaed58476098a4f7863a08dfbf"/>
      <w:bookmarkStart w:id="790" w:name="z6dec5daaed58476098a4f7863a08dfbf"/>
      <w:bookmarkEnd w:id="790"/>
    </w:p>
    <w:tbl>
      <w:tblPr>
        <w:tblW w:w="8335" w:type="dxa"/>
        <w:jc w:val="left"/>
        <w:tblInd w:w="0" w:type="dxa"/>
        <w:tblCellMar>
          <w:top w:w="0" w:type="dxa"/>
          <w:left w:w="0" w:type="dxa"/>
          <w:bottom w:w="0" w:type="dxa"/>
          <w:right w:w="0" w:type="dxa"/>
        </w:tblCellMar>
      </w:tblPr>
      <w:tblGrid>
        <w:gridCol w:w="305"/>
        <w:gridCol w:w="8030"/>
      </w:tblGrid>
      <w:tr>
        <w:trPr/>
        <w:tc>
          <w:tcPr>
            <w:tcW w:w="305" w:type="dxa"/>
            <w:tcBorders/>
            <w:shd w:fill="auto" w:val="clear"/>
            <w:vAlign w:val="center"/>
          </w:tcPr>
          <w:p>
            <w:pPr>
              <w:pStyle w:val="TableContents"/>
              <w:spacing w:before="0" w:after="0"/>
              <w:jc w:val="left"/>
              <w:rPr/>
            </w:pPr>
            <w:r>
              <w:rPr/>
              <w:t>(1)</w:t>
            </w:r>
          </w:p>
        </w:tc>
        <w:tc>
          <w:tcPr>
            <w:tcW w:w="8030" w:type="dxa"/>
            <w:tcBorders/>
            <w:shd w:fill="auto" w:val="clear"/>
            <w:vAlign w:val="center"/>
          </w:tcPr>
          <w:p>
            <w:pPr>
              <w:pStyle w:val="TableContents"/>
              <w:spacing w:before="0" w:after="0"/>
              <w:jc w:val="left"/>
              <w:rPr/>
            </w:pPr>
            <w:r>
              <w:rPr/>
              <w:t>Includes both residential and non-residential commercial loans secured by real estate.</w:t>
            </w:r>
          </w:p>
        </w:tc>
      </w:tr>
    </w:tbl>
    <w:p>
      <w:pPr>
        <w:pStyle w:val="Normal"/>
        <w:spacing w:before="0" w:after="0"/>
        <w:rPr>
          <w:sz w:val="4"/>
          <w:szCs w:val="4"/>
        </w:rPr>
      </w:pPr>
      <w:r>
        <w:rPr>
          <w:sz w:val="4"/>
          <w:szCs w:val="4"/>
        </w:rPr>
      </w:r>
      <w:bookmarkStart w:id="791" w:name="z215d930045054cc293432b74dcac2bcc"/>
      <w:bookmarkStart w:id="792" w:name="z215d930045054cc293432b74dcac2bcc"/>
      <w:bookmarkEnd w:id="792"/>
    </w:p>
    <w:tbl>
      <w:tblPr>
        <w:tblW w:w="8770" w:type="dxa"/>
        <w:jc w:val="left"/>
        <w:tblInd w:w="0" w:type="dxa"/>
        <w:tblCellMar>
          <w:top w:w="0" w:type="dxa"/>
          <w:left w:w="0" w:type="dxa"/>
          <w:bottom w:w="0" w:type="dxa"/>
          <w:right w:w="0" w:type="dxa"/>
        </w:tblCellMar>
      </w:tblPr>
      <w:tblGrid>
        <w:gridCol w:w="305"/>
        <w:gridCol w:w="8465"/>
      </w:tblGrid>
      <w:tr>
        <w:trPr/>
        <w:tc>
          <w:tcPr>
            <w:tcW w:w="305" w:type="dxa"/>
            <w:tcBorders/>
            <w:shd w:fill="auto" w:val="clear"/>
            <w:vAlign w:val="center"/>
          </w:tcPr>
          <w:p>
            <w:pPr>
              <w:pStyle w:val="TableContents"/>
              <w:spacing w:before="0" w:after="0"/>
              <w:jc w:val="left"/>
              <w:rPr/>
            </w:pPr>
            <w:r>
              <w:rPr/>
              <w:t>(2)</w:t>
            </w:r>
          </w:p>
        </w:tc>
        <w:tc>
          <w:tcPr>
            <w:tcW w:w="8465" w:type="dxa"/>
            <w:tcBorders/>
            <w:shd w:fill="auto" w:val="clear"/>
            <w:vAlign w:val="center"/>
          </w:tcPr>
          <w:p>
            <w:pPr>
              <w:pStyle w:val="TableContents"/>
              <w:spacing w:before="0" w:after="0"/>
              <w:jc w:val="left"/>
              <w:rPr/>
            </w:pPr>
            <w:r>
              <w:rPr/>
              <w:t>Includes loans secured by multi-family residential and non-farm, non-residential property.</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93" w:name="DSPFPageBreakArea77"/>
      <w:bookmarkStart w:id="794" w:name="DSPFPageBreakArea77"/>
      <w:bookmarkEnd w:id="7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795" w:name="DSPFPageNumber77"/>
      <w:bookmarkStart w:id="796" w:name="DSPFPageNumberArea76"/>
      <w:bookmarkEnd w:id="795"/>
      <w:bookmarkEnd w:id="796"/>
      <w:r>
        <w:rPr>
          <w:b w:val="false"/>
          <w:i w:val="false"/>
          <w:caps w:val="false"/>
          <w:smallCaps w:val="false"/>
          <w:sz w:val="13"/>
        </w:rPr>
        <w:t>78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97" w:name="DSPFPageBreak77"/>
      <w:bookmarkStart w:id="798" w:name="DSPFPageBreak77"/>
      <w:bookmarkEnd w:id="7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799" w:name="DSPFPageHeader76"/>
        <w:bookmarkEnd w:id="799"/>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b/>
          <w:color w:val="000000"/>
        </w:rPr>
      </w:pPr>
      <w:r>
        <w:rPr>
          <w:b/>
          <w:color w:val="000000"/>
        </w:rPr>
        <w:t>Non-performing assets(1)</w:t>
      </w:r>
    </w:p>
    <w:p>
      <w:pPr>
        <w:pStyle w:val="Normal"/>
        <w:spacing w:before="0" w:after="0"/>
        <w:rPr>
          <w:sz w:val="4"/>
          <w:szCs w:val="4"/>
        </w:rPr>
      </w:pPr>
      <w:r>
        <w:rPr>
          <w:sz w:val="4"/>
          <w:szCs w:val="4"/>
        </w:rPr>
      </w:r>
      <w:bookmarkStart w:id="800" w:name="z188cd2f02d73492489f8a2179a221115"/>
      <w:bookmarkStart w:id="801" w:name="z188cd2f02d73492489f8a2179a221115"/>
      <w:bookmarkEnd w:id="801"/>
    </w:p>
    <w:tbl>
      <w:tblPr>
        <w:tblW w:w="8774" w:type="dxa"/>
        <w:jc w:val="center"/>
        <w:tblInd w:w="0" w:type="dxa"/>
        <w:tblCellMar>
          <w:top w:w="0" w:type="dxa"/>
          <w:left w:w="0" w:type="dxa"/>
          <w:bottom w:w="0" w:type="dxa"/>
          <w:right w:w="0" w:type="dxa"/>
        </w:tblCellMar>
      </w:tblPr>
      <w:tblGrid>
        <w:gridCol w:w="5990"/>
        <w:gridCol w:w="60"/>
        <w:gridCol w:w="140"/>
        <w:gridCol w:w="680"/>
        <w:gridCol w:w="215"/>
        <w:gridCol w:w="60"/>
        <w:gridCol w:w="230"/>
        <w:gridCol w:w="1124"/>
        <w:gridCol w:w="275"/>
      </w:tblGrid>
      <w:tr>
        <w:trPr/>
        <w:tc>
          <w:tcPr>
            <w:tcW w:w="599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June 30,</w:t>
            </w:r>
          </w:p>
          <w:p>
            <w:pPr>
              <w:pStyle w:val="TableContents"/>
              <w:spacing w:before="0" w:after="0"/>
              <w:jc w:val="center"/>
              <w:rPr>
                <w:color w:val="000000"/>
              </w:rPr>
            </w:pPr>
            <w:r>
              <w:rPr>
                <w:color w:val="000000"/>
              </w:rPr>
              <w:t>2019</w:t>
            </w:r>
          </w:p>
        </w:tc>
        <w:tc>
          <w:tcPr>
            <w:tcW w:w="21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1354"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December 31,</w:t>
            </w:r>
          </w:p>
          <w:p>
            <w:pPr>
              <w:pStyle w:val="TableContents"/>
              <w:spacing w:before="0" w:after="0"/>
              <w:jc w:val="center"/>
              <w:rPr>
                <w:color w:val="000000"/>
              </w:rPr>
            </w:pPr>
            <w:r>
              <w:rPr>
                <w:color w:val="000000"/>
              </w:rPr>
              <w:t>2018</w:t>
            </w:r>
          </w:p>
        </w:tc>
        <w:tc>
          <w:tcPr>
            <w:tcW w:w="275" w:type="dxa"/>
            <w:tcBorders/>
            <w:shd w:fill="auto" w:val="clear"/>
            <w:vAlign w:val="bottom"/>
          </w:tcPr>
          <w:p>
            <w:pPr>
              <w:pStyle w:val="TableContents"/>
              <w:spacing w:before="0" w:after="283"/>
              <w:rPr/>
            </w:pPr>
            <w:r>
              <w:rPr/>
            </w:r>
          </w:p>
        </w:tc>
      </w:tr>
      <w:tr>
        <w:trPr/>
        <w:tc>
          <w:tcPr>
            <w:tcW w:w="599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2449" w:type="dxa"/>
            <w:gridSpan w:val="6"/>
            <w:tcBorders/>
            <w:shd w:fill="auto" w:val="clear"/>
            <w:vAlign w:val="bottom"/>
          </w:tcPr>
          <w:p>
            <w:pPr>
              <w:pStyle w:val="TableContents"/>
              <w:spacing w:before="0" w:after="0"/>
              <w:jc w:val="center"/>
              <w:rPr>
                <w:color w:val="000000"/>
              </w:rPr>
            </w:pPr>
            <w:r>
              <w:rPr>
                <w:color w:val="000000"/>
              </w:rPr>
              <w:t>(Dollars in thousands)</w:t>
            </w:r>
          </w:p>
        </w:tc>
        <w:tc>
          <w:tcPr>
            <w:tcW w:w="275" w:type="dxa"/>
            <w:tcBorders/>
            <w:shd w:fill="auto" w:val="clear"/>
            <w:vAlign w:val="bottom"/>
          </w:tcPr>
          <w:p>
            <w:pPr>
              <w:pStyle w:val="TableContents"/>
              <w:spacing w:before="0" w:after="283"/>
              <w:rPr/>
            </w:pPr>
            <w:r>
              <w:rPr/>
              <w:t> </w:t>
            </w:r>
          </w:p>
        </w:tc>
      </w:tr>
      <w:tr>
        <w:trPr/>
        <w:tc>
          <w:tcPr>
            <w:tcW w:w="5990" w:type="dxa"/>
            <w:tcBorders/>
            <w:shd w:fill="CCEEFF" w:val="clear"/>
            <w:vAlign w:val="bottom"/>
          </w:tcPr>
          <w:p>
            <w:pPr>
              <w:pStyle w:val="TableContents"/>
              <w:spacing w:before="0" w:after="0"/>
              <w:ind w:left="144" w:right="0" w:hanging="144"/>
              <w:rPr>
                <w:color w:val="000000"/>
              </w:rPr>
            </w:pPr>
            <w:r>
              <w:rPr>
                <w:color w:val="000000"/>
              </w:rPr>
              <w:t>Non-accrual loans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7,798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0"/>
              <w:rPr>
                <w:color w:val="000000"/>
              </w:rPr>
            </w:pPr>
            <w:r>
              <w:rPr>
                <w:color w:val="000000"/>
              </w:rPr>
              <w:t>$</w:t>
            </w:r>
          </w:p>
        </w:tc>
        <w:tc>
          <w:tcPr>
            <w:tcW w:w="1124" w:type="dxa"/>
            <w:tcBorders/>
            <w:shd w:fill="CCEEFF" w:val="clear"/>
            <w:vAlign w:val="bottom"/>
          </w:tcPr>
          <w:p>
            <w:pPr>
              <w:pStyle w:val="TableContents"/>
              <w:spacing w:before="0" w:after="0"/>
              <w:jc w:val="right"/>
              <w:rPr>
                <w:color w:val="000000"/>
              </w:rPr>
            </w:pPr>
            <w:r>
              <w:rPr>
                <w:color w:val="000000"/>
              </w:rPr>
              <w:t>9,029</w:t>
            </w:r>
          </w:p>
        </w:tc>
        <w:tc>
          <w:tcPr>
            <w:tcW w:w="275" w:type="dxa"/>
            <w:tcBorders/>
            <w:shd w:fill="CCEEFF" w:val="clear"/>
            <w:vAlign w:val="bottom"/>
          </w:tcPr>
          <w:p>
            <w:pPr>
              <w:pStyle w:val="TableContents"/>
              <w:spacing w:before="0" w:after="283"/>
              <w:rPr/>
            </w:pPr>
            <w:r>
              <w:rPr/>
              <w:t> </w:t>
            </w:r>
          </w:p>
        </w:tc>
      </w:tr>
      <w:tr>
        <w:trPr/>
        <w:tc>
          <w:tcPr>
            <w:tcW w:w="5990" w:type="dxa"/>
            <w:tcBorders/>
            <w:shd w:fill="FFFFFF" w:val="clear"/>
            <w:vAlign w:val="bottom"/>
          </w:tcPr>
          <w:p>
            <w:pPr>
              <w:pStyle w:val="TableContents"/>
              <w:spacing w:before="0" w:after="0"/>
              <w:rPr>
                <w:color w:val="000000"/>
              </w:rPr>
            </w:pPr>
            <w:r>
              <w:rPr>
                <w:color w:val="000000"/>
              </w:rPr>
              <w:t>Loans 90 days or more past due and still accruing interest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0" w:type="dxa"/>
            <w:tcBorders/>
            <w:shd w:fill="FFFFFF" w:val="clear"/>
            <w:vAlign w:val="bottom"/>
          </w:tcPr>
          <w:p>
            <w:pPr>
              <w:pStyle w:val="TableContents"/>
              <w:spacing w:before="0" w:after="283"/>
              <w:rPr/>
            </w:pPr>
            <w:r>
              <w:rPr/>
              <w:t> </w:t>
            </w:r>
          </w:p>
        </w:tc>
        <w:tc>
          <w:tcPr>
            <w:tcW w:w="1124" w:type="dxa"/>
            <w:tcBorders/>
            <w:shd w:fill="FFFFFF" w:val="clear"/>
            <w:vAlign w:val="bottom"/>
          </w:tcPr>
          <w:p>
            <w:pPr>
              <w:pStyle w:val="TableContents"/>
              <w:spacing w:before="0" w:after="0"/>
              <w:jc w:val="right"/>
              <w:rPr>
                <w:color w:val="000000"/>
              </w:rPr>
            </w:pPr>
            <w:r>
              <w:rPr>
                <w:color w:val="000000"/>
              </w:rPr>
              <w:t>5</w:t>
            </w:r>
          </w:p>
        </w:tc>
        <w:tc>
          <w:tcPr>
            <w:tcW w:w="275" w:type="dxa"/>
            <w:tcBorders/>
            <w:shd w:fill="FFFFFF" w:val="clear"/>
            <w:vAlign w:val="bottom"/>
          </w:tcPr>
          <w:p>
            <w:pPr>
              <w:pStyle w:val="TableContents"/>
              <w:spacing w:before="0" w:after="283"/>
              <w:rPr/>
            </w:pPr>
            <w:r>
              <w:rPr/>
              <w:t> </w:t>
            </w:r>
          </w:p>
        </w:tc>
      </w:tr>
      <w:tr>
        <w:trPr/>
        <w:tc>
          <w:tcPr>
            <w:tcW w:w="5990" w:type="dxa"/>
            <w:tcBorders/>
            <w:shd w:fill="CCEEFF" w:val="clear"/>
            <w:vAlign w:val="bottom"/>
          </w:tcPr>
          <w:p>
            <w:pPr>
              <w:pStyle w:val="TableContents"/>
              <w:spacing w:before="0" w:after="0"/>
              <w:ind w:left="144" w:right="0" w:hanging="144"/>
              <w:rPr>
                <w:color w:val="000000"/>
              </w:rPr>
            </w:pPr>
            <w:r>
              <w:rPr>
                <w:color w:val="000000"/>
              </w:rPr>
              <w:t>Less - government guaranteed loans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(436</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3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2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(460</w:t>
            </w:r>
          </w:p>
        </w:tc>
        <w:tc>
          <w:tcPr>
            <w:tcW w:w="275" w:type="dxa"/>
            <w:tcBorders/>
            <w:shd w:fill="CCEEFF" w:val="clear"/>
            <w:vAlign w:val="bottom"/>
          </w:tcPr>
          <w:p>
            <w:pPr>
              <w:pStyle w:val="TableContents"/>
              <w:spacing w:before="0" w:after="0"/>
              <w:rPr>
                <w:color w:val="000000"/>
              </w:rPr>
            </w:pPr>
            <w:r>
              <w:rPr>
                <w:color w:val="000000"/>
              </w:rPr>
              <w:t>)</w:t>
            </w:r>
          </w:p>
        </w:tc>
      </w:tr>
      <w:tr>
        <w:trPr/>
        <w:tc>
          <w:tcPr>
            <w:tcW w:w="5990" w:type="dxa"/>
            <w:tcBorders/>
            <w:shd w:fill="FFFFFF" w:val="clear"/>
            <w:vAlign w:val="bottom"/>
          </w:tcPr>
          <w:p>
            <w:pPr>
              <w:pStyle w:val="TableContents"/>
              <w:spacing w:before="0" w:after="0"/>
              <w:ind w:left="144" w:right="0" w:hanging="144"/>
              <w:jc w:val="right"/>
              <w:rPr>
                <w:color w:val="000000"/>
              </w:rPr>
            </w:pPr>
            <w:r>
              <w:rPr>
                <w:color w:val="000000"/>
              </w:rPr>
              <w:t>Total non-performing loans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7,362</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0" w:type="dxa"/>
            <w:tcBorders/>
            <w:shd w:fill="FFFFFF" w:val="clear"/>
            <w:vAlign w:val="bottom"/>
          </w:tcPr>
          <w:p>
            <w:pPr>
              <w:pStyle w:val="TableContents"/>
              <w:spacing w:before="0" w:after="283"/>
              <w:rPr/>
            </w:pPr>
            <w:r>
              <w:rPr/>
              <w:t> </w:t>
            </w:r>
          </w:p>
        </w:tc>
        <w:tc>
          <w:tcPr>
            <w:tcW w:w="1124" w:type="dxa"/>
            <w:tcBorders/>
            <w:shd w:fill="FFFFFF" w:val="clear"/>
            <w:vAlign w:val="bottom"/>
          </w:tcPr>
          <w:p>
            <w:pPr>
              <w:pStyle w:val="TableContents"/>
              <w:spacing w:before="0" w:after="0"/>
              <w:jc w:val="right"/>
              <w:rPr>
                <w:color w:val="000000"/>
              </w:rPr>
            </w:pPr>
            <w:r>
              <w:rPr>
                <w:color w:val="000000"/>
              </w:rPr>
              <w:t>8,574</w:t>
            </w:r>
          </w:p>
        </w:tc>
        <w:tc>
          <w:tcPr>
            <w:tcW w:w="275" w:type="dxa"/>
            <w:tcBorders/>
            <w:shd w:fill="FFFFFF" w:val="clear"/>
            <w:vAlign w:val="bottom"/>
          </w:tcPr>
          <w:p>
            <w:pPr>
              <w:pStyle w:val="TableContents"/>
              <w:spacing w:before="0" w:after="283"/>
              <w:rPr/>
            </w:pPr>
            <w:r>
              <w:rPr/>
              <w:t> </w:t>
            </w:r>
          </w:p>
        </w:tc>
      </w:tr>
      <w:tr>
        <w:trPr/>
        <w:tc>
          <w:tcPr>
            <w:tcW w:w="5990" w:type="dxa"/>
            <w:tcBorders/>
            <w:shd w:fill="CCEEFF" w:val="clear"/>
            <w:vAlign w:val="bottom"/>
          </w:tcPr>
          <w:p>
            <w:pPr>
              <w:pStyle w:val="TableContents"/>
              <w:spacing w:before="0" w:after="0"/>
              <w:ind w:left="144" w:right="0" w:hanging="144"/>
              <w:rPr>
                <w:color w:val="000000"/>
              </w:rPr>
            </w:pPr>
            <w:r>
              <w:rPr>
                <w:color w:val="000000"/>
              </w:rPr>
              <w:t>Other real estate and repossessed assets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1,990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2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1,299</w:t>
            </w:r>
          </w:p>
        </w:tc>
        <w:tc>
          <w:tcPr>
            <w:tcW w:w="275" w:type="dxa"/>
            <w:tcBorders/>
            <w:shd w:fill="CCEEFF" w:val="clear"/>
            <w:vAlign w:val="bottom"/>
          </w:tcPr>
          <w:p>
            <w:pPr>
              <w:pStyle w:val="TableContents"/>
              <w:spacing w:before="0" w:after="283"/>
              <w:rPr/>
            </w:pPr>
            <w:r>
              <w:rPr/>
              <w:t> </w:t>
            </w:r>
          </w:p>
        </w:tc>
      </w:tr>
      <w:tr>
        <w:trPr/>
        <w:tc>
          <w:tcPr>
            <w:tcW w:w="5990" w:type="dxa"/>
            <w:tcBorders/>
            <w:shd w:fill="FFFFFF" w:val="clear"/>
            <w:vAlign w:val="bottom"/>
          </w:tcPr>
          <w:p>
            <w:pPr>
              <w:pStyle w:val="TableContents"/>
              <w:spacing w:before="0" w:after="0"/>
              <w:ind w:left="144" w:right="0" w:hanging="144"/>
              <w:jc w:val="right"/>
              <w:rPr>
                <w:color w:val="000000"/>
              </w:rPr>
            </w:pPr>
            <w:r>
              <w:rPr>
                <w:color w:val="000000"/>
              </w:rPr>
              <w:t>Total non-performing assets</w:t>
            </w:r>
          </w:p>
        </w:tc>
        <w:tc>
          <w:tcPr>
            <w:tcW w:w="60" w:type="dxa"/>
            <w:tcBorders/>
            <w:shd w:fill="FFFFFF" w:val="clear"/>
            <w:vAlign w:val="bottom"/>
          </w:tcPr>
          <w:p>
            <w:pPr>
              <w:pStyle w:val="TableContents"/>
              <w:spacing w:before="0" w:after="283"/>
              <w:rPr/>
            </w:pPr>
            <w:r>
              <w:rPr/>
              <w:t> </w:t>
            </w:r>
          </w:p>
        </w:tc>
        <w:tc>
          <w:tcPr>
            <w:tcW w:w="14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9,352</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0" w:type="dxa"/>
            <w:tcBorders>
              <w:bottom w:val="double" w:sz="8" w:space="0" w:color="000000"/>
            </w:tcBorders>
            <w:shd w:fill="FFFFFF" w:val="clear"/>
            <w:tcMar>
              <w:bottom w:w="28" w:type="dxa"/>
            </w:tcMar>
            <w:vAlign w:val="bottom"/>
          </w:tcPr>
          <w:p>
            <w:pPr>
              <w:pStyle w:val="TableContents"/>
              <w:spacing w:before="0" w:after="0"/>
              <w:rPr>
                <w:color w:val="000000"/>
              </w:rPr>
            </w:pPr>
            <w:r>
              <w:rPr>
                <w:color w:val="000000"/>
              </w:rPr>
              <w:t>$</w:t>
            </w:r>
          </w:p>
        </w:tc>
        <w:tc>
          <w:tcPr>
            <w:tcW w:w="1124" w:type="dxa"/>
            <w:tcBorders>
              <w:bottom w:val="double" w:sz="8" w:space="0" w:color="000000"/>
            </w:tcBorders>
            <w:shd w:fill="FFFFFF" w:val="clear"/>
            <w:tcMar>
              <w:bottom w:w="28" w:type="dxa"/>
            </w:tcMar>
            <w:vAlign w:val="bottom"/>
          </w:tcPr>
          <w:p>
            <w:pPr>
              <w:pStyle w:val="TableContents"/>
              <w:spacing w:before="0" w:after="0"/>
              <w:jc w:val="right"/>
              <w:rPr>
                <w:color w:val="000000"/>
              </w:rPr>
            </w:pPr>
            <w:r>
              <w:rPr>
                <w:color w:val="000000"/>
              </w:rPr>
              <w:t>9,873</w:t>
            </w:r>
          </w:p>
        </w:tc>
        <w:tc>
          <w:tcPr>
            <w:tcW w:w="275" w:type="dxa"/>
            <w:tcBorders/>
            <w:shd w:fill="FFFFFF" w:val="clear"/>
            <w:vAlign w:val="bottom"/>
          </w:tcPr>
          <w:p>
            <w:pPr>
              <w:pStyle w:val="TableContents"/>
              <w:spacing w:before="0" w:after="283"/>
              <w:rPr/>
            </w:pPr>
            <w:r>
              <w:rPr/>
              <w:t> </w:t>
            </w:r>
          </w:p>
        </w:tc>
      </w:tr>
      <w:tr>
        <w:trPr/>
        <w:tc>
          <w:tcPr>
            <w:tcW w:w="5990" w:type="dxa"/>
            <w:tcBorders/>
            <w:shd w:fill="CCEEFF" w:val="clear"/>
            <w:vAlign w:val="bottom"/>
          </w:tcPr>
          <w:p>
            <w:pPr>
              <w:pStyle w:val="TableContents"/>
              <w:spacing w:before="0" w:after="0"/>
              <w:rPr>
                <w:color w:val="000000"/>
              </w:rPr>
            </w:pPr>
            <w:r>
              <w:rPr>
                <w:color w:val="000000"/>
              </w:rPr>
              <w:t xml:space="preserve">As a percent of Portfolio Loans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rPr/>
            </w:pPr>
            <w:r>
              <w:rPr/>
            </w:r>
          </w:p>
        </w:tc>
        <w:tc>
          <w:tcPr>
            <w:tcW w:w="215" w:type="dxa"/>
            <w:tcBorders/>
            <w:shd w:fill="CCEEFF" w:val="clear"/>
            <w:vAlign w:val="bottom"/>
          </w:tcPr>
          <w:p>
            <w:pPr>
              <w:pStyle w:val="TableContents"/>
              <w:spacing w:before="0" w:after="283"/>
              <w:rPr/>
            </w:pPr>
            <w:r>
              <w:rPr/>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rPr/>
            </w:pPr>
            <w:r>
              <w:rPr/>
            </w:r>
          </w:p>
        </w:tc>
        <w:tc>
          <w:tcPr>
            <w:tcW w:w="275" w:type="dxa"/>
            <w:tcBorders/>
            <w:shd w:fill="CCEEFF" w:val="clear"/>
            <w:vAlign w:val="bottom"/>
          </w:tcPr>
          <w:p>
            <w:pPr>
              <w:pStyle w:val="TableContents"/>
              <w:spacing w:before="0" w:after="0"/>
              <w:rPr>
                <w:color w:val="000000"/>
              </w:rPr>
            </w:pPr>
            <w:r>
              <w:rPr>
                <w:color w:val="000000"/>
              </w:rPr>
            </w:r>
          </w:p>
        </w:tc>
      </w:tr>
      <w:tr>
        <w:trPr/>
        <w:tc>
          <w:tcPr>
            <w:tcW w:w="5990" w:type="dxa"/>
            <w:tcBorders/>
            <w:shd w:fill="FFFFFF" w:val="clear"/>
            <w:vAlign w:val="bottom"/>
          </w:tcPr>
          <w:p>
            <w:pPr>
              <w:pStyle w:val="TableContents"/>
              <w:spacing w:before="0" w:after="0"/>
              <w:ind w:left="180" w:right="0" w:hanging="0"/>
              <w:rPr/>
            </w:pPr>
            <w:r>
              <w:rPr/>
              <w:t>Non-performing loans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xml:space="preserve">0.27 </w:t>
            </w:r>
          </w:p>
        </w:tc>
        <w:tc>
          <w:tcPr>
            <w:tcW w:w="215" w:type="dxa"/>
            <w:tcBorders/>
            <w:shd w:fill="FFFFFF" w:val="clear"/>
            <w:vAlign w:val="bottom"/>
          </w:tcPr>
          <w:p>
            <w:pPr>
              <w:pStyle w:val="TableContents"/>
              <w:spacing w:before="0" w:after="283"/>
              <w:rPr/>
            </w:pPr>
            <w:r>
              <w:rPr/>
              <w:t>%</w:t>
            </w:r>
          </w:p>
        </w:tc>
        <w:tc>
          <w:tcPr>
            <w:tcW w:w="60" w:type="dxa"/>
            <w:tcBorders/>
            <w:shd w:fill="FFFFFF" w:val="clear"/>
            <w:vAlign w:val="bottom"/>
          </w:tcPr>
          <w:p>
            <w:pPr>
              <w:pStyle w:val="TableContents"/>
              <w:spacing w:before="0" w:after="283"/>
              <w:rPr/>
            </w:pPr>
            <w:r>
              <w:rPr/>
              <w:t> </w:t>
            </w:r>
          </w:p>
        </w:tc>
        <w:tc>
          <w:tcPr>
            <w:tcW w:w="230" w:type="dxa"/>
            <w:tcBorders/>
            <w:shd w:fill="FFFFFF" w:val="clear"/>
            <w:vAlign w:val="bottom"/>
          </w:tcPr>
          <w:p>
            <w:pPr>
              <w:pStyle w:val="TableContents"/>
              <w:spacing w:before="0" w:after="283"/>
              <w:rPr/>
            </w:pPr>
            <w:r>
              <w:rPr/>
              <w:t> </w:t>
            </w:r>
          </w:p>
        </w:tc>
        <w:tc>
          <w:tcPr>
            <w:tcW w:w="1124" w:type="dxa"/>
            <w:tcBorders/>
            <w:shd w:fill="FFFFFF" w:val="clear"/>
            <w:vAlign w:val="bottom"/>
          </w:tcPr>
          <w:p>
            <w:pPr>
              <w:pStyle w:val="TableContents"/>
              <w:spacing w:before="0" w:after="0"/>
              <w:jc w:val="right"/>
              <w:rPr>
                <w:color w:val="000000"/>
              </w:rPr>
            </w:pPr>
            <w:r>
              <w:rPr>
                <w:color w:val="000000"/>
              </w:rPr>
              <w:t>0.33</w:t>
            </w:r>
          </w:p>
        </w:tc>
        <w:tc>
          <w:tcPr>
            <w:tcW w:w="275" w:type="dxa"/>
            <w:tcBorders/>
            <w:shd w:fill="FFFFFF" w:val="clear"/>
            <w:vAlign w:val="bottom"/>
          </w:tcPr>
          <w:p>
            <w:pPr>
              <w:pStyle w:val="TableContents"/>
              <w:spacing w:before="0" w:after="283"/>
              <w:rPr/>
            </w:pPr>
            <w:r>
              <w:rPr/>
              <w:t xml:space="preserve">% </w:t>
            </w:r>
          </w:p>
        </w:tc>
      </w:tr>
      <w:tr>
        <w:trPr/>
        <w:tc>
          <w:tcPr>
            <w:tcW w:w="5990" w:type="dxa"/>
            <w:tcBorders/>
            <w:shd w:fill="CCEEFF" w:val="clear"/>
            <w:vAlign w:val="bottom"/>
          </w:tcPr>
          <w:p>
            <w:pPr>
              <w:pStyle w:val="TableContents"/>
              <w:spacing w:before="0" w:after="0"/>
              <w:ind w:left="324" w:right="0" w:hanging="144"/>
              <w:rPr>
                <w:color w:val="000000"/>
              </w:rPr>
            </w:pPr>
            <w:r>
              <w:rPr>
                <w:color w:val="000000"/>
              </w:rPr>
              <w:t>Allowance for loan losses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0.96</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0"/>
              <w:jc w:val="right"/>
              <w:rPr>
                <w:color w:val="000000"/>
              </w:rPr>
            </w:pPr>
            <w:r>
              <w:rPr>
                <w:color w:val="000000"/>
              </w:rPr>
              <w:t>0.96</w:t>
            </w:r>
          </w:p>
        </w:tc>
        <w:tc>
          <w:tcPr>
            <w:tcW w:w="275" w:type="dxa"/>
            <w:tcBorders/>
            <w:shd w:fill="CCEEFF" w:val="clear"/>
            <w:vAlign w:val="bottom"/>
          </w:tcPr>
          <w:p>
            <w:pPr>
              <w:pStyle w:val="TableContents"/>
              <w:spacing w:before="0" w:after="283"/>
              <w:rPr/>
            </w:pPr>
            <w:r>
              <w:rPr/>
              <w:t> </w:t>
            </w:r>
          </w:p>
        </w:tc>
      </w:tr>
      <w:tr>
        <w:trPr/>
        <w:tc>
          <w:tcPr>
            <w:tcW w:w="5990" w:type="dxa"/>
            <w:tcBorders/>
            <w:shd w:fill="FFFFFF" w:val="clear"/>
            <w:vAlign w:val="bottom"/>
          </w:tcPr>
          <w:p>
            <w:pPr>
              <w:pStyle w:val="TableContents"/>
              <w:spacing w:before="0" w:after="0"/>
              <w:ind w:left="144" w:right="0" w:hanging="144"/>
              <w:rPr>
                <w:color w:val="000000"/>
              </w:rPr>
            </w:pPr>
            <w:r>
              <w:rPr>
                <w:color w:val="000000"/>
              </w:rPr>
              <w:t>Non-performing assets to total assets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0.27</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0" w:type="dxa"/>
            <w:tcBorders/>
            <w:shd w:fill="FFFFFF" w:val="clear"/>
            <w:vAlign w:val="bottom"/>
          </w:tcPr>
          <w:p>
            <w:pPr>
              <w:pStyle w:val="TableContents"/>
              <w:spacing w:before="0" w:after="283"/>
              <w:rPr/>
            </w:pPr>
            <w:r>
              <w:rPr/>
              <w:t> </w:t>
            </w:r>
          </w:p>
        </w:tc>
        <w:tc>
          <w:tcPr>
            <w:tcW w:w="1124" w:type="dxa"/>
            <w:tcBorders/>
            <w:shd w:fill="FFFFFF" w:val="clear"/>
            <w:vAlign w:val="bottom"/>
          </w:tcPr>
          <w:p>
            <w:pPr>
              <w:pStyle w:val="TableContents"/>
              <w:spacing w:before="0" w:after="0"/>
              <w:jc w:val="right"/>
              <w:rPr>
                <w:color w:val="000000"/>
              </w:rPr>
            </w:pPr>
            <w:r>
              <w:rPr>
                <w:color w:val="000000"/>
              </w:rPr>
              <w:t>0.29</w:t>
            </w:r>
          </w:p>
        </w:tc>
        <w:tc>
          <w:tcPr>
            <w:tcW w:w="275" w:type="dxa"/>
            <w:tcBorders/>
            <w:shd w:fill="FFFFFF" w:val="clear"/>
            <w:vAlign w:val="bottom"/>
          </w:tcPr>
          <w:p>
            <w:pPr>
              <w:pStyle w:val="TableContents"/>
              <w:spacing w:before="0" w:after="283"/>
              <w:rPr/>
            </w:pPr>
            <w:r>
              <w:rPr/>
              <w:t> </w:t>
            </w:r>
          </w:p>
        </w:tc>
      </w:tr>
      <w:tr>
        <w:trPr/>
        <w:tc>
          <w:tcPr>
            <w:tcW w:w="5990" w:type="dxa"/>
            <w:tcBorders/>
            <w:shd w:fill="CCEEFF" w:val="clear"/>
            <w:vAlign w:val="bottom"/>
          </w:tcPr>
          <w:p>
            <w:pPr>
              <w:pStyle w:val="TableContents"/>
              <w:spacing w:before="0" w:after="0"/>
              <w:rPr>
                <w:color w:val="000000"/>
              </w:rPr>
            </w:pPr>
            <w:r>
              <w:rPr>
                <w:color w:val="000000"/>
              </w:rPr>
              <w:t>Allowance for loan losses as a percent of non-performing loans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351.85</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0"/>
              <w:jc w:val="right"/>
              <w:rPr>
                <w:color w:val="000000"/>
              </w:rPr>
            </w:pPr>
            <w:r>
              <w:rPr>
                <w:color w:val="000000"/>
              </w:rPr>
              <w:t>290.27</w:t>
            </w:r>
          </w:p>
        </w:tc>
        <w:tc>
          <w:tcPr>
            <w:tcW w:w="275" w:type="dxa"/>
            <w:tcBorders/>
            <w:shd w:fill="CCEE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802" w:name="zffa9f4f0b0644413be4177ab7507ac56"/>
      <w:bookmarkStart w:id="803" w:name="zffa9f4f0b0644413be4177ab7507ac56"/>
      <w:bookmarkEnd w:id="803"/>
    </w:p>
    <w:tbl>
      <w:tblPr>
        <w:tblW w:w="7705" w:type="dxa"/>
        <w:jc w:val="left"/>
        <w:tblInd w:w="0" w:type="dxa"/>
        <w:tblCellMar>
          <w:top w:w="0" w:type="dxa"/>
          <w:left w:w="0" w:type="dxa"/>
          <w:bottom w:w="0" w:type="dxa"/>
          <w:right w:w="0" w:type="dxa"/>
        </w:tblCellMar>
      </w:tblPr>
      <w:tblGrid>
        <w:gridCol w:w="75"/>
        <w:gridCol w:w="290"/>
        <w:gridCol w:w="734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lineRule="auto" w:line="240" w:before="0" w:after="0"/>
              <w:jc w:val="left"/>
              <w:rPr/>
            </w:pPr>
            <w:r>
              <w:rPr/>
              <w:t>(1)</w:t>
            </w:r>
          </w:p>
        </w:tc>
        <w:tc>
          <w:tcPr>
            <w:tcW w:w="7340" w:type="dxa"/>
            <w:tcBorders/>
            <w:shd w:fill="auto" w:val="clear"/>
            <w:vAlign w:val="center"/>
          </w:tcPr>
          <w:p>
            <w:pPr>
              <w:pStyle w:val="TableContents"/>
              <w:spacing w:before="0" w:after="0"/>
              <w:jc w:val="left"/>
              <w:rPr/>
            </w:pPr>
            <w:r>
              <w:rPr/>
              <w:t>Excludes loans classified as “troubled debt restructured” that are not past due.</w:t>
            </w:r>
          </w:p>
        </w:tc>
      </w:tr>
    </w:tbl>
    <w:p>
      <w:pPr>
        <w:pStyle w:val="TextBody"/>
        <w:spacing w:before="0" w:after="0"/>
        <w:rPr/>
      </w:pPr>
      <w:r>
        <w:rPr/>
      </w:r>
    </w:p>
    <w:p>
      <w:pPr>
        <w:pStyle w:val="TextBody"/>
        <w:spacing w:before="0" w:after="0"/>
        <w:rPr>
          <w:b/>
        </w:rPr>
      </w:pPr>
      <w:r>
        <w:rPr>
          <w:b/>
        </w:rPr>
        <w:t>Troubled debt restructurings (“TDR”)</w:t>
      </w:r>
    </w:p>
    <w:p>
      <w:pPr>
        <w:pStyle w:val="Normal"/>
        <w:spacing w:before="0" w:after="0"/>
        <w:rPr>
          <w:sz w:val="4"/>
          <w:szCs w:val="4"/>
        </w:rPr>
      </w:pPr>
      <w:r>
        <w:rPr>
          <w:sz w:val="4"/>
          <w:szCs w:val="4"/>
        </w:rPr>
      </w:r>
      <w:bookmarkStart w:id="804" w:name="zd32eef58f61643d2874a64470f23ddd1"/>
      <w:bookmarkStart w:id="805" w:name="zd32eef58f61643d2874a64470f23ddd1"/>
      <w:bookmarkEnd w:id="805"/>
    </w:p>
    <w:tbl>
      <w:tblPr>
        <w:tblW w:w="6164" w:type="dxa"/>
        <w:jc w:val="left"/>
        <w:tblInd w:w="0" w:type="dxa"/>
        <w:tblCellMar>
          <w:top w:w="0" w:type="dxa"/>
          <w:left w:w="0" w:type="dxa"/>
          <w:bottom w:w="0" w:type="dxa"/>
          <w:right w:w="0" w:type="dxa"/>
        </w:tblCellMar>
      </w:tblPr>
      <w:tblGrid>
        <w:gridCol w:w="2615"/>
        <w:gridCol w:w="60"/>
        <w:gridCol w:w="235"/>
        <w:gridCol w:w="940"/>
        <w:gridCol w:w="60"/>
        <w:gridCol w:w="60"/>
        <w:gridCol w:w="154"/>
        <w:gridCol w:w="750"/>
        <w:gridCol w:w="350"/>
        <w:gridCol w:w="60"/>
        <w:gridCol w:w="140"/>
        <w:gridCol w:w="680"/>
        <w:gridCol w:w="60"/>
      </w:tblGrid>
      <w:tr>
        <w:trPr/>
        <w:tc>
          <w:tcPr>
            <w:tcW w:w="26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9" w:type="dxa"/>
            <w:gridSpan w:val="10"/>
            <w:tcBorders>
              <w:bottom w:val="single" w:sz="12" w:space="0" w:color="000000"/>
            </w:tcBorders>
            <w:shd w:fill="auto" w:val="clear"/>
            <w:tcMar>
              <w:bottom w:w="28" w:type="dxa"/>
            </w:tcMar>
            <w:vAlign w:val="bottom"/>
          </w:tcPr>
          <w:p>
            <w:pPr>
              <w:pStyle w:val="TableContents"/>
              <w:spacing w:before="0" w:after="0"/>
              <w:jc w:val="center"/>
              <w:rPr/>
            </w:pPr>
            <w:r>
              <w:rPr/>
              <w:t>June 30, 2019</w:t>
            </w:r>
          </w:p>
        </w:tc>
        <w:tc>
          <w:tcPr>
            <w:tcW w:w="60" w:type="dxa"/>
            <w:tcBorders/>
            <w:shd w:fill="auto" w:val="clear"/>
            <w:vAlign w:val="bottom"/>
          </w:tcPr>
          <w:p>
            <w:pPr>
              <w:pStyle w:val="TableContents"/>
              <w:spacing w:before="0" w:after="283"/>
              <w:rPr/>
            </w:pPr>
            <w:r>
              <w:rPr/>
              <w:t> </w:t>
            </w:r>
          </w:p>
        </w:tc>
      </w:tr>
      <w:tr>
        <w:trPr/>
        <w:tc>
          <w:tcPr>
            <w:tcW w:w="26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pPr>
            <w:r>
              <w:rPr/>
              <w:t>Commercial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4"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pPr>
            <w:r>
              <w:rPr/>
              <w:t>Retail (1)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60" w:type="dxa"/>
            <w:tcBorders/>
            <w:shd w:fill="auto" w:val="clear"/>
            <w:vAlign w:val="bottom"/>
          </w:tcPr>
          <w:p>
            <w:pPr>
              <w:pStyle w:val="TableContents"/>
              <w:spacing w:before="0" w:after="283"/>
              <w:rPr/>
            </w:pPr>
            <w:r>
              <w:rPr/>
              <w:t> </w:t>
            </w:r>
          </w:p>
        </w:tc>
      </w:tr>
      <w:tr>
        <w:trPr/>
        <w:tc>
          <w:tcPr>
            <w:tcW w:w="26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9" w:type="dxa"/>
            <w:gridSpan w:val="10"/>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r>
      <w:tr>
        <w:trPr/>
        <w:tc>
          <w:tcPr>
            <w:tcW w:w="2615" w:type="dxa"/>
            <w:tcBorders/>
            <w:shd w:fill="CCEEFF" w:val="clear"/>
            <w:vAlign w:val="bottom"/>
          </w:tcPr>
          <w:p>
            <w:pPr>
              <w:pStyle w:val="TableContents"/>
              <w:spacing w:before="0" w:after="0"/>
              <w:ind w:left="144" w:right="0" w:hanging="144"/>
              <w:rPr/>
            </w:pPr>
            <w:r>
              <w:rPr/>
              <w:t>Performing TDR’s</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940" w:type="dxa"/>
            <w:tcBorders/>
            <w:shd w:fill="CCEEFF" w:val="clear"/>
            <w:vAlign w:val="bottom"/>
          </w:tcPr>
          <w:p>
            <w:pPr>
              <w:pStyle w:val="TableContents"/>
              <w:spacing w:before="0" w:after="0"/>
              <w:jc w:val="right"/>
              <w:rPr/>
            </w:pPr>
            <w:r>
              <w:rPr/>
              <w:t>7,166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rPr/>
            </w:pPr>
            <w:r>
              <w:rPr/>
              <w:t>$</w:t>
            </w:r>
          </w:p>
        </w:tc>
        <w:tc>
          <w:tcPr>
            <w:tcW w:w="750" w:type="dxa"/>
            <w:tcBorders/>
            <w:shd w:fill="CCEEFF" w:val="clear"/>
            <w:vAlign w:val="bottom"/>
          </w:tcPr>
          <w:p>
            <w:pPr>
              <w:pStyle w:val="TableContents"/>
              <w:spacing w:before="0" w:after="0"/>
              <w:jc w:val="right"/>
              <w:rPr/>
            </w:pPr>
            <w:r>
              <w:rPr/>
              <w:t>42,136</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49,302</w:t>
            </w:r>
          </w:p>
        </w:tc>
        <w:tc>
          <w:tcPr>
            <w:tcW w:w="60" w:type="dxa"/>
            <w:tcBorders/>
            <w:shd w:fill="CCEEFF" w:val="clear"/>
            <w:vAlign w:val="bottom"/>
          </w:tcPr>
          <w:p>
            <w:pPr>
              <w:pStyle w:val="TableContents"/>
              <w:spacing w:before="0" w:after="283"/>
              <w:rPr/>
            </w:pPr>
            <w:r>
              <w:rPr/>
              <w:t> </w:t>
            </w:r>
          </w:p>
        </w:tc>
      </w:tr>
      <w:tr>
        <w:trPr/>
        <w:tc>
          <w:tcPr>
            <w:tcW w:w="2615" w:type="dxa"/>
            <w:tcBorders/>
            <w:shd w:fill="FFFFFF" w:val="clear"/>
            <w:vAlign w:val="bottom"/>
          </w:tcPr>
          <w:p>
            <w:pPr>
              <w:pStyle w:val="TableContents"/>
              <w:spacing w:lineRule="auto" w:line="240" w:before="0" w:after="0"/>
              <w:ind w:left="144" w:right="0" w:hanging="144"/>
              <w:rPr/>
            </w:pPr>
            <w:r>
              <w:rPr/>
              <w:t>Non-performing TDR’s (2)</w:t>
            </w:r>
          </w:p>
        </w:tc>
        <w:tc>
          <w:tcPr>
            <w:tcW w:w="60" w:type="dxa"/>
            <w:tcBorders/>
            <w:shd w:fill="FFFFFF" w:val="clear"/>
            <w:vAlign w:val="bottom"/>
          </w:tcPr>
          <w:p>
            <w:pPr>
              <w:pStyle w:val="TableContents"/>
              <w:spacing w:before="0" w:after="283"/>
              <w:rPr/>
            </w:pPr>
            <w:r>
              <w:rPr/>
              <w:t> </w:t>
            </w:r>
          </w:p>
        </w:tc>
        <w:tc>
          <w:tcPr>
            <w:tcW w:w="235"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40" w:type="dxa"/>
            <w:tcBorders>
              <w:bottom w:val="single" w:sz="12" w:space="0" w:color="000000"/>
            </w:tcBorders>
            <w:shd w:fill="FFFFFF" w:val="clear"/>
            <w:tcMar>
              <w:bottom w:w="28" w:type="dxa"/>
            </w:tcMar>
            <w:vAlign w:val="bottom"/>
          </w:tcPr>
          <w:p>
            <w:pPr>
              <w:pStyle w:val="TableContents"/>
              <w:spacing w:before="0" w:after="0"/>
              <w:jc w:val="right"/>
              <w:rPr/>
            </w:pPr>
            <w:r>
              <w:rPr/>
              <w:t>54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0" w:type="dxa"/>
            <w:tcBorders>
              <w:bottom w:val="single" w:sz="12" w:space="0" w:color="000000"/>
            </w:tcBorders>
            <w:shd w:fill="FFFFFF" w:val="clear"/>
            <w:tcMar>
              <w:bottom w:w="28" w:type="dxa"/>
            </w:tcMar>
            <w:vAlign w:val="bottom"/>
          </w:tcPr>
          <w:p>
            <w:pPr>
              <w:pStyle w:val="TableContents"/>
              <w:spacing w:before="0" w:after="0"/>
              <w:jc w:val="right"/>
              <w:rPr/>
            </w:pPr>
            <w:r>
              <w:rPr/>
              <w:t>2,783</w:t>
            </w:r>
          </w:p>
        </w:tc>
        <w:tc>
          <w:tcPr>
            <w:tcW w:w="350" w:type="dxa"/>
            <w:tcBorders/>
            <w:shd w:fill="FFFFFF" w:val="clear"/>
            <w:vAlign w:val="bottom"/>
          </w:tcPr>
          <w:p>
            <w:pPr>
              <w:pStyle w:val="TableContents"/>
              <w:spacing w:lineRule="auto" w:line="240" w:before="0" w:after="0"/>
              <w:rPr/>
            </w:pPr>
            <w:r>
              <w:rPr/>
              <w:t>(3)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2,837</w:t>
            </w:r>
          </w:p>
        </w:tc>
        <w:tc>
          <w:tcPr>
            <w:tcW w:w="60" w:type="dxa"/>
            <w:tcBorders/>
            <w:shd w:fill="FFFFFF" w:val="clear"/>
            <w:vAlign w:val="bottom"/>
          </w:tcPr>
          <w:p>
            <w:pPr>
              <w:pStyle w:val="TableContents"/>
              <w:spacing w:before="0" w:after="283"/>
              <w:rPr/>
            </w:pPr>
            <w:r>
              <w:rPr/>
              <w:t> </w:t>
            </w:r>
          </w:p>
        </w:tc>
      </w:tr>
      <w:tr>
        <w:trPr/>
        <w:tc>
          <w:tcPr>
            <w:tcW w:w="2615" w:type="dxa"/>
            <w:tcBorders/>
            <w:shd w:fill="CCEEFF" w:val="clear"/>
            <w:vAlign w:val="bottom"/>
          </w:tcPr>
          <w:p>
            <w:pPr>
              <w:pStyle w:val="TableContents"/>
              <w:spacing w:before="0" w:after="0"/>
              <w:ind w:left="324" w:right="0" w:hanging="144"/>
              <w:rPr/>
            </w:pPr>
            <w:r>
              <w:rPr/>
              <w:t>Total</w:t>
            </w:r>
          </w:p>
        </w:tc>
        <w:tc>
          <w:tcPr>
            <w:tcW w:w="60" w:type="dxa"/>
            <w:tcBorders/>
            <w:shd w:fill="CCEEFF" w:val="clear"/>
            <w:vAlign w:val="bottom"/>
          </w:tcPr>
          <w:p>
            <w:pPr>
              <w:pStyle w:val="TableContents"/>
              <w:spacing w:before="0" w:after="283"/>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rPr/>
            </w:pPr>
            <w:r>
              <w:rPr/>
              <w:t>$</w:t>
            </w:r>
          </w:p>
        </w:tc>
        <w:tc>
          <w:tcPr>
            <w:tcW w:w="940" w:type="dxa"/>
            <w:tcBorders>
              <w:bottom w:val="double" w:sz="8" w:space="0" w:color="000000"/>
            </w:tcBorders>
            <w:shd w:fill="CCEEFF" w:val="clear"/>
            <w:tcMar>
              <w:bottom w:w="28" w:type="dxa"/>
            </w:tcMar>
            <w:vAlign w:val="bottom"/>
          </w:tcPr>
          <w:p>
            <w:pPr>
              <w:pStyle w:val="TableContents"/>
              <w:spacing w:before="0" w:after="0"/>
              <w:jc w:val="right"/>
              <w:rPr/>
            </w:pPr>
            <w:r>
              <w:rPr/>
              <w:t>7,220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0"/>
              <w:rPr/>
            </w:pPr>
            <w:r>
              <w:rPr/>
              <w:t>$</w:t>
            </w:r>
          </w:p>
        </w:tc>
        <w:tc>
          <w:tcPr>
            <w:tcW w:w="750" w:type="dxa"/>
            <w:tcBorders>
              <w:bottom w:val="double" w:sz="8" w:space="0" w:color="000000"/>
            </w:tcBorders>
            <w:shd w:fill="CCEEFF" w:val="clear"/>
            <w:tcMar>
              <w:bottom w:w="28" w:type="dxa"/>
            </w:tcMar>
            <w:vAlign w:val="bottom"/>
          </w:tcPr>
          <w:p>
            <w:pPr>
              <w:pStyle w:val="TableContents"/>
              <w:spacing w:before="0" w:after="0"/>
              <w:jc w:val="right"/>
              <w:rPr/>
            </w:pPr>
            <w:r>
              <w:rPr/>
              <w:t>44,919</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52,139</w:t>
            </w:r>
          </w:p>
        </w:tc>
        <w:tc>
          <w:tcPr>
            <w:tcW w:w="60" w:type="dxa"/>
            <w:tcBorders/>
            <w:shd w:fill="CCEE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806" w:name="zc14e6071a4bb43a497ac24c60a16c923"/>
      <w:bookmarkStart w:id="807" w:name="zc14e6071a4bb43a497ac24c60a16c923"/>
      <w:bookmarkEnd w:id="807"/>
    </w:p>
    <w:tbl>
      <w:tblPr>
        <w:tblW w:w="6164" w:type="dxa"/>
        <w:jc w:val="left"/>
        <w:tblInd w:w="0" w:type="dxa"/>
        <w:tblCellMar>
          <w:top w:w="0" w:type="dxa"/>
          <w:left w:w="0" w:type="dxa"/>
          <w:bottom w:w="0" w:type="dxa"/>
          <w:right w:w="0" w:type="dxa"/>
        </w:tblCellMar>
      </w:tblPr>
      <w:tblGrid>
        <w:gridCol w:w="2615"/>
        <w:gridCol w:w="60"/>
        <w:gridCol w:w="235"/>
        <w:gridCol w:w="940"/>
        <w:gridCol w:w="60"/>
        <w:gridCol w:w="60"/>
        <w:gridCol w:w="154"/>
        <w:gridCol w:w="750"/>
        <w:gridCol w:w="350"/>
        <w:gridCol w:w="60"/>
        <w:gridCol w:w="140"/>
        <w:gridCol w:w="680"/>
        <w:gridCol w:w="60"/>
      </w:tblGrid>
      <w:tr>
        <w:trPr/>
        <w:tc>
          <w:tcPr>
            <w:tcW w:w="26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9" w:type="dxa"/>
            <w:gridSpan w:val="10"/>
            <w:tcBorders>
              <w:bottom w:val="single" w:sz="12" w:space="0" w:color="000000"/>
            </w:tcBorders>
            <w:shd w:fill="auto" w:val="clear"/>
            <w:tcMar>
              <w:bottom w:w="28" w:type="dxa"/>
            </w:tcMar>
            <w:vAlign w:val="bottom"/>
          </w:tcPr>
          <w:p>
            <w:pPr>
              <w:pStyle w:val="TableContents"/>
              <w:spacing w:before="0" w:after="0"/>
              <w:jc w:val="center"/>
              <w:rPr/>
            </w:pPr>
            <w:r>
              <w:rPr/>
              <w:t>December 31, 2018</w:t>
            </w:r>
          </w:p>
        </w:tc>
        <w:tc>
          <w:tcPr>
            <w:tcW w:w="60" w:type="dxa"/>
            <w:tcBorders/>
            <w:shd w:fill="auto" w:val="clear"/>
            <w:vAlign w:val="bottom"/>
          </w:tcPr>
          <w:p>
            <w:pPr>
              <w:pStyle w:val="TableContents"/>
              <w:spacing w:before="0" w:after="283"/>
              <w:rPr/>
            </w:pPr>
            <w:r>
              <w:rPr/>
              <w:t> </w:t>
            </w:r>
          </w:p>
        </w:tc>
      </w:tr>
      <w:tr>
        <w:trPr/>
        <w:tc>
          <w:tcPr>
            <w:tcW w:w="26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pPr>
            <w:r>
              <w:rPr/>
              <w:t>Commercial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4" w:type="dxa"/>
            <w:gridSpan w:val="2"/>
            <w:tcBorders>
              <w:bottom w:val="single" w:sz="12" w:space="0" w:color="000000"/>
            </w:tcBorders>
            <w:shd w:fill="auto" w:val="clear"/>
            <w:tcMar>
              <w:bottom w:w="28" w:type="dxa"/>
            </w:tcMar>
            <w:vAlign w:val="bottom"/>
          </w:tcPr>
          <w:p>
            <w:pPr>
              <w:pStyle w:val="TableContents"/>
              <w:spacing w:lineRule="auto" w:line="240" w:before="0" w:after="0"/>
              <w:jc w:val="center"/>
              <w:rPr/>
            </w:pPr>
            <w:r>
              <w:rPr/>
              <w:t>Retail (1)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pPr>
            <w:r>
              <w:rPr/>
              <w:t>Total</w:t>
            </w:r>
          </w:p>
        </w:tc>
        <w:tc>
          <w:tcPr>
            <w:tcW w:w="60" w:type="dxa"/>
            <w:tcBorders/>
            <w:shd w:fill="auto" w:val="clear"/>
            <w:vAlign w:val="bottom"/>
          </w:tcPr>
          <w:p>
            <w:pPr>
              <w:pStyle w:val="TableContents"/>
              <w:spacing w:before="0" w:after="283"/>
              <w:rPr/>
            </w:pPr>
            <w:r>
              <w:rPr/>
              <w:t> </w:t>
            </w:r>
          </w:p>
        </w:tc>
      </w:tr>
      <w:tr>
        <w:trPr/>
        <w:tc>
          <w:tcPr>
            <w:tcW w:w="26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9" w:type="dxa"/>
            <w:gridSpan w:val="10"/>
            <w:tcBorders/>
            <w:shd w:fill="auto" w:val="clear"/>
            <w:vAlign w:val="bottom"/>
          </w:tcPr>
          <w:p>
            <w:pPr>
              <w:pStyle w:val="TableContents"/>
              <w:spacing w:before="0" w:after="0"/>
              <w:jc w:val="center"/>
              <w:rPr/>
            </w:pPr>
            <w:r>
              <w:rPr/>
              <w:t>(In thousands)</w:t>
            </w:r>
          </w:p>
        </w:tc>
        <w:tc>
          <w:tcPr>
            <w:tcW w:w="60" w:type="dxa"/>
            <w:tcBorders/>
            <w:shd w:fill="auto" w:val="clear"/>
            <w:vAlign w:val="bottom"/>
          </w:tcPr>
          <w:p>
            <w:pPr>
              <w:pStyle w:val="TableContents"/>
              <w:spacing w:before="0" w:after="283"/>
              <w:rPr/>
            </w:pPr>
            <w:r>
              <w:rPr/>
              <w:t> </w:t>
            </w:r>
          </w:p>
        </w:tc>
      </w:tr>
      <w:tr>
        <w:trPr/>
        <w:tc>
          <w:tcPr>
            <w:tcW w:w="2615" w:type="dxa"/>
            <w:tcBorders/>
            <w:shd w:fill="CCEEFF" w:val="clear"/>
            <w:vAlign w:val="bottom"/>
          </w:tcPr>
          <w:p>
            <w:pPr>
              <w:pStyle w:val="TableContents"/>
              <w:spacing w:before="0" w:after="0"/>
              <w:ind w:left="144" w:right="0" w:hanging="144"/>
              <w:rPr/>
            </w:pPr>
            <w:r>
              <w:rPr/>
              <w:t>Performing TDR’s</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pPr>
            <w:r>
              <w:rPr/>
              <w:t>$</w:t>
            </w:r>
          </w:p>
        </w:tc>
        <w:tc>
          <w:tcPr>
            <w:tcW w:w="940" w:type="dxa"/>
            <w:tcBorders/>
            <w:shd w:fill="CCEEFF" w:val="clear"/>
            <w:vAlign w:val="bottom"/>
          </w:tcPr>
          <w:p>
            <w:pPr>
              <w:pStyle w:val="TableContents"/>
              <w:spacing w:before="0" w:after="0"/>
              <w:jc w:val="right"/>
              <w:rPr/>
            </w:pPr>
            <w:r>
              <w:rPr/>
              <w:t>6,460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rPr/>
            </w:pPr>
            <w:r>
              <w:rPr/>
              <w:t>$</w:t>
            </w:r>
          </w:p>
        </w:tc>
        <w:tc>
          <w:tcPr>
            <w:tcW w:w="750" w:type="dxa"/>
            <w:tcBorders/>
            <w:shd w:fill="CCEEFF" w:val="clear"/>
            <w:vAlign w:val="bottom"/>
          </w:tcPr>
          <w:p>
            <w:pPr>
              <w:pStyle w:val="TableContents"/>
              <w:spacing w:before="0" w:after="0"/>
              <w:jc w:val="right"/>
              <w:rPr/>
            </w:pPr>
            <w:r>
              <w:rPr/>
              <w:t>46,627</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53,087</w:t>
            </w:r>
          </w:p>
        </w:tc>
        <w:tc>
          <w:tcPr>
            <w:tcW w:w="60" w:type="dxa"/>
            <w:tcBorders/>
            <w:shd w:fill="CCEEFF" w:val="clear"/>
            <w:vAlign w:val="bottom"/>
          </w:tcPr>
          <w:p>
            <w:pPr>
              <w:pStyle w:val="TableContents"/>
              <w:spacing w:before="0" w:after="283"/>
              <w:rPr/>
            </w:pPr>
            <w:r>
              <w:rPr/>
              <w:t> </w:t>
            </w:r>
          </w:p>
        </w:tc>
      </w:tr>
      <w:tr>
        <w:trPr/>
        <w:tc>
          <w:tcPr>
            <w:tcW w:w="2615" w:type="dxa"/>
            <w:tcBorders/>
            <w:shd w:fill="FFFFFF" w:val="clear"/>
            <w:vAlign w:val="bottom"/>
          </w:tcPr>
          <w:p>
            <w:pPr>
              <w:pStyle w:val="TableContents"/>
              <w:spacing w:lineRule="auto" w:line="240" w:before="0" w:after="0"/>
              <w:ind w:left="144" w:right="0" w:hanging="144"/>
              <w:rPr/>
            </w:pPr>
            <w:r>
              <w:rPr/>
              <w:t>Non-performing TDR’s (2)</w:t>
            </w:r>
          </w:p>
        </w:tc>
        <w:tc>
          <w:tcPr>
            <w:tcW w:w="60" w:type="dxa"/>
            <w:tcBorders/>
            <w:shd w:fill="FFFFFF" w:val="clear"/>
            <w:vAlign w:val="bottom"/>
          </w:tcPr>
          <w:p>
            <w:pPr>
              <w:pStyle w:val="TableContents"/>
              <w:spacing w:before="0" w:after="283"/>
              <w:rPr/>
            </w:pPr>
            <w:r>
              <w:rPr/>
              <w:t> </w:t>
            </w:r>
          </w:p>
        </w:tc>
        <w:tc>
          <w:tcPr>
            <w:tcW w:w="235" w:type="dxa"/>
            <w:tcBorders>
              <w:bottom w:val="single" w:sz="12" w:space="0" w:color="000000"/>
            </w:tcBorders>
            <w:shd w:fill="FFFFFF" w:val="clear"/>
            <w:tcMar>
              <w:bottom w:w="28" w:type="dxa"/>
            </w:tcMar>
            <w:vAlign w:val="bottom"/>
          </w:tcPr>
          <w:p>
            <w:pPr>
              <w:pStyle w:val="TableContents"/>
              <w:spacing w:before="0" w:after="283"/>
              <w:rPr/>
            </w:pPr>
            <w:r>
              <w:rPr/>
              <w:t> </w:t>
            </w:r>
          </w:p>
        </w:tc>
        <w:tc>
          <w:tcPr>
            <w:tcW w:w="940" w:type="dxa"/>
            <w:tcBorders>
              <w:bottom w:val="single" w:sz="12" w:space="0" w:color="000000"/>
            </w:tcBorders>
            <w:shd w:fill="FFFFFF" w:val="clear"/>
            <w:tcMar>
              <w:bottom w:w="28" w:type="dxa"/>
            </w:tcMar>
            <w:vAlign w:val="bottom"/>
          </w:tcPr>
          <w:p>
            <w:pPr>
              <w:pStyle w:val="TableContents"/>
              <w:spacing w:before="0" w:after="0"/>
              <w:jc w:val="right"/>
              <w:rPr/>
            </w:pPr>
            <w:r>
              <w:rPr/>
              <w:t>74</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5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750" w:type="dxa"/>
            <w:tcBorders>
              <w:bottom w:val="single" w:sz="12" w:space="0" w:color="000000"/>
            </w:tcBorders>
            <w:shd w:fill="FFFFFF" w:val="clear"/>
            <w:tcMar>
              <w:bottom w:w="28" w:type="dxa"/>
            </w:tcMar>
            <w:vAlign w:val="bottom"/>
          </w:tcPr>
          <w:p>
            <w:pPr>
              <w:pStyle w:val="TableContents"/>
              <w:spacing w:before="0" w:after="0"/>
              <w:jc w:val="right"/>
              <w:rPr/>
            </w:pPr>
            <w:r>
              <w:rPr/>
              <w:t>2,884</w:t>
            </w:r>
          </w:p>
        </w:tc>
        <w:tc>
          <w:tcPr>
            <w:tcW w:w="350" w:type="dxa"/>
            <w:tcBorders/>
            <w:shd w:fill="FFFFFF" w:val="clear"/>
            <w:vAlign w:val="bottom"/>
          </w:tcPr>
          <w:p>
            <w:pPr>
              <w:pStyle w:val="TableContents"/>
              <w:spacing w:lineRule="auto" w:line="240" w:before="0" w:after="0"/>
              <w:rPr/>
            </w:pPr>
            <w:r>
              <w:rPr/>
              <w:t>(3)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2,958</w:t>
            </w:r>
          </w:p>
        </w:tc>
        <w:tc>
          <w:tcPr>
            <w:tcW w:w="60" w:type="dxa"/>
            <w:tcBorders/>
            <w:shd w:fill="FFFFFF" w:val="clear"/>
            <w:vAlign w:val="bottom"/>
          </w:tcPr>
          <w:p>
            <w:pPr>
              <w:pStyle w:val="TableContents"/>
              <w:spacing w:before="0" w:after="283"/>
              <w:rPr/>
            </w:pPr>
            <w:r>
              <w:rPr/>
              <w:t> </w:t>
            </w:r>
          </w:p>
        </w:tc>
      </w:tr>
      <w:tr>
        <w:trPr/>
        <w:tc>
          <w:tcPr>
            <w:tcW w:w="2615" w:type="dxa"/>
            <w:tcBorders/>
            <w:shd w:fill="CCEEFF" w:val="clear"/>
            <w:vAlign w:val="bottom"/>
          </w:tcPr>
          <w:p>
            <w:pPr>
              <w:pStyle w:val="TableContents"/>
              <w:spacing w:before="0" w:after="0"/>
              <w:ind w:left="324" w:right="0" w:hanging="144"/>
              <w:rPr/>
            </w:pPr>
            <w:r>
              <w:rPr/>
              <w:t>Total</w:t>
            </w:r>
          </w:p>
        </w:tc>
        <w:tc>
          <w:tcPr>
            <w:tcW w:w="60" w:type="dxa"/>
            <w:tcBorders/>
            <w:shd w:fill="CCEEFF" w:val="clear"/>
            <w:vAlign w:val="bottom"/>
          </w:tcPr>
          <w:p>
            <w:pPr>
              <w:pStyle w:val="TableContents"/>
              <w:spacing w:before="0" w:after="283"/>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rPr/>
            </w:pPr>
            <w:r>
              <w:rPr/>
              <w:t>$</w:t>
            </w:r>
          </w:p>
        </w:tc>
        <w:tc>
          <w:tcPr>
            <w:tcW w:w="940" w:type="dxa"/>
            <w:tcBorders>
              <w:bottom w:val="double" w:sz="8" w:space="0" w:color="000000"/>
            </w:tcBorders>
            <w:shd w:fill="CCEEFF" w:val="clear"/>
            <w:tcMar>
              <w:bottom w:w="28" w:type="dxa"/>
            </w:tcMar>
            <w:vAlign w:val="bottom"/>
          </w:tcPr>
          <w:p>
            <w:pPr>
              <w:pStyle w:val="TableContents"/>
              <w:spacing w:before="0" w:after="0"/>
              <w:jc w:val="right"/>
              <w:rPr/>
            </w:pPr>
            <w:r>
              <w:rPr/>
              <w:t>6,534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0"/>
              <w:rPr/>
            </w:pPr>
            <w:r>
              <w:rPr/>
              <w:t>$</w:t>
            </w:r>
          </w:p>
        </w:tc>
        <w:tc>
          <w:tcPr>
            <w:tcW w:w="750" w:type="dxa"/>
            <w:tcBorders>
              <w:bottom w:val="double" w:sz="8" w:space="0" w:color="000000"/>
            </w:tcBorders>
            <w:shd w:fill="CCEEFF" w:val="clear"/>
            <w:tcMar>
              <w:bottom w:w="28" w:type="dxa"/>
            </w:tcMar>
            <w:vAlign w:val="bottom"/>
          </w:tcPr>
          <w:p>
            <w:pPr>
              <w:pStyle w:val="TableContents"/>
              <w:spacing w:before="0" w:after="0"/>
              <w:jc w:val="right"/>
              <w:rPr/>
            </w:pPr>
            <w:r>
              <w:rPr/>
              <w:t>49,511</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56,045</w:t>
            </w:r>
          </w:p>
        </w:tc>
        <w:tc>
          <w:tcPr>
            <w:tcW w:w="60" w:type="dxa"/>
            <w:tcBorders/>
            <w:shd w:fill="CCEE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808" w:name="z36a7992158764608876d57dc2e8bc4c9"/>
      <w:bookmarkStart w:id="809" w:name="z36a7992158764608876d57dc2e8bc4c9"/>
      <w:bookmarkEnd w:id="809"/>
    </w:p>
    <w:tbl>
      <w:tblPr>
        <w:tblW w:w="6085" w:type="dxa"/>
        <w:jc w:val="left"/>
        <w:tblInd w:w="0" w:type="dxa"/>
        <w:tblCellMar>
          <w:top w:w="0" w:type="dxa"/>
          <w:left w:w="0" w:type="dxa"/>
          <w:bottom w:w="0" w:type="dxa"/>
          <w:right w:w="0" w:type="dxa"/>
        </w:tblCellMar>
      </w:tblPr>
      <w:tblGrid>
        <w:gridCol w:w="305"/>
        <w:gridCol w:w="5780"/>
      </w:tblGrid>
      <w:tr>
        <w:trPr/>
        <w:tc>
          <w:tcPr>
            <w:tcW w:w="305" w:type="dxa"/>
            <w:tcBorders/>
            <w:shd w:fill="auto" w:val="clear"/>
            <w:vAlign w:val="center"/>
          </w:tcPr>
          <w:p>
            <w:pPr>
              <w:pStyle w:val="TableContents"/>
              <w:spacing w:before="0" w:after="0"/>
              <w:jc w:val="left"/>
              <w:rPr/>
            </w:pPr>
            <w:r>
              <w:rPr/>
              <w:t>(1)</w:t>
            </w:r>
          </w:p>
        </w:tc>
        <w:tc>
          <w:tcPr>
            <w:tcW w:w="5780" w:type="dxa"/>
            <w:tcBorders/>
            <w:shd w:fill="auto" w:val="clear"/>
            <w:vAlign w:val="center"/>
          </w:tcPr>
          <w:p>
            <w:pPr>
              <w:pStyle w:val="TableContents"/>
              <w:spacing w:before="0" w:after="0"/>
              <w:jc w:val="left"/>
              <w:rPr/>
            </w:pPr>
            <w:r>
              <w:rPr/>
              <w:t>Retail loans include mortgage and installment loan segments.</w:t>
            </w:r>
          </w:p>
        </w:tc>
      </w:tr>
    </w:tbl>
    <w:p>
      <w:pPr>
        <w:pStyle w:val="Normal"/>
        <w:spacing w:before="0" w:after="0"/>
        <w:rPr>
          <w:sz w:val="4"/>
          <w:szCs w:val="4"/>
        </w:rPr>
      </w:pPr>
      <w:r>
        <w:rPr>
          <w:sz w:val="4"/>
          <w:szCs w:val="4"/>
        </w:rPr>
      </w:r>
      <w:bookmarkStart w:id="810" w:name="z6fa0920986334c8b90cd463911ddce13"/>
      <w:bookmarkStart w:id="811" w:name="z6fa0920986334c8b90cd463911ddce13"/>
      <w:bookmarkEnd w:id="811"/>
    </w:p>
    <w:tbl>
      <w:tblPr>
        <w:tblW w:w="4750" w:type="dxa"/>
        <w:jc w:val="left"/>
        <w:tblInd w:w="0" w:type="dxa"/>
        <w:tblCellMar>
          <w:top w:w="0" w:type="dxa"/>
          <w:left w:w="0" w:type="dxa"/>
          <w:bottom w:w="0" w:type="dxa"/>
          <w:right w:w="0" w:type="dxa"/>
        </w:tblCellMar>
      </w:tblPr>
      <w:tblGrid>
        <w:gridCol w:w="305"/>
        <w:gridCol w:w="4445"/>
      </w:tblGrid>
      <w:tr>
        <w:trPr/>
        <w:tc>
          <w:tcPr>
            <w:tcW w:w="305" w:type="dxa"/>
            <w:tcBorders/>
            <w:shd w:fill="auto" w:val="clear"/>
            <w:vAlign w:val="center"/>
          </w:tcPr>
          <w:p>
            <w:pPr>
              <w:pStyle w:val="TableContents"/>
              <w:spacing w:before="0" w:after="0"/>
              <w:jc w:val="left"/>
              <w:rPr/>
            </w:pPr>
            <w:r>
              <w:rPr/>
              <w:t>(2)</w:t>
            </w:r>
          </w:p>
        </w:tc>
        <w:tc>
          <w:tcPr>
            <w:tcW w:w="4445" w:type="dxa"/>
            <w:tcBorders/>
            <w:shd w:fill="auto" w:val="clear"/>
            <w:vAlign w:val="center"/>
          </w:tcPr>
          <w:p>
            <w:pPr>
              <w:pStyle w:val="TableContents"/>
              <w:spacing w:before="0" w:after="0"/>
              <w:jc w:val="left"/>
              <w:rPr/>
            </w:pPr>
            <w:r>
              <w:rPr/>
              <w:t>Included in non-performing assets table above.</w:t>
            </w:r>
          </w:p>
        </w:tc>
      </w:tr>
    </w:tbl>
    <w:p>
      <w:pPr>
        <w:pStyle w:val="Normal"/>
        <w:spacing w:before="0" w:after="0"/>
        <w:rPr>
          <w:sz w:val="4"/>
          <w:szCs w:val="4"/>
        </w:rPr>
      </w:pPr>
      <w:r>
        <w:rPr>
          <w:sz w:val="4"/>
          <w:szCs w:val="4"/>
        </w:rPr>
      </w:r>
      <w:bookmarkStart w:id="812" w:name="z31a7b992c882494d94a35b5b9a3e2a2a"/>
      <w:bookmarkStart w:id="813" w:name="z31a7b992c882494d94a35b5b9a3e2a2a"/>
      <w:bookmarkEnd w:id="813"/>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0"/>
              <w:jc w:val="left"/>
              <w:rPr/>
            </w:pPr>
            <w:r>
              <w:rPr/>
              <w:t>(3)</w:t>
            </w:r>
          </w:p>
        </w:tc>
        <w:tc>
          <w:tcPr>
            <w:tcW w:w="9906" w:type="dxa"/>
            <w:tcBorders/>
            <w:shd w:fill="auto" w:val="clear"/>
            <w:vAlign w:val="center"/>
          </w:tcPr>
          <w:p>
            <w:pPr>
              <w:pStyle w:val="TableContents"/>
              <w:spacing w:before="0" w:after="0"/>
              <w:jc w:val="left"/>
              <w:rPr/>
            </w:pPr>
            <w:r>
              <w:rPr/>
              <w:t>Also includes loans on non-accrual at the time of modification until six payments are received on a timely basis.</w:t>
            </w:r>
          </w:p>
        </w:tc>
      </w:tr>
    </w:tbl>
    <w:p>
      <w:pPr>
        <w:pStyle w:val="TextBody"/>
        <w:spacing w:before="0" w:after="0"/>
        <w:rPr/>
      </w:pPr>
      <w:r>
        <w:rPr/>
      </w:r>
    </w:p>
    <w:p>
      <w:pPr>
        <w:pStyle w:val="TextBody"/>
        <w:spacing w:before="0" w:after="0"/>
        <w:jc w:val="both"/>
        <w:rPr/>
      </w:pPr>
      <w:r>
        <w:rPr/>
        <w:t>Non-performing loans decreased by $1.2 million during the first six months of 2019 due principally to a decline in non-performing commercial loans. This decline primarily reflects reduced levels of new loan defaults as well as loan charge-offs, pay-offs, negotiated transactions, and the migration of loans into other real estate. In general, stable economic conditions in our market areas, as well as our collection and resolution efforts, have resulted in a downward trend in non-performing loans.  However, we are still experiencing some loan defaults, particularly related to commercial loans secured by income-producing property and mortgage loans secured by resort/vacation property.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14" w:name="DSPFPageBreakArea78"/>
      <w:bookmarkStart w:id="815" w:name="DSPFPageBreakArea78"/>
      <w:bookmarkEnd w:id="8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16" w:name="DSPFPageNumber78"/>
      <w:bookmarkStart w:id="817" w:name="DSPFPageNumberArea77"/>
      <w:bookmarkEnd w:id="816"/>
      <w:bookmarkEnd w:id="817"/>
      <w:r>
        <w:rPr>
          <w:b w:val="false"/>
          <w:i w:val="false"/>
          <w:caps w:val="false"/>
          <w:smallCaps w:val="false"/>
          <w:sz w:val="13"/>
        </w:rPr>
        <w:t>79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18" w:name="DSPFPageBreak78"/>
      <w:bookmarkStart w:id="819" w:name="DSPFPageBreak78"/>
      <w:bookmarkEnd w:id="8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20" w:name="DSPFPageHeader77"/>
        <w:bookmarkEnd w:id="820"/>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Non-performing loans exclude performing loans that are classified as troubled debt restructurings (“TDRs”). Performing TDRs totaled $49.3 million, or 1.8% of total Portfolio Loans, and $53.1 million, or 2.1% of total Portfolio Loans, at June 30, 2019 and December 31, 2018, respectively. The decrease in the amount of performing TDRs in the first six months of 2019 primarily reflects pay downs and payoffs.</w:t>
      </w:r>
    </w:p>
    <w:p>
      <w:pPr>
        <w:pStyle w:val="TextBody"/>
        <w:spacing w:before="0" w:after="0"/>
        <w:rPr/>
      </w:pPr>
      <w:r>
        <w:rPr/>
      </w:r>
    </w:p>
    <w:p>
      <w:pPr>
        <w:pStyle w:val="TextBody"/>
        <w:spacing w:before="0" w:after="0"/>
        <w:jc w:val="both"/>
        <w:rPr/>
      </w:pPr>
      <w:r>
        <w:rPr/>
        <w:t>Other real estate and repossessed assets totaled $2.0 million and $1.3 million at June 30, 2019 and December 31, 2018, respectively. This increase is primarily due to the addition of a $0.6 million commercial office building located in Grand Rapids, Michigan during the second quarter of 2019.</w:t>
      </w:r>
    </w:p>
    <w:p>
      <w:pPr>
        <w:pStyle w:val="TextBody"/>
        <w:spacing w:before="0" w:after="0"/>
        <w:rPr/>
      </w:pPr>
      <w:r>
        <w:rPr/>
      </w:r>
    </w:p>
    <w:p>
      <w:pPr>
        <w:pStyle w:val="TextBody"/>
        <w:spacing w:before="0" w:after="0"/>
        <w:jc w:val="both"/>
        <w:rPr/>
      </w:pPr>
      <w:r>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pStyle w:val="TextBody"/>
        <w:spacing w:before="0" w:after="0"/>
        <w:rPr/>
      </w:pPr>
      <w:r>
        <w:rPr/>
      </w:r>
    </w:p>
    <w:p>
      <w:pPr>
        <w:pStyle w:val="TextBody"/>
        <w:spacing w:before="0" w:after="0"/>
        <w:jc w:val="both"/>
        <w:rPr/>
      </w:pPr>
      <w:r>
        <w:rPr/>
        <w:t>The ratio of loan net charge-offs to average Portfolio Loans was 0.02% and 0.00% (on an annualized basis) in the first six months of 2019 and 2018, respectively.  This year-over-year change was primarily due to a decline in recoveries on previously charged-off commercial loans that was partially offset by a decline in mortgage loan charge-offs.</w:t>
      </w:r>
    </w:p>
    <w:p>
      <w:pPr>
        <w:pStyle w:val="TextBody"/>
        <w:spacing w:before="0" w:after="0"/>
        <w:rPr/>
      </w:pPr>
      <w:r>
        <w:rPr/>
      </w:r>
    </w:p>
    <w:p>
      <w:pPr>
        <w:pStyle w:val="TextBody"/>
        <w:spacing w:before="0" w:after="0"/>
        <w:rPr>
          <w:b/>
        </w:rPr>
      </w:pPr>
      <w:r>
        <w:rPr>
          <w:b/>
        </w:rPr>
        <w:t>Allowance for loan losses</w:t>
      </w:r>
    </w:p>
    <w:p>
      <w:pPr>
        <w:pStyle w:val="Normal"/>
        <w:spacing w:before="0" w:after="0"/>
        <w:rPr>
          <w:sz w:val="4"/>
          <w:szCs w:val="4"/>
        </w:rPr>
      </w:pPr>
      <w:r>
        <w:rPr>
          <w:sz w:val="4"/>
          <w:szCs w:val="4"/>
        </w:rPr>
      </w:r>
      <w:bookmarkStart w:id="821" w:name="ze6f5fe4c656b4b7c9cc6af063a8256dd"/>
      <w:bookmarkStart w:id="822" w:name="ze6f5fe4c656b4b7c9cc6af063a8256dd"/>
      <w:bookmarkEnd w:id="822"/>
    </w:p>
    <w:tbl>
      <w:tblPr>
        <w:tblW w:w="10205" w:type="dxa"/>
        <w:jc w:val="left"/>
        <w:tblInd w:w="0" w:type="dxa"/>
        <w:tblCellMar>
          <w:top w:w="0" w:type="dxa"/>
          <w:left w:w="0" w:type="dxa"/>
          <w:bottom w:w="0" w:type="dxa"/>
          <w:right w:w="0" w:type="dxa"/>
        </w:tblCellMar>
      </w:tblPr>
      <w:tblGrid>
        <w:gridCol w:w="5060"/>
        <w:gridCol w:w="60"/>
        <w:gridCol w:w="140"/>
        <w:gridCol w:w="680"/>
        <w:gridCol w:w="215"/>
        <w:gridCol w:w="60"/>
        <w:gridCol w:w="268"/>
        <w:gridCol w:w="1072"/>
        <w:gridCol w:w="60"/>
        <w:gridCol w:w="60"/>
        <w:gridCol w:w="140"/>
        <w:gridCol w:w="680"/>
        <w:gridCol w:w="215"/>
        <w:gridCol w:w="60"/>
        <w:gridCol w:w="268"/>
        <w:gridCol w:w="1072"/>
        <w:gridCol w:w="95"/>
      </w:tblGrid>
      <w:tr>
        <w:trPr/>
        <w:tc>
          <w:tcPr>
            <w:tcW w:w="50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90" w:type="dxa"/>
            <w:gridSpan w:val="14"/>
            <w:tcBorders/>
            <w:shd w:fill="auto" w:val="clear"/>
            <w:vAlign w:val="bottom"/>
          </w:tcPr>
          <w:p>
            <w:pPr>
              <w:pStyle w:val="TableContents"/>
              <w:spacing w:before="0" w:after="0"/>
              <w:jc w:val="center"/>
              <w:rPr/>
            </w:pPr>
            <w:r>
              <w:rPr/>
              <w:t>Six months ended</w:t>
            </w:r>
          </w:p>
          <w:p>
            <w:pPr>
              <w:pStyle w:val="TableContents"/>
              <w:spacing w:before="0" w:after="0"/>
              <w:jc w:val="center"/>
              <w:rPr/>
            </w:pPr>
            <w:r>
              <w:rPr/>
              <w:t>June 30,</w:t>
            </w:r>
          </w:p>
        </w:tc>
        <w:tc>
          <w:tcPr>
            <w:tcW w:w="95" w:type="dxa"/>
            <w:tcBorders/>
            <w:shd w:fill="auto"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35" w:type="dxa"/>
            <w:gridSpan w:val="6"/>
            <w:tcBorders>
              <w:bottom w:val="single" w:sz="12" w:space="0" w:color="000000"/>
            </w:tcBorders>
            <w:shd w:fill="auto" w:val="clear"/>
            <w:tcMar>
              <w:bottom w:w="28" w:type="dxa"/>
            </w:tcMar>
            <w:vAlign w:val="bottom"/>
          </w:tcPr>
          <w:p>
            <w:pPr>
              <w:pStyle w:val="TableContents"/>
              <w:spacing w:before="0" w:after="0"/>
              <w:jc w:val="center"/>
              <w:rPr/>
            </w:pPr>
            <w:r>
              <w:rPr/>
              <w:t>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35" w:type="dxa"/>
            <w:gridSpan w:val="6"/>
            <w:tcBorders>
              <w:bottom w:val="single" w:sz="12" w:space="0" w:color="000000"/>
            </w:tcBorders>
            <w:shd w:fill="auto" w:val="clear"/>
            <w:tcMar>
              <w:bottom w:w="28" w:type="dxa"/>
            </w:tcMar>
            <w:vAlign w:val="bottom"/>
          </w:tcPr>
          <w:p>
            <w:pPr>
              <w:pStyle w:val="TableContents"/>
              <w:spacing w:before="0" w:after="0"/>
              <w:jc w:val="center"/>
              <w:rPr/>
            </w:pPr>
            <w:r>
              <w:rPr/>
              <w:t>2018</w:t>
            </w:r>
          </w:p>
        </w:tc>
        <w:tc>
          <w:tcPr>
            <w:tcW w:w="95" w:type="dxa"/>
            <w:tcBorders/>
            <w:shd w:fill="auto" w:val="clear"/>
            <w:vAlign w:val="bottom"/>
          </w:tcPr>
          <w:p>
            <w:pPr>
              <w:pStyle w:val="TableContents"/>
              <w:spacing w:before="0" w:after="283"/>
              <w:rPr/>
            </w:pPr>
            <w:r>
              <w:rPr/>
              <w:t> </w:t>
            </w:r>
          </w:p>
        </w:tc>
      </w:tr>
      <w:tr>
        <w:trPr/>
        <w:tc>
          <w:tcPr>
            <w:tcW w:w="506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820" w:type="dxa"/>
            <w:gridSpan w:val="2"/>
            <w:tcBorders>
              <w:bottom w:val="single" w:sz="12" w:space="0" w:color="000000"/>
            </w:tcBorders>
            <w:shd w:fill="auto" w:val="clear"/>
            <w:tcMar>
              <w:bottom w:w="28" w:type="dxa"/>
            </w:tcMar>
            <w:vAlign w:val="bottom"/>
          </w:tcPr>
          <w:p>
            <w:pPr>
              <w:pStyle w:val="TableContents"/>
              <w:spacing w:before="0" w:after="0"/>
              <w:rPr/>
            </w:pPr>
            <w:r>
              <w:rPr/>
              <w:t> </w:t>
            </w:r>
          </w:p>
          <w:p>
            <w:pPr>
              <w:pStyle w:val="TableContents"/>
              <w:spacing w:before="0" w:after="0"/>
              <w:jc w:val="center"/>
              <w:rPr/>
            </w:pPr>
            <w:r>
              <w:rPr/>
              <w:t>Loans</w:t>
            </w:r>
          </w:p>
        </w:tc>
        <w:tc>
          <w:tcPr>
            <w:tcW w:w="21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1340" w:type="dxa"/>
            <w:gridSpan w:val="2"/>
            <w:tcBorders>
              <w:bottom w:val="single" w:sz="12" w:space="0" w:color="000000"/>
            </w:tcBorders>
            <w:shd w:fill="auto" w:val="clear"/>
            <w:tcMar>
              <w:bottom w:w="28" w:type="dxa"/>
            </w:tcMar>
            <w:vAlign w:val="bottom"/>
          </w:tcPr>
          <w:p>
            <w:pPr>
              <w:pStyle w:val="TableContents"/>
              <w:spacing w:before="0" w:after="0"/>
              <w:jc w:val="center"/>
              <w:rPr/>
            </w:pPr>
            <w:r>
              <w:rPr/>
              <w:t>Unfunded</w:t>
            </w:r>
          </w:p>
          <w:p>
            <w:pPr>
              <w:pStyle w:val="TableContents"/>
              <w:spacing w:before="0" w:after="0"/>
              <w:jc w:val="center"/>
              <w:rPr/>
            </w:pPr>
            <w:r>
              <w:rPr/>
              <w:t>Commitments</w:t>
            </w:r>
          </w:p>
        </w:tc>
        <w:tc>
          <w:tcPr>
            <w:tcW w:w="6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820" w:type="dxa"/>
            <w:gridSpan w:val="2"/>
            <w:tcBorders>
              <w:bottom w:val="single" w:sz="12" w:space="0" w:color="000000"/>
            </w:tcBorders>
            <w:shd w:fill="auto" w:val="clear"/>
            <w:tcMar>
              <w:bottom w:w="28" w:type="dxa"/>
            </w:tcMar>
            <w:vAlign w:val="bottom"/>
          </w:tcPr>
          <w:p>
            <w:pPr>
              <w:pStyle w:val="TableContents"/>
              <w:spacing w:before="0" w:after="0"/>
              <w:rPr/>
            </w:pPr>
            <w:r>
              <w:rPr/>
              <w:t> </w:t>
            </w:r>
          </w:p>
          <w:p>
            <w:pPr>
              <w:pStyle w:val="TableContents"/>
              <w:spacing w:before="0" w:after="0"/>
              <w:jc w:val="center"/>
              <w:rPr/>
            </w:pPr>
            <w:r>
              <w:rPr/>
              <w:t>Loans</w:t>
            </w:r>
          </w:p>
        </w:tc>
        <w:tc>
          <w:tcPr>
            <w:tcW w:w="21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1340" w:type="dxa"/>
            <w:gridSpan w:val="2"/>
            <w:tcBorders>
              <w:bottom w:val="single" w:sz="12" w:space="0" w:color="000000"/>
            </w:tcBorders>
            <w:shd w:fill="auto" w:val="clear"/>
            <w:tcMar>
              <w:bottom w:w="28" w:type="dxa"/>
            </w:tcMar>
            <w:vAlign w:val="bottom"/>
          </w:tcPr>
          <w:p>
            <w:pPr>
              <w:pStyle w:val="TableContents"/>
              <w:spacing w:before="0" w:after="0"/>
              <w:jc w:val="center"/>
              <w:rPr/>
            </w:pPr>
            <w:r>
              <w:rPr/>
              <w:t>Unfunded</w:t>
            </w:r>
          </w:p>
          <w:p>
            <w:pPr>
              <w:pStyle w:val="TableContents"/>
              <w:spacing w:before="0" w:after="0"/>
              <w:jc w:val="center"/>
              <w:rPr/>
            </w:pPr>
            <w:r>
              <w:rPr/>
              <w:t>Commitments</w:t>
            </w:r>
          </w:p>
        </w:tc>
        <w:tc>
          <w:tcPr>
            <w:tcW w:w="95" w:type="dxa"/>
            <w:tcBorders/>
            <w:shd w:fill="auto" w:val="clear"/>
            <w:vAlign w:val="bottom"/>
          </w:tcPr>
          <w:p>
            <w:pPr>
              <w:pStyle w:val="TableContents"/>
              <w:spacing w:before="0" w:after="283"/>
              <w:rPr/>
            </w:pPr>
            <w:r>
              <w:rPr/>
            </w:r>
          </w:p>
        </w:tc>
      </w:tr>
      <w:tr>
        <w:trPr/>
        <w:tc>
          <w:tcPr>
            <w:tcW w:w="50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90" w:type="dxa"/>
            <w:gridSpan w:val="14"/>
            <w:tcBorders/>
            <w:shd w:fill="auto" w:val="clear"/>
            <w:vAlign w:val="bottom"/>
          </w:tcPr>
          <w:p>
            <w:pPr>
              <w:pStyle w:val="TableContents"/>
              <w:spacing w:before="0" w:after="0"/>
              <w:jc w:val="center"/>
              <w:rPr/>
            </w:pPr>
            <w:r>
              <w:rPr/>
              <w:t>(Dollars in thousands)</w:t>
            </w:r>
          </w:p>
        </w:tc>
        <w:tc>
          <w:tcPr>
            <w:tcW w:w="95" w:type="dxa"/>
            <w:tcBorders/>
            <w:shd w:fill="auto"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before="0" w:after="0"/>
              <w:ind w:left="144" w:right="0" w:hanging="144"/>
              <w:rPr/>
            </w:pPr>
            <w:r>
              <w:rPr/>
              <w:t>Balance at beginning of period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24,888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0"/>
              <w:rPr/>
            </w:pPr>
            <w:r>
              <w:rPr/>
              <w:t>$</w:t>
            </w:r>
          </w:p>
        </w:tc>
        <w:tc>
          <w:tcPr>
            <w:tcW w:w="1072" w:type="dxa"/>
            <w:tcBorders/>
            <w:shd w:fill="CCEEFF" w:val="clear"/>
            <w:vAlign w:val="bottom"/>
          </w:tcPr>
          <w:p>
            <w:pPr>
              <w:pStyle w:val="TableContents"/>
              <w:spacing w:before="0" w:after="0"/>
              <w:jc w:val="right"/>
              <w:rPr/>
            </w:pPr>
            <w:r>
              <w:rPr/>
              <w:t>1,296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22,587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0"/>
              <w:rPr/>
            </w:pPr>
            <w:r>
              <w:rPr/>
              <w:t>$</w:t>
            </w:r>
          </w:p>
        </w:tc>
        <w:tc>
          <w:tcPr>
            <w:tcW w:w="1072" w:type="dxa"/>
            <w:tcBorders/>
            <w:shd w:fill="CCEEFF" w:val="clear"/>
            <w:vAlign w:val="bottom"/>
          </w:tcPr>
          <w:p>
            <w:pPr>
              <w:pStyle w:val="TableContents"/>
              <w:spacing w:before="0" w:after="0"/>
              <w:jc w:val="right"/>
              <w:rPr/>
            </w:pPr>
            <w:r>
              <w:rPr/>
              <w:t>1,125</w:t>
            </w:r>
          </w:p>
        </w:tc>
        <w:tc>
          <w:tcPr>
            <w:tcW w:w="95" w:type="dxa"/>
            <w:tcBorders/>
            <w:shd w:fill="CCEEFF" w:val="clear"/>
            <w:vAlign w:val="bottom"/>
          </w:tcPr>
          <w:p>
            <w:pPr>
              <w:pStyle w:val="TableContents"/>
              <w:spacing w:before="0" w:after="283"/>
              <w:rPr/>
            </w:pPr>
            <w:r>
              <w:rPr/>
              <w:t> </w:t>
            </w:r>
          </w:p>
        </w:tc>
      </w:tr>
      <w:tr>
        <w:trPr/>
        <w:tc>
          <w:tcPr>
            <w:tcW w:w="5060" w:type="dxa"/>
            <w:tcBorders/>
            <w:shd w:fill="FFFFFF" w:val="clear"/>
            <w:vAlign w:val="bottom"/>
          </w:tcPr>
          <w:p>
            <w:pPr>
              <w:pStyle w:val="TableContents"/>
              <w:spacing w:before="0" w:after="0"/>
              <w:ind w:left="144" w:right="0" w:hanging="144"/>
              <w:rPr/>
            </w:pPr>
            <w:r>
              <w:rPr/>
              <w:t>Additions (deductions)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rPr/>
            </w:pPr>
            <w:r>
              <w:rPr/>
              <w:t> </w:t>
            </w:r>
          </w:p>
        </w:tc>
        <w:tc>
          <w:tcPr>
            <w:tcW w:w="107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rPr/>
            </w:pPr>
            <w:r>
              <w:rPr/>
              <w:t> </w:t>
            </w:r>
          </w:p>
        </w:tc>
        <w:tc>
          <w:tcPr>
            <w:tcW w:w="1072"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before="0" w:after="0"/>
              <w:ind w:left="324" w:right="0" w:hanging="144"/>
              <w:rPr/>
            </w:pPr>
            <w:r>
              <w:rPr/>
              <w:t>Provision for loan losses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1,316</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965</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r>
      <w:tr>
        <w:trPr/>
        <w:tc>
          <w:tcPr>
            <w:tcW w:w="5060" w:type="dxa"/>
            <w:tcBorders/>
            <w:shd w:fill="FFFFFF" w:val="clear"/>
            <w:vAlign w:val="bottom"/>
          </w:tcPr>
          <w:p>
            <w:pPr>
              <w:pStyle w:val="TableContents"/>
              <w:spacing w:before="0" w:after="0"/>
              <w:ind w:left="324" w:right="0" w:hanging="144"/>
              <w:rPr/>
            </w:pPr>
            <w:r>
              <w:rPr/>
              <w:t>Recoveries credited to allowance</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1,457</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rPr/>
            </w:pPr>
            <w:r>
              <w:rPr/>
              <w:t> </w:t>
            </w:r>
          </w:p>
        </w:tc>
        <w:tc>
          <w:tcPr>
            <w:tcW w:w="1072" w:type="dxa"/>
            <w:tcBorders/>
            <w:shd w:fill="FFFFFF" w:val="clear"/>
            <w:vAlign w:val="bottom"/>
          </w:tcPr>
          <w:p>
            <w:pPr>
              <w:pStyle w:val="TableContents"/>
              <w:spacing w:before="0" w:after="0"/>
              <w:jc w:val="right"/>
              <w:rPr/>
            </w:pPr>
            <w:r>
              <w:rPr/>
              <w:t>-</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pPr>
            <w:r>
              <w:rPr/>
              <w:t>1,860</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rPr/>
            </w:pPr>
            <w:r>
              <w:rPr/>
              <w:t> </w:t>
            </w:r>
          </w:p>
        </w:tc>
        <w:tc>
          <w:tcPr>
            <w:tcW w:w="1072" w:type="dxa"/>
            <w:tcBorders/>
            <w:shd w:fill="FFFFFF" w:val="clear"/>
            <w:vAlign w:val="bottom"/>
          </w:tcPr>
          <w:p>
            <w:pPr>
              <w:pStyle w:val="TableContents"/>
              <w:spacing w:before="0" w:after="0"/>
              <w:jc w:val="right"/>
              <w:rPr/>
            </w:pPr>
            <w:r>
              <w:rPr/>
              <w:t>-</w:t>
            </w:r>
          </w:p>
        </w:tc>
        <w:tc>
          <w:tcPr>
            <w:tcW w:w="95" w:type="dxa"/>
            <w:tcBorders/>
            <w:shd w:fill="FFFFFF"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before="0" w:after="0"/>
              <w:ind w:left="324" w:right="0" w:hanging="144"/>
              <w:rPr/>
            </w:pPr>
            <w:r>
              <w:rPr/>
              <w:t>Loans charged against the allowance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(1,758</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(1,908</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r>
      <w:tr>
        <w:trPr/>
        <w:tc>
          <w:tcPr>
            <w:tcW w:w="5060" w:type="dxa"/>
            <w:tcBorders/>
            <w:shd w:fill="FFFFFF" w:val="clear"/>
            <w:vAlign w:val="bottom"/>
          </w:tcPr>
          <w:p>
            <w:pPr>
              <w:pStyle w:val="TableContents"/>
              <w:spacing w:before="0" w:after="0"/>
              <w:ind w:left="144" w:right="0" w:hanging="144"/>
              <w:rPr/>
            </w:pPr>
            <w:r>
              <w:rPr/>
              <w:t>Additions included in non-interest expense</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6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72" w:type="dxa"/>
            <w:tcBorders>
              <w:bottom w:val="single" w:sz="12" w:space="0" w:color="000000"/>
            </w:tcBorders>
            <w:shd w:fill="FFFFFF" w:val="clear"/>
            <w:tcMar>
              <w:bottom w:w="28" w:type="dxa"/>
            </w:tcMar>
            <w:vAlign w:val="bottom"/>
          </w:tcPr>
          <w:p>
            <w:pPr>
              <w:pStyle w:val="TableContents"/>
              <w:spacing w:before="0" w:after="0"/>
              <w:jc w:val="right"/>
              <w:rPr/>
            </w:pPr>
            <w:r>
              <w:rPr/>
              <w:t>187</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pPr>
            <w:r>
              <w:rPr/>
              <w:t>-</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68"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072" w:type="dxa"/>
            <w:tcBorders>
              <w:bottom w:val="single" w:sz="12" w:space="0" w:color="000000"/>
            </w:tcBorders>
            <w:shd w:fill="FFFFFF" w:val="clear"/>
            <w:tcMar>
              <w:bottom w:w="28" w:type="dxa"/>
            </w:tcMar>
            <w:vAlign w:val="bottom"/>
          </w:tcPr>
          <w:p>
            <w:pPr>
              <w:pStyle w:val="TableContents"/>
              <w:spacing w:before="0" w:after="0"/>
              <w:jc w:val="right"/>
              <w:rPr/>
            </w:pPr>
            <w:r>
              <w:rPr/>
              <w:t>(77</w:t>
            </w:r>
          </w:p>
        </w:tc>
        <w:tc>
          <w:tcPr>
            <w:tcW w:w="95" w:type="dxa"/>
            <w:tcBorders/>
            <w:shd w:fill="FFFFFF" w:val="clear"/>
            <w:vAlign w:val="bottom"/>
          </w:tcPr>
          <w:p>
            <w:pPr>
              <w:pStyle w:val="TableContents"/>
              <w:spacing w:before="0" w:after="0"/>
              <w:rPr/>
            </w:pPr>
            <w:r>
              <w:rPr/>
              <w:t>)</w:t>
            </w:r>
          </w:p>
        </w:tc>
      </w:tr>
      <w:tr>
        <w:trPr/>
        <w:tc>
          <w:tcPr>
            <w:tcW w:w="5060" w:type="dxa"/>
            <w:tcBorders/>
            <w:shd w:fill="CCEEFF" w:val="clear"/>
            <w:vAlign w:val="bottom"/>
          </w:tcPr>
          <w:p>
            <w:pPr>
              <w:pStyle w:val="TableContents"/>
              <w:spacing w:before="0" w:after="0"/>
              <w:ind w:left="144" w:right="0" w:hanging="144"/>
              <w:rPr/>
            </w:pPr>
            <w:r>
              <w:rPr/>
              <w:t>Balance at end of period</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25,903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bottom w:val="double" w:sz="8" w:space="0" w:color="000000"/>
            </w:tcBorders>
            <w:shd w:fill="CCEEFF" w:val="clear"/>
            <w:tcMar>
              <w:bottom w:w="28" w:type="dxa"/>
            </w:tcMar>
            <w:vAlign w:val="bottom"/>
          </w:tcPr>
          <w:p>
            <w:pPr>
              <w:pStyle w:val="TableContents"/>
              <w:spacing w:before="0" w:after="0"/>
              <w:rPr/>
            </w:pPr>
            <w:r>
              <w:rPr/>
              <w:t>$</w:t>
            </w:r>
          </w:p>
        </w:tc>
        <w:tc>
          <w:tcPr>
            <w:tcW w:w="1072" w:type="dxa"/>
            <w:tcBorders>
              <w:bottom w:val="double" w:sz="8" w:space="0" w:color="000000"/>
            </w:tcBorders>
            <w:shd w:fill="CCEEFF" w:val="clear"/>
            <w:tcMar>
              <w:bottom w:w="28" w:type="dxa"/>
            </w:tcMar>
            <w:vAlign w:val="bottom"/>
          </w:tcPr>
          <w:p>
            <w:pPr>
              <w:pStyle w:val="TableContents"/>
              <w:spacing w:before="0" w:after="0"/>
              <w:jc w:val="right"/>
              <w:rPr/>
            </w:pPr>
            <w:r>
              <w:rPr/>
              <w:t>1,483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23,504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8" w:type="dxa"/>
            <w:tcBorders>
              <w:bottom w:val="double" w:sz="8" w:space="0" w:color="000000"/>
            </w:tcBorders>
            <w:shd w:fill="CCEEFF" w:val="clear"/>
            <w:tcMar>
              <w:bottom w:w="28" w:type="dxa"/>
            </w:tcMar>
            <w:vAlign w:val="bottom"/>
          </w:tcPr>
          <w:p>
            <w:pPr>
              <w:pStyle w:val="TableContents"/>
              <w:spacing w:before="0" w:after="0"/>
              <w:rPr/>
            </w:pPr>
            <w:r>
              <w:rPr/>
              <w:t>$</w:t>
            </w:r>
          </w:p>
        </w:tc>
        <w:tc>
          <w:tcPr>
            <w:tcW w:w="1072" w:type="dxa"/>
            <w:tcBorders>
              <w:bottom w:val="double" w:sz="8" w:space="0" w:color="000000"/>
            </w:tcBorders>
            <w:shd w:fill="CCEEFF" w:val="clear"/>
            <w:tcMar>
              <w:bottom w:w="28" w:type="dxa"/>
            </w:tcMar>
            <w:vAlign w:val="bottom"/>
          </w:tcPr>
          <w:p>
            <w:pPr>
              <w:pStyle w:val="TableContents"/>
              <w:spacing w:before="0" w:after="0"/>
              <w:jc w:val="right"/>
              <w:rPr/>
            </w:pPr>
            <w:r>
              <w:rPr/>
              <w:t>1,048</w:t>
            </w:r>
          </w:p>
        </w:tc>
        <w:tc>
          <w:tcPr>
            <w:tcW w:w="95" w:type="dxa"/>
            <w:tcBorders/>
            <w:shd w:fill="CCEEFF" w:val="clear"/>
            <w:vAlign w:val="bottom"/>
          </w:tcPr>
          <w:p>
            <w:pPr>
              <w:pStyle w:val="TableContents"/>
              <w:spacing w:before="0" w:after="283"/>
              <w:rPr/>
            </w:pPr>
            <w:r>
              <w:rPr/>
              <w:t> </w:t>
            </w:r>
          </w:p>
        </w:tc>
      </w:tr>
      <w:tr>
        <w:trPr/>
        <w:tc>
          <w:tcPr>
            <w:tcW w:w="50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rPr/>
            </w:pPr>
            <w:r>
              <w:rPr/>
              <w:t> </w:t>
            </w:r>
          </w:p>
        </w:tc>
        <w:tc>
          <w:tcPr>
            <w:tcW w:w="1072"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283"/>
              <w:jc w:val="right"/>
              <w:rPr/>
            </w:pPr>
            <w:r>
              <w:rPr/>
              <w:t> </w:t>
            </w:r>
          </w:p>
        </w:tc>
        <w:tc>
          <w:tcPr>
            <w:tcW w:w="2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68" w:type="dxa"/>
            <w:tcBorders/>
            <w:shd w:fill="FFFFFF" w:val="clear"/>
            <w:vAlign w:val="bottom"/>
          </w:tcPr>
          <w:p>
            <w:pPr>
              <w:pStyle w:val="TableContents"/>
              <w:spacing w:before="0" w:after="283"/>
              <w:rPr/>
            </w:pPr>
            <w:r>
              <w:rPr/>
              <w:t> </w:t>
            </w:r>
          </w:p>
        </w:tc>
        <w:tc>
          <w:tcPr>
            <w:tcW w:w="1072"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r>
      <w:tr>
        <w:trPr/>
        <w:tc>
          <w:tcPr>
            <w:tcW w:w="5060" w:type="dxa"/>
            <w:tcBorders/>
            <w:shd w:fill="CCEEFF" w:val="clear"/>
            <w:vAlign w:val="bottom"/>
          </w:tcPr>
          <w:p>
            <w:pPr>
              <w:pStyle w:val="TableContents"/>
              <w:spacing w:before="0" w:after="0"/>
              <w:rPr/>
            </w:pPr>
            <w:r>
              <w:rPr/>
              <w:t>Net loans charged against the allowance to average Portfolio Loans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0.02</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23" w:name="DSPFPageBreakArea79"/>
      <w:bookmarkStart w:id="824" w:name="DSPFPageBreakArea79"/>
      <w:bookmarkEnd w:id="8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25" w:name="DSPFPageNumber79"/>
      <w:bookmarkStart w:id="826" w:name="DSPFPageNumberArea78"/>
      <w:bookmarkEnd w:id="825"/>
      <w:bookmarkEnd w:id="826"/>
      <w:r>
        <w:rPr>
          <w:b w:val="false"/>
          <w:i w:val="false"/>
          <w:caps w:val="false"/>
          <w:smallCaps w:val="false"/>
          <w:sz w:val="13"/>
        </w:rPr>
        <w:t>80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27" w:name="DSPFPageBreak79"/>
      <w:bookmarkStart w:id="828" w:name="DSPFPageBreak79"/>
      <w:bookmarkEnd w:id="8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29" w:name="DSPFPageHeader78"/>
        <w:bookmarkEnd w:id="829"/>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color w:val="000000"/>
        </w:rPr>
      </w:pPr>
      <w:r>
        <w:rPr>
          <w:b/>
          <w:color w:val="000000"/>
        </w:rPr>
        <w:t>Allocation of the Allowance for Loan Losses</w:t>
      </w:r>
    </w:p>
    <w:p>
      <w:pPr>
        <w:pStyle w:val="Normal"/>
        <w:spacing w:before="0" w:after="0"/>
        <w:rPr>
          <w:sz w:val="4"/>
          <w:szCs w:val="4"/>
        </w:rPr>
      </w:pPr>
      <w:r>
        <w:rPr>
          <w:sz w:val="4"/>
          <w:szCs w:val="4"/>
        </w:rPr>
      </w:r>
      <w:bookmarkStart w:id="830" w:name="zbb21a2545bd24b62a802fc328eff3fde"/>
      <w:bookmarkStart w:id="831" w:name="zbb21a2545bd24b62a802fc328eff3fde"/>
      <w:bookmarkEnd w:id="831"/>
    </w:p>
    <w:tbl>
      <w:tblPr>
        <w:tblW w:w="7099" w:type="dxa"/>
        <w:jc w:val="left"/>
        <w:tblInd w:w="0" w:type="dxa"/>
        <w:tblCellMar>
          <w:top w:w="0" w:type="dxa"/>
          <w:left w:w="0" w:type="dxa"/>
          <w:bottom w:w="0" w:type="dxa"/>
          <w:right w:w="0" w:type="dxa"/>
        </w:tblCellMar>
      </w:tblPr>
      <w:tblGrid>
        <w:gridCol w:w="4685"/>
        <w:gridCol w:w="60"/>
        <w:gridCol w:w="140"/>
        <w:gridCol w:w="680"/>
        <w:gridCol w:w="60"/>
        <w:gridCol w:w="60"/>
        <w:gridCol w:w="230"/>
        <w:gridCol w:w="1124"/>
        <w:gridCol w:w="60"/>
      </w:tblGrid>
      <w:tr>
        <w:trPr/>
        <w:tc>
          <w:tcPr>
            <w:tcW w:w="468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June 30,</w:t>
            </w:r>
          </w:p>
          <w:p>
            <w:pPr>
              <w:pStyle w:val="TableContents"/>
              <w:spacing w:before="0" w:after="0"/>
              <w:jc w:val="center"/>
              <w:rPr>
                <w:color w:val="000000"/>
              </w:rPr>
            </w:pPr>
            <w:r>
              <w:rPr>
                <w:color w:val="000000"/>
              </w:rPr>
              <w:t>2019</w:t>
            </w:r>
          </w:p>
        </w:tc>
        <w:tc>
          <w:tcPr>
            <w:tcW w:w="60" w:type="dxa"/>
            <w:tcBorders>
              <w:bottom w:val="single" w:sz="12" w:space="0" w:color="000000"/>
            </w:tcBorders>
            <w:shd w:fill="auto" w:val="clear"/>
            <w:tcMar>
              <w:bottom w:w="28" w:type="dxa"/>
            </w:tcMar>
            <w:vAlign w:val="bottom"/>
          </w:tcPr>
          <w:p>
            <w:pPr>
              <w:pStyle w:val="TableContents"/>
              <w:spacing w:before="0" w:after="283"/>
              <w:rPr/>
            </w:pPr>
            <w:r>
              <w:rPr/>
            </w:r>
          </w:p>
        </w:tc>
        <w:tc>
          <w:tcPr>
            <w:tcW w:w="60" w:type="dxa"/>
            <w:tcBorders>
              <w:bottom w:val="single" w:sz="12" w:space="0" w:color="000000"/>
            </w:tcBorders>
            <w:shd w:fill="auto" w:val="clear"/>
            <w:tcMar>
              <w:bottom w:w="28" w:type="dxa"/>
            </w:tcMar>
            <w:vAlign w:val="bottom"/>
          </w:tcPr>
          <w:p>
            <w:pPr>
              <w:pStyle w:val="TableContents"/>
              <w:spacing w:before="0" w:after="283"/>
              <w:rPr/>
            </w:pPr>
            <w:r>
              <w:rPr/>
            </w:r>
          </w:p>
        </w:tc>
        <w:tc>
          <w:tcPr>
            <w:tcW w:w="1354" w:type="dxa"/>
            <w:gridSpan w:val="2"/>
            <w:tcBorders>
              <w:bottom w:val="single" w:sz="12" w:space="0" w:color="000000"/>
            </w:tcBorders>
            <w:shd w:fill="auto" w:val="clear"/>
            <w:tcMar>
              <w:bottom w:w="28" w:type="dxa"/>
            </w:tcMar>
            <w:vAlign w:val="bottom"/>
          </w:tcPr>
          <w:p>
            <w:pPr>
              <w:pStyle w:val="TableContents"/>
              <w:spacing w:before="0" w:after="0"/>
              <w:jc w:val="center"/>
              <w:rPr>
                <w:color w:val="000000"/>
              </w:rPr>
            </w:pPr>
            <w:r>
              <w:rPr>
                <w:color w:val="000000"/>
              </w:rPr>
              <w:t>December 31,</w:t>
            </w:r>
          </w:p>
          <w:p>
            <w:pPr>
              <w:pStyle w:val="TableContents"/>
              <w:spacing w:before="0" w:after="0"/>
              <w:jc w:val="center"/>
              <w:rPr>
                <w:color w:val="000000"/>
              </w:rPr>
            </w:pPr>
            <w:r>
              <w:rPr>
                <w:color w:val="000000"/>
              </w:rPr>
              <w:t>2018</w:t>
            </w:r>
          </w:p>
        </w:tc>
        <w:tc>
          <w:tcPr>
            <w:tcW w:w="60" w:type="dxa"/>
            <w:tcBorders/>
            <w:shd w:fill="auto" w:val="clear"/>
            <w:vAlign w:val="bottom"/>
          </w:tcPr>
          <w:p>
            <w:pPr>
              <w:pStyle w:val="TableContents"/>
              <w:spacing w:before="0" w:after="283"/>
              <w:rPr/>
            </w:pPr>
            <w:r>
              <w:rPr/>
            </w:r>
          </w:p>
        </w:tc>
      </w:tr>
      <w:tr>
        <w:trPr/>
        <w:tc>
          <w:tcPr>
            <w:tcW w:w="46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4" w:type="dxa"/>
            <w:gridSpan w:val="6"/>
            <w:tcBorders/>
            <w:shd w:fill="auto" w:val="clear"/>
            <w:vAlign w:val="bottom"/>
          </w:tcPr>
          <w:p>
            <w:pPr>
              <w:pStyle w:val="TableContents"/>
              <w:spacing w:before="0" w:after="0"/>
              <w:jc w:val="center"/>
              <w:rPr>
                <w:color w:val="000000"/>
              </w:rPr>
            </w:pPr>
            <w:r>
              <w:rPr>
                <w:color w:val="000000"/>
              </w:rPr>
              <w:t>(In thousands)</w:t>
            </w:r>
          </w:p>
        </w:tc>
        <w:tc>
          <w:tcPr>
            <w:tcW w:w="60" w:type="dxa"/>
            <w:tcBorders/>
            <w:shd w:fill="auto" w:val="clear"/>
            <w:vAlign w:val="bottom"/>
          </w:tcPr>
          <w:p>
            <w:pPr>
              <w:pStyle w:val="TableContents"/>
              <w:spacing w:before="0" w:after="283"/>
              <w:rPr/>
            </w:pPr>
            <w:r>
              <w:rPr/>
              <w:t> </w:t>
            </w:r>
          </w:p>
        </w:tc>
      </w:tr>
      <w:tr>
        <w:trPr/>
        <w:tc>
          <w:tcPr>
            <w:tcW w:w="4685" w:type="dxa"/>
            <w:tcBorders/>
            <w:shd w:fill="CCEEFF" w:val="clear"/>
            <w:vAlign w:val="bottom"/>
          </w:tcPr>
          <w:p>
            <w:pPr>
              <w:pStyle w:val="TableContents"/>
              <w:spacing w:before="0" w:after="0"/>
              <w:ind w:left="144" w:right="0" w:hanging="144"/>
              <w:rPr>
                <w:color w:val="000000"/>
              </w:rPr>
            </w:pPr>
            <w:r>
              <w:rPr>
                <w:color w:val="000000"/>
              </w:rPr>
              <w:t>Specific allocations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6,027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0"/>
              <w:rPr>
                <w:color w:val="000000"/>
              </w:rPr>
            </w:pPr>
            <w:r>
              <w:rPr>
                <w:color w:val="000000"/>
              </w:rPr>
              <w:t>$</w:t>
            </w:r>
          </w:p>
        </w:tc>
        <w:tc>
          <w:tcPr>
            <w:tcW w:w="1124" w:type="dxa"/>
            <w:tcBorders/>
            <w:shd w:fill="CCEEFF" w:val="clear"/>
            <w:vAlign w:val="bottom"/>
          </w:tcPr>
          <w:p>
            <w:pPr>
              <w:pStyle w:val="TableContents"/>
              <w:spacing w:before="0" w:after="0"/>
              <w:jc w:val="right"/>
              <w:rPr>
                <w:color w:val="000000"/>
              </w:rPr>
            </w:pPr>
            <w:r>
              <w:rPr>
                <w:color w:val="000000"/>
              </w:rPr>
              <w:t>6,310</w:t>
            </w:r>
          </w:p>
        </w:tc>
        <w:tc>
          <w:tcPr>
            <w:tcW w:w="60" w:type="dxa"/>
            <w:tcBorders/>
            <w:shd w:fill="CCEEFF" w:val="clear"/>
            <w:vAlign w:val="bottom"/>
          </w:tcPr>
          <w:p>
            <w:pPr>
              <w:pStyle w:val="TableContents"/>
              <w:spacing w:before="0" w:after="283"/>
              <w:rPr/>
            </w:pPr>
            <w:r>
              <w:rPr/>
              <w:t> </w:t>
            </w:r>
          </w:p>
        </w:tc>
      </w:tr>
      <w:tr>
        <w:trPr/>
        <w:tc>
          <w:tcPr>
            <w:tcW w:w="4685" w:type="dxa"/>
            <w:tcBorders/>
            <w:shd w:fill="FFFFFF" w:val="clear"/>
            <w:vAlign w:val="bottom"/>
          </w:tcPr>
          <w:p>
            <w:pPr>
              <w:pStyle w:val="TableContents"/>
              <w:spacing w:before="0" w:after="0"/>
              <w:ind w:left="144" w:right="0" w:hanging="144"/>
              <w:rPr>
                <w:color w:val="000000"/>
              </w:rPr>
            </w:pPr>
            <w:r>
              <w:rPr>
                <w:color w:val="000000"/>
              </w:rPr>
              <w:t>Other adversely rated commercial loans</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680" w:type="dxa"/>
            <w:tcBorders/>
            <w:shd w:fill="FFFFFF" w:val="clear"/>
            <w:vAlign w:val="bottom"/>
          </w:tcPr>
          <w:p>
            <w:pPr>
              <w:pStyle w:val="TableContents"/>
              <w:spacing w:before="0" w:after="0"/>
              <w:jc w:val="right"/>
              <w:rPr>
                <w:color w:val="000000"/>
              </w:rPr>
            </w:pPr>
            <w:r>
              <w:rPr>
                <w:color w:val="000000"/>
              </w:rPr>
              <w:t>2,908</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30" w:type="dxa"/>
            <w:tcBorders/>
            <w:shd w:fill="FFFFFF" w:val="clear"/>
            <w:vAlign w:val="bottom"/>
          </w:tcPr>
          <w:p>
            <w:pPr>
              <w:pStyle w:val="TableContents"/>
              <w:spacing w:before="0" w:after="283"/>
              <w:rPr/>
            </w:pPr>
            <w:r>
              <w:rPr/>
              <w:t> </w:t>
            </w:r>
          </w:p>
        </w:tc>
        <w:tc>
          <w:tcPr>
            <w:tcW w:w="1124" w:type="dxa"/>
            <w:tcBorders/>
            <w:shd w:fill="FFFFFF" w:val="clear"/>
            <w:vAlign w:val="bottom"/>
          </w:tcPr>
          <w:p>
            <w:pPr>
              <w:pStyle w:val="TableContents"/>
              <w:spacing w:before="0" w:after="0"/>
              <w:jc w:val="right"/>
              <w:rPr>
                <w:color w:val="000000"/>
              </w:rPr>
            </w:pPr>
            <w:r>
              <w:rPr>
                <w:color w:val="000000"/>
              </w:rPr>
              <w:t>1,861</w:t>
            </w:r>
          </w:p>
        </w:tc>
        <w:tc>
          <w:tcPr>
            <w:tcW w:w="60" w:type="dxa"/>
            <w:tcBorders/>
            <w:shd w:fill="FFFFFF" w:val="clear"/>
            <w:vAlign w:val="bottom"/>
          </w:tcPr>
          <w:p>
            <w:pPr>
              <w:pStyle w:val="TableContents"/>
              <w:spacing w:before="0" w:after="283"/>
              <w:rPr/>
            </w:pPr>
            <w:r>
              <w:rPr/>
              <w:t> </w:t>
            </w:r>
          </w:p>
        </w:tc>
      </w:tr>
      <w:tr>
        <w:trPr/>
        <w:tc>
          <w:tcPr>
            <w:tcW w:w="4685" w:type="dxa"/>
            <w:tcBorders/>
            <w:shd w:fill="CCEEFF" w:val="clear"/>
            <w:vAlign w:val="bottom"/>
          </w:tcPr>
          <w:p>
            <w:pPr>
              <w:pStyle w:val="TableContents"/>
              <w:spacing w:before="0" w:after="0"/>
              <w:ind w:left="144" w:right="0" w:hanging="144"/>
              <w:rPr>
                <w:color w:val="000000"/>
              </w:rPr>
            </w:pPr>
            <w:r>
              <w:rPr>
                <w:color w:val="000000"/>
              </w:rPr>
              <w:t>Historical loss allocations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color w:val="000000"/>
              </w:rPr>
            </w:pPr>
            <w:r>
              <w:rPr>
                <w:color w:val="000000"/>
              </w:rPr>
              <w:t>8,541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0"/>
              <w:jc w:val="right"/>
              <w:rPr>
                <w:color w:val="000000"/>
              </w:rPr>
            </w:pPr>
            <w:r>
              <w:rPr>
                <w:color w:val="000000"/>
              </w:rPr>
              <w:t>7,792</w:t>
            </w:r>
          </w:p>
        </w:tc>
        <w:tc>
          <w:tcPr>
            <w:tcW w:w="60" w:type="dxa"/>
            <w:tcBorders/>
            <w:shd w:fill="CCEEFF" w:val="clear"/>
            <w:vAlign w:val="bottom"/>
          </w:tcPr>
          <w:p>
            <w:pPr>
              <w:pStyle w:val="TableContents"/>
              <w:spacing w:before="0" w:after="283"/>
              <w:rPr/>
            </w:pPr>
            <w:r>
              <w:rPr/>
              <w:t> </w:t>
            </w:r>
          </w:p>
        </w:tc>
      </w:tr>
      <w:tr>
        <w:trPr/>
        <w:tc>
          <w:tcPr>
            <w:tcW w:w="4685" w:type="dxa"/>
            <w:tcBorders/>
            <w:shd w:fill="FFFFFF" w:val="clear"/>
            <w:vAlign w:val="bottom"/>
          </w:tcPr>
          <w:p>
            <w:pPr>
              <w:pStyle w:val="TableContents"/>
              <w:spacing w:before="0" w:after="0"/>
              <w:ind w:left="144" w:right="0" w:hanging="144"/>
              <w:rPr>
                <w:color w:val="000000"/>
              </w:rPr>
            </w:pPr>
            <w:r>
              <w:rPr>
                <w:color w:val="000000"/>
              </w:rPr>
              <w:t>Additional allocations based on subjective factors</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80" w:type="dxa"/>
            <w:tcBorders>
              <w:bottom w:val="single" w:sz="12" w:space="0" w:color="000000"/>
            </w:tcBorders>
            <w:shd w:fill="FFFFFF" w:val="clear"/>
            <w:tcMar>
              <w:bottom w:w="28" w:type="dxa"/>
            </w:tcMar>
            <w:vAlign w:val="bottom"/>
          </w:tcPr>
          <w:p>
            <w:pPr>
              <w:pStyle w:val="TableContents"/>
              <w:spacing w:before="0" w:after="0"/>
              <w:jc w:val="right"/>
              <w:rPr>
                <w:color w:val="000000"/>
              </w:rPr>
            </w:pPr>
            <w:r>
              <w:rPr>
                <w:color w:val="000000"/>
              </w:rPr>
              <w:t>8,427</w:t>
            </w:r>
          </w:p>
        </w:tc>
        <w:tc>
          <w:tcPr>
            <w:tcW w:w="6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23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24" w:type="dxa"/>
            <w:tcBorders>
              <w:bottom w:val="single" w:sz="12" w:space="0" w:color="000000"/>
            </w:tcBorders>
            <w:shd w:fill="FFFFFF" w:val="clear"/>
            <w:tcMar>
              <w:bottom w:w="28" w:type="dxa"/>
            </w:tcMar>
            <w:vAlign w:val="bottom"/>
          </w:tcPr>
          <w:p>
            <w:pPr>
              <w:pStyle w:val="TableContents"/>
              <w:spacing w:before="0" w:after="0"/>
              <w:jc w:val="right"/>
              <w:rPr>
                <w:color w:val="000000"/>
              </w:rPr>
            </w:pPr>
            <w:r>
              <w:rPr>
                <w:color w:val="000000"/>
              </w:rPr>
              <w:t>8,925</w:t>
            </w:r>
          </w:p>
        </w:tc>
        <w:tc>
          <w:tcPr>
            <w:tcW w:w="60" w:type="dxa"/>
            <w:tcBorders>
              <w:bottom w:val="single" w:sz="12" w:space="0" w:color="000000"/>
            </w:tcBorders>
            <w:shd w:fill="FFFFFF" w:val="clear"/>
            <w:tcMar>
              <w:bottom w:w="28" w:type="dxa"/>
            </w:tcMar>
            <w:vAlign w:val="bottom"/>
          </w:tcPr>
          <w:p>
            <w:pPr>
              <w:pStyle w:val="TableContents"/>
              <w:spacing w:before="0" w:after="283"/>
              <w:rPr/>
            </w:pPr>
            <w:r>
              <w:rPr/>
              <w:t> </w:t>
            </w:r>
          </w:p>
        </w:tc>
      </w:tr>
      <w:tr>
        <w:trPr/>
        <w:tc>
          <w:tcPr>
            <w:tcW w:w="4685" w:type="dxa"/>
            <w:tcBorders/>
            <w:shd w:fill="CCEEFF" w:val="clear"/>
            <w:vAlign w:val="bottom"/>
          </w:tcPr>
          <w:p>
            <w:pPr>
              <w:pStyle w:val="TableContents"/>
              <w:spacing w:before="0" w:after="0"/>
              <w:ind w:left="324" w:right="0" w:hanging="144"/>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25,903</w:t>
            </w:r>
          </w:p>
        </w:tc>
        <w:tc>
          <w:tcPr>
            <w:tcW w:w="60" w:type="dxa"/>
            <w:tcBorders>
              <w:bottom w:val="double" w:sz="8" w:space="0" w:color="000000"/>
            </w:tcBorders>
            <w:shd w:fill="CCEEFF" w:val="clear"/>
            <w:tcMar>
              <w:bottom w:w="28" w:type="dxa"/>
            </w:tcMar>
            <w:vAlign w:val="bottom"/>
          </w:tcPr>
          <w:p>
            <w:pPr>
              <w:pStyle w:val="TableContents"/>
              <w:spacing w:before="0" w:after="283"/>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rPr/>
            </w:pPr>
            <w:r>
              <w:rPr/>
              <w:t> </w:t>
            </w:r>
          </w:p>
        </w:tc>
        <w:tc>
          <w:tcPr>
            <w:tcW w:w="23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12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24,888</w:t>
            </w:r>
          </w:p>
        </w:tc>
        <w:tc>
          <w:tcPr>
            <w:tcW w:w="60" w:type="dxa"/>
            <w:tcBorders>
              <w:bottom w:val="double" w:sz="8" w:space="0" w:color="000000"/>
            </w:tcBorders>
            <w:shd w:fill="CCEEFF" w:val="clear"/>
            <w:tcMar>
              <w:bottom w:w="28" w:type="dxa"/>
            </w:tcM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Some loans will not be repaid in full. Therefore, an allowance for loan losses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pStyle w:val="TextBody"/>
        <w:spacing w:before="0" w:after="0"/>
        <w:rPr/>
      </w:pPr>
      <w:r>
        <w:rPr/>
      </w:r>
    </w:p>
    <w:p>
      <w:pPr>
        <w:pStyle w:val="TextBody"/>
        <w:spacing w:before="0" w:after="0"/>
        <w:jc w:val="both"/>
        <w:rPr/>
      </w:pPr>
      <w:r>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pStyle w:val="TextBody"/>
        <w:spacing w:before="0" w:after="0"/>
        <w:rPr/>
      </w:pPr>
      <w:r>
        <w:rPr/>
      </w:r>
    </w:p>
    <w:p>
      <w:pPr>
        <w:pStyle w:val="TextBody"/>
        <w:spacing w:before="0" w:after="0"/>
        <w:jc w:val="both"/>
        <w:rPr/>
      </w:pPr>
      <w:r>
        <w:rPr/>
        <w:t xml:space="preserve">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 </w:t>
      </w:r>
    </w:p>
    <w:p>
      <w:pPr>
        <w:pStyle w:val="TextBody"/>
        <w:spacing w:before="0" w:after="0"/>
        <w:jc w:val="both"/>
        <w:rPr/>
      </w:pPr>
      <w:r>
        <w:rPr/>
      </w:r>
    </w:p>
    <w:p>
      <w:pPr>
        <w:pStyle w:val="TextBody"/>
        <w:spacing w:before="0" w:after="0"/>
        <w:jc w:val="both"/>
        <w:rPr/>
      </w:pPr>
      <w:r>
        <w:rPr/>
        <w:t>While we use relevant information to recognize losses on loans, additional provisions for related losses may be necessary based on changes in economic conditions, customer circumstances and other credit risk factors.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32" w:name="DSPFPageBreakArea80"/>
      <w:bookmarkStart w:id="833" w:name="DSPFPageBreakArea80"/>
      <w:bookmarkEnd w:id="8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34" w:name="DSPFPageNumber80"/>
      <w:bookmarkStart w:id="835" w:name="DSPFPageNumberArea79"/>
      <w:bookmarkEnd w:id="834"/>
      <w:bookmarkEnd w:id="835"/>
      <w:r>
        <w:rPr>
          <w:b w:val="false"/>
          <w:i w:val="false"/>
          <w:caps w:val="false"/>
          <w:smallCaps w:val="false"/>
          <w:sz w:val="13"/>
        </w:rPr>
        <w:t>81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36" w:name="DSPFPageBreak80"/>
      <w:bookmarkStart w:id="837" w:name="DSPFPageBreak80"/>
      <w:bookmarkEnd w:id="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38" w:name="DSPFPageHeader79"/>
        <w:bookmarkEnd w:id="838"/>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The AFLL increased $1.0 million to $25.9 million at June 30, 2019 from $24.9 million at December 31, 2018 and was equal to 0.96% of total Portfolio Loans at both June 30, 2019 and December 31, 2018, respectively.</w:t>
      </w:r>
    </w:p>
    <w:p>
      <w:pPr>
        <w:pStyle w:val="TextBody"/>
        <w:spacing w:before="0" w:after="0"/>
        <w:rPr/>
      </w:pPr>
      <w:r>
        <w:rPr/>
      </w:r>
    </w:p>
    <w:p>
      <w:pPr>
        <w:pStyle w:val="TextBody"/>
        <w:spacing w:before="0" w:after="0"/>
        <w:jc w:val="both"/>
        <w:rPr/>
      </w:pPr>
      <w:r>
        <w:rPr/>
        <w:t>During the first quarter of 2019, we deployed a third-party software solution (we previously used spreadsheet software) to assist in the determination of our AFLL.  This new third-party software will also assist us in moving to the expected loss framework that is required to be implemented on January 1, 2020.  Although the use of this new third-party software did not have any material impact on our overall AFLL, it did result in some classification shifts from the AFLL related to subjective factors into the AFLL related to historical losses as the new software model allowed us to capture longer historical look-back periods (previously this was being captured in the subjective portion of the AFLL).</w:t>
      </w:r>
    </w:p>
    <w:p>
      <w:pPr>
        <w:pStyle w:val="TextBody"/>
        <w:spacing w:before="0" w:after="0"/>
        <w:rPr/>
      </w:pPr>
      <w:r>
        <w:rPr/>
      </w:r>
    </w:p>
    <w:p>
      <w:pPr>
        <w:pStyle w:val="TextBody"/>
        <w:spacing w:before="0" w:after="0"/>
        <w:jc w:val="both"/>
        <w:rPr/>
      </w:pPr>
      <w:r>
        <w:rPr/>
        <w:t>Two of the four components of the AFLL outlined above increased during the first six months of 2019. The AFLL related to specific loans decreased $0.3 million during the first six months of 2019 due primarily to a $3.0 million decline in the amount of such loans.  The AFLL related to other adversely rated commercial loans increased $1.0 million during the first six months of 2019, primarily due to an increase in the balance of such loans included in this component to $59.0 million at June 30, 2019 from $44.7 million at December 31, 2018.  The increase in other adversely rated commercial loans was primarily in early watch credit categories and these loans are largely performing.  We do not believe that we will experience any significant loan losses as a result of this rise in other adversely rated commercial loans.  The AFLL related to historical losses increased $0.7 million during the first six months of 2019, and the AFLL related to subjective factors decreased $0.5 million during the first six months of 2019, due primarily to the classification shifts discussed above.</w:t>
      </w:r>
    </w:p>
    <w:p>
      <w:pPr>
        <w:pStyle w:val="TextBody"/>
        <w:spacing w:before="0" w:after="0"/>
        <w:rPr/>
      </w:pPr>
      <w:r>
        <w:rPr/>
      </w:r>
    </w:p>
    <w:p>
      <w:pPr>
        <w:pStyle w:val="TextBody"/>
        <w:spacing w:before="0" w:after="0"/>
        <w:jc w:val="both"/>
        <w:rPr/>
      </w:pPr>
      <w:r>
        <w:rPr>
          <w:b/>
        </w:rPr>
        <w:t xml:space="preserve">Deposits and borrowings.  </w:t>
      </w:r>
      <w:r>
        <w:rPr/>
        <w:t>Historically, the loyalty of our customer base has allowed us to price deposits competitively, contributing to a net interest 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pStyle w:val="TextBody"/>
        <w:spacing w:before="0" w:after="0"/>
        <w:rPr/>
      </w:pPr>
      <w:r>
        <w:rPr/>
      </w:r>
    </w:p>
    <w:p>
      <w:pPr>
        <w:pStyle w:val="TextBody"/>
        <w:spacing w:before="0" w:after="0"/>
        <w:jc w:val="both"/>
        <w:rPr/>
      </w:pPr>
      <w:r>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39" w:name="DSPFPageBreakArea81"/>
      <w:bookmarkStart w:id="840" w:name="DSPFPageBreakArea81"/>
      <w:bookmarkEnd w:id="8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41" w:name="DSPFPageNumber81"/>
      <w:bookmarkStart w:id="842" w:name="DSPFPageNumberArea80"/>
      <w:bookmarkEnd w:id="841"/>
      <w:bookmarkEnd w:id="842"/>
      <w:r>
        <w:rPr>
          <w:b w:val="false"/>
          <w:i w:val="false"/>
          <w:caps w:val="false"/>
          <w:smallCaps w:val="false"/>
          <w:sz w:val="13"/>
        </w:rPr>
        <w:t>82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43" w:name="DSPFPageBreak81"/>
      <w:bookmarkStart w:id="844" w:name="DSPFPageBreak81"/>
      <w:bookmarkEnd w:id="8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45" w:name="DSPFPageHeader80"/>
        <w:bookmarkEnd w:id="84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pPr>
      <w:r>
        <w:rPr/>
        <w:t>Deposits totaled $2.98 billion and $2.91 billion at June 30, 2019 and December 31, 2018, respectively.  The $65.5 million increase in deposits during the first six months of 2019 is primarily due to growth in reciprocal deposits.  Reciprocal deposits totaled $326.3 million and $182.1 million at June 30, 2019 and December 31, 2018, respectively.  These deposits represent demand, money market and time deposits from our customers that have been placed through Promontory Interfinancial Network’s Insured Cash Sweep® service and Certificate of Deposit Account Registry Service®.  These services allow our customers to access multi-million dollar FDIC deposit insurance on deposit balances greater than the standard FDIC insurance maximum.  The significant increase in reciprocal deposits is due in part to an automated sweep product that we introduced in mid-2018 as well as the marketing and sales efforts of our treasury management team.</w:t>
      </w:r>
    </w:p>
    <w:p>
      <w:pPr>
        <w:pStyle w:val="TextBody"/>
        <w:spacing w:before="0" w:after="0"/>
        <w:rPr/>
      </w:pPr>
      <w:r>
        <w:rPr/>
      </w:r>
    </w:p>
    <w:p>
      <w:pPr>
        <w:pStyle w:val="TextBody"/>
        <w:spacing w:before="0" w:after="0"/>
        <w:jc w:val="both"/>
        <w:rPr/>
      </w:pPr>
      <w:r>
        <w:rPr/>
        <w:t>We cannot be sure that we will be able to maintain our current level of core deposits. In particular, those deposits that are uninsured may be susceptible to outflow. At June 30, 2019, we had approximately $491.9 million of uninsured deposits. A reduction in core deposits would likely increase our need to rely on wholesale funding sources.</w:t>
      </w:r>
    </w:p>
    <w:p>
      <w:pPr>
        <w:pStyle w:val="TextBody"/>
        <w:spacing w:before="0" w:after="0"/>
        <w:rPr/>
      </w:pPr>
      <w:r>
        <w:rPr/>
      </w:r>
    </w:p>
    <w:p>
      <w:pPr>
        <w:pStyle w:val="TextBody"/>
        <w:spacing w:before="0" w:after="0"/>
        <w:jc w:val="both"/>
        <w:rPr/>
      </w:pPr>
      <w:r>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pStyle w:val="TextBody"/>
        <w:spacing w:before="0" w:after="0"/>
        <w:rPr/>
      </w:pPr>
      <w:r>
        <w:rPr/>
      </w:r>
    </w:p>
    <w:p>
      <w:pPr>
        <w:pStyle w:val="TextBody"/>
        <w:spacing w:before="0" w:after="0"/>
        <w:ind w:left="0" w:right="118" w:hanging="0"/>
        <w:jc w:val="both"/>
        <w:rPr/>
      </w:pPr>
      <w:r>
        <w:rPr/>
        <w:t>Other borrowings, comprised primarily of advances from the FHLB, totaled $41.1 million and $25.7 million at June 30, 2019 and December 31, 2018, respectively.</w:t>
      </w:r>
    </w:p>
    <w:p>
      <w:pPr>
        <w:pStyle w:val="TextBody"/>
        <w:spacing w:before="0" w:after="0"/>
        <w:rPr/>
      </w:pPr>
      <w:r>
        <w:rPr/>
      </w:r>
    </w:p>
    <w:p>
      <w:pPr>
        <w:pStyle w:val="TextBody"/>
        <w:spacing w:before="0" w:after="0"/>
        <w:jc w:val="both"/>
        <w:rPr/>
      </w:pPr>
      <w:r>
        <w:rPr/>
        <w:t>As described above, we utilize wholesale funding, including FHLB borrowings and Brokered CDs to augment our core deposits and fund a portion of our assets. At June 30, 2019, our use of such wholesale funding sources (including reciprocal deposits) amounted to approximately $612.2 million, or 20.3%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pStyle w:val="TextBody"/>
        <w:spacing w:before="0" w:after="0"/>
        <w:rPr/>
      </w:pPr>
      <w:r>
        <w:rPr/>
      </w:r>
    </w:p>
    <w:p>
      <w:pPr>
        <w:pStyle w:val="TextBody"/>
        <w:spacing w:before="0" w:after="0"/>
        <w:jc w:val="both"/>
        <w:rPr/>
      </w:pPr>
      <w:r>
        <w:rPr/>
        <w:t>We historically employed derivative financial instruments to manage our exposure to changes in interest rates.  During the first six months of 2019 and 2018, we entered into $17.6 million and $10.4 million (aggregate notional amounts), respectively, of interest rate swaps with commercial loan customers, which were offset with interest rate swaps that the Bank entered into with a broker-dealer. We recorded $0.25 million and $0.33 million of fee income related to these transactions during the first six months of 2019 and 2018, respectively. See note #6 to the Condensed Consolidated Financial Statements included within this report for more information on our derivative financial instruments.</w:t>
      </w:r>
    </w:p>
    <w:p>
      <w:pPr>
        <w:pStyle w:val="TextBody"/>
        <w:spacing w:before="0" w:after="0"/>
        <w:jc w:val="both"/>
        <w:rPr/>
      </w:pPr>
      <w:r>
        <w:rPr/>
      </w:r>
    </w:p>
    <w:p>
      <w:pPr>
        <w:pStyle w:val="TextBody"/>
        <w:spacing w:before="0" w:after="0"/>
        <w:jc w:val="both"/>
        <w:rPr/>
      </w:pPr>
      <w:r>
        <w:rPr>
          <w:b/>
        </w:rPr>
        <w:t>Liquidity and capital resources.</w:t>
      </w:r>
      <w:r>
        <w:rPr/>
        <w:t xml:space="preserve"> Liquidity risk is the risk of being unable to timely meet obligations as they come due at a reasonable funding cost or 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46" w:name="DSPFPageBreakArea82"/>
      <w:bookmarkStart w:id="847" w:name="DSPFPageBreakArea82"/>
      <w:bookmarkEnd w:id="8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48" w:name="DSPFPageNumber82"/>
      <w:bookmarkStart w:id="849" w:name="DSPFPageNumberArea81"/>
      <w:bookmarkEnd w:id="848"/>
      <w:bookmarkEnd w:id="849"/>
      <w:r>
        <w:rPr>
          <w:b w:val="false"/>
          <w:i w:val="false"/>
          <w:caps w:val="false"/>
          <w:smallCaps w:val="false"/>
          <w:sz w:val="13"/>
        </w:rPr>
        <w:t>83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50" w:name="DSPFPageBreak82"/>
      <w:bookmarkStart w:id="851" w:name="DSPFPageBreak82"/>
      <w:bookmarkEnd w:id="8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52" w:name="DSPFPageHeader81"/>
        <w:bookmarkEnd w:id="852"/>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Our primary sources of funds include our deposit base, secured advances from the FHLB, federal funds purchased borrowing facilities with other banks, and access to the capital markets (for Brokered CDs).</w:t>
      </w:r>
    </w:p>
    <w:p>
      <w:pPr>
        <w:pStyle w:val="TextBody"/>
        <w:spacing w:before="0" w:after="0"/>
        <w:rPr/>
      </w:pPr>
      <w:r>
        <w:rPr/>
      </w:r>
    </w:p>
    <w:p>
      <w:pPr>
        <w:pStyle w:val="TextBody"/>
        <w:spacing w:before="0" w:after="0"/>
        <w:ind w:left="0" w:right="118" w:hanging="0"/>
        <w:jc w:val="both"/>
        <w:rPr/>
      </w:pPr>
      <w:r>
        <w:rPr/>
        <w:t>At June 30, 2019, we had $556.2 million of time deposits that mature in the next 12 months. Historically, a majority of these maturing time deposits are renewed by our customers. Additionally, $2.29 billion of our deposits at June 30, 2019,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pStyle w:val="TextBody"/>
        <w:spacing w:before="0" w:after="0"/>
        <w:rPr/>
      </w:pPr>
      <w:r>
        <w:rPr/>
      </w:r>
    </w:p>
    <w:p>
      <w:pPr>
        <w:pStyle w:val="TextBody"/>
        <w:spacing w:before="0" w:after="0"/>
        <w:jc w:val="both"/>
        <w:rPr/>
      </w:pPr>
      <w:r>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pStyle w:val="TextBody"/>
        <w:spacing w:before="0" w:after="0"/>
        <w:rPr/>
      </w:pPr>
      <w:r>
        <w:rPr/>
      </w:r>
    </w:p>
    <w:p>
      <w:pPr>
        <w:pStyle w:val="TextBody"/>
        <w:spacing w:before="0" w:after="0"/>
        <w:jc w:val="both"/>
        <w:rPr/>
      </w:pPr>
      <w:r>
        <w:rPr/>
        <w:t>We believe that we currently have adequate liquidity at our Bank because of our cash and cash equivalents, our portfolio of securities available for sale, our access to secured advances from the FHLB and our ability to issue Brokered CDs.</w:t>
      </w:r>
    </w:p>
    <w:p>
      <w:pPr>
        <w:pStyle w:val="TextBody"/>
        <w:spacing w:before="0" w:after="0"/>
        <w:rPr/>
      </w:pPr>
      <w:r>
        <w:rPr/>
      </w:r>
    </w:p>
    <w:p>
      <w:pPr>
        <w:pStyle w:val="TextBody"/>
        <w:spacing w:before="0" w:after="0"/>
        <w:jc w:val="both"/>
        <w:rPr/>
      </w:pPr>
      <w:r>
        <w:rPr/>
        <w:t>We also believe that the available cash on hand at the parent company (including time deposits) of approximately $13.3 million as of June 30, 2019 provides sufficient liquidity resources at the parent company to meet operating expenses, to make interest payments on the subordinated debentures, and to pay projected cash dividends on our common stock.</w:t>
      </w:r>
    </w:p>
    <w:p>
      <w:pPr>
        <w:pStyle w:val="TextBody"/>
        <w:spacing w:before="0" w:after="0"/>
        <w:rPr/>
      </w:pPr>
      <w:r>
        <w:rPr/>
      </w:r>
    </w:p>
    <w:p>
      <w:pPr>
        <w:pStyle w:val="TextBody"/>
        <w:spacing w:before="0" w:after="0"/>
        <w:jc w:val="both"/>
        <w:rPr/>
      </w:pPr>
      <w:r>
        <w:rPr/>
        <w:t>Effective management of capital resources is critical to our mission to create value for our shareholders. In addition to common stock, our capital structure also currently includes cumulative trust preferred securities.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53" w:name="DSPFPageBreakArea83"/>
      <w:bookmarkStart w:id="854" w:name="DSPFPageBreakArea83"/>
      <w:bookmarkEnd w:id="8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55" w:name="DSPFPageNumber83"/>
      <w:bookmarkStart w:id="856" w:name="DSPFPageNumberArea82"/>
      <w:bookmarkEnd w:id="855"/>
      <w:bookmarkEnd w:id="856"/>
      <w:r>
        <w:rPr>
          <w:b w:val="false"/>
          <w:i w:val="false"/>
          <w:caps w:val="false"/>
          <w:smallCaps w:val="false"/>
          <w:sz w:val="13"/>
        </w:rPr>
        <w:t>84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57" w:name="DSPFPageBreak83"/>
      <w:bookmarkStart w:id="858" w:name="DSPFPageBreak83"/>
      <w:bookmarkEnd w:id="8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59" w:name="DSPFPageHeader82"/>
        <w:bookmarkEnd w:id="859"/>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rPr>
      </w:pPr>
      <w:r>
        <w:rPr>
          <w:b/>
        </w:rPr>
        <w:t>Capitalization</w:t>
      </w:r>
    </w:p>
    <w:p>
      <w:pPr>
        <w:pStyle w:val="Normal"/>
        <w:spacing w:before="0" w:after="0"/>
        <w:rPr>
          <w:sz w:val="4"/>
          <w:szCs w:val="4"/>
        </w:rPr>
      </w:pPr>
      <w:r>
        <w:rPr>
          <w:sz w:val="4"/>
          <w:szCs w:val="4"/>
        </w:rPr>
      </w:r>
      <w:bookmarkStart w:id="860" w:name="zdced1e08326f4569a4f77567b8c87fc8"/>
      <w:bookmarkStart w:id="861" w:name="zdced1e08326f4569a4f77567b8c87fc8"/>
      <w:bookmarkEnd w:id="861"/>
    </w:p>
    <w:tbl>
      <w:tblPr>
        <w:tblW w:w="6734" w:type="dxa"/>
        <w:jc w:val="left"/>
        <w:tblInd w:w="0" w:type="dxa"/>
        <w:tblCellMar>
          <w:top w:w="0" w:type="dxa"/>
          <w:left w:w="0" w:type="dxa"/>
          <w:bottom w:w="0" w:type="dxa"/>
          <w:right w:w="0" w:type="dxa"/>
        </w:tblCellMar>
      </w:tblPr>
      <w:tblGrid>
        <w:gridCol w:w="4130"/>
        <w:gridCol w:w="60"/>
        <w:gridCol w:w="140"/>
        <w:gridCol w:w="800"/>
        <w:gridCol w:w="95"/>
        <w:gridCol w:w="60"/>
        <w:gridCol w:w="201"/>
        <w:gridCol w:w="1153"/>
        <w:gridCol w:w="95"/>
      </w:tblGrid>
      <w:tr>
        <w:trPr/>
        <w:tc>
          <w:tcPr>
            <w:tcW w:w="4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pPr>
            <w:r>
              <w:rPr/>
              <w:t>June 30,</w:t>
            </w:r>
          </w:p>
          <w:p>
            <w:pPr>
              <w:pStyle w:val="TableContents"/>
              <w:spacing w:before="0" w:after="0"/>
              <w:jc w:val="center"/>
              <w:rPr/>
            </w:pPr>
            <w:r>
              <w:rPr/>
              <w:t>2019</w:t>
            </w:r>
          </w:p>
        </w:tc>
        <w:tc>
          <w:tcPr>
            <w:tcW w:w="95"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jc w:val="center"/>
              <w:rPr/>
            </w:pPr>
            <w:r>
              <w:rPr/>
              <w:t> </w:t>
            </w:r>
          </w:p>
        </w:tc>
        <w:tc>
          <w:tcPr>
            <w:tcW w:w="1354" w:type="dxa"/>
            <w:gridSpan w:val="2"/>
            <w:tcBorders>
              <w:bottom w:val="single" w:sz="12" w:space="0" w:color="000000"/>
            </w:tcBorders>
            <w:shd w:fill="auto" w:val="clear"/>
            <w:tcMar>
              <w:bottom w:w="28" w:type="dxa"/>
            </w:tcMar>
            <w:vAlign w:val="bottom"/>
          </w:tcPr>
          <w:p>
            <w:pPr>
              <w:pStyle w:val="TableContents"/>
              <w:spacing w:before="0" w:after="0"/>
              <w:jc w:val="center"/>
              <w:rPr/>
            </w:pPr>
            <w:r>
              <w:rPr/>
              <w:t>December 31,</w:t>
            </w:r>
          </w:p>
          <w:p>
            <w:pPr>
              <w:pStyle w:val="TableContents"/>
              <w:spacing w:before="0" w:after="0"/>
              <w:jc w:val="center"/>
              <w:rPr/>
            </w:pPr>
            <w:r>
              <w:rPr/>
              <w:t>2018</w:t>
            </w:r>
          </w:p>
        </w:tc>
        <w:tc>
          <w:tcPr>
            <w:tcW w:w="95" w:type="dxa"/>
            <w:tcBorders/>
            <w:shd w:fill="auto" w:val="clear"/>
            <w:vAlign w:val="bottom"/>
          </w:tcPr>
          <w:p>
            <w:pPr>
              <w:pStyle w:val="TableContents"/>
              <w:spacing w:before="0" w:after="283"/>
              <w:rPr/>
            </w:pPr>
            <w:r>
              <w:rPr/>
              <w:t> </w:t>
            </w:r>
          </w:p>
        </w:tc>
      </w:tr>
      <w:tr>
        <w:trPr/>
        <w:tc>
          <w:tcPr>
            <w:tcW w:w="4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49" w:type="dxa"/>
            <w:gridSpan w:val="6"/>
            <w:tcBorders/>
            <w:shd w:fill="auto" w:val="clear"/>
            <w:vAlign w:val="bottom"/>
          </w:tcPr>
          <w:p>
            <w:pPr>
              <w:pStyle w:val="TableContents"/>
              <w:spacing w:before="0" w:after="0"/>
              <w:jc w:val="center"/>
              <w:rPr/>
            </w:pPr>
            <w:r>
              <w:rPr/>
              <w:t>(In thousands)</w:t>
            </w:r>
          </w:p>
        </w:tc>
        <w:tc>
          <w:tcPr>
            <w:tcW w:w="95" w:type="dxa"/>
            <w:tcBorders/>
            <w:shd w:fill="auto" w:val="clear"/>
            <w:vAlign w:val="bottom"/>
          </w:tcPr>
          <w:p>
            <w:pPr>
              <w:pStyle w:val="TableContents"/>
              <w:spacing w:before="0" w:after="283"/>
              <w:rPr/>
            </w:pPr>
            <w:r>
              <w:rPr/>
              <w:t> </w:t>
            </w:r>
          </w:p>
        </w:tc>
      </w:tr>
      <w:tr>
        <w:trPr/>
        <w:tc>
          <w:tcPr>
            <w:tcW w:w="4130" w:type="dxa"/>
            <w:tcBorders/>
            <w:shd w:fill="CCEEFF" w:val="clear"/>
            <w:vAlign w:val="bottom"/>
          </w:tcPr>
          <w:p>
            <w:pPr>
              <w:pStyle w:val="TableContents"/>
              <w:spacing w:before="0" w:after="0"/>
              <w:ind w:left="144" w:right="0" w:hanging="144"/>
              <w:rPr/>
            </w:pPr>
            <w:r>
              <w:rPr/>
              <w:t>Subordinated debentures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39,422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pPr>
            <w:r>
              <w:rPr/>
              <w:t>$</w:t>
            </w:r>
          </w:p>
        </w:tc>
        <w:tc>
          <w:tcPr>
            <w:tcW w:w="1153" w:type="dxa"/>
            <w:tcBorders/>
            <w:shd w:fill="CCEEFF" w:val="clear"/>
            <w:vAlign w:val="bottom"/>
          </w:tcPr>
          <w:p>
            <w:pPr>
              <w:pStyle w:val="TableContents"/>
              <w:spacing w:before="0" w:after="0"/>
              <w:jc w:val="right"/>
              <w:rPr/>
            </w:pPr>
            <w:r>
              <w:rPr/>
              <w:t>39,388</w:t>
            </w:r>
          </w:p>
        </w:tc>
        <w:tc>
          <w:tcPr>
            <w:tcW w:w="95" w:type="dxa"/>
            <w:tcBorders/>
            <w:shd w:fill="CCEEFF" w:val="clear"/>
            <w:vAlign w:val="bottom"/>
          </w:tcPr>
          <w:p>
            <w:pPr>
              <w:pStyle w:val="TableContents"/>
              <w:spacing w:before="0" w:after="283"/>
              <w:rPr/>
            </w:pPr>
            <w:r>
              <w:rPr/>
              <w:t> </w:t>
            </w:r>
          </w:p>
        </w:tc>
      </w:tr>
      <w:tr>
        <w:trPr/>
        <w:tc>
          <w:tcPr>
            <w:tcW w:w="4130" w:type="dxa"/>
            <w:tcBorders/>
            <w:shd w:fill="FFFFFF" w:val="clear"/>
            <w:vAlign w:val="bottom"/>
          </w:tcPr>
          <w:p>
            <w:pPr>
              <w:pStyle w:val="TableContents"/>
              <w:spacing w:before="0" w:after="0"/>
              <w:ind w:left="144" w:right="0" w:hanging="144"/>
              <w:rPr/>
            </w:pPr>
            <w:r>
              <w:rPr/>
              <w:t>Amount not qualifying as regulatory capital</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00" w:type="dxa"/>
            <w:tcBorders>
              <w:bottom w:val="single" w:sz="12" w:space="0" w:color="000000"/>
            </w:tcBorders>
            <w:shd w:fill="FFFFFF" w:val="clear"/>
            <w:tcMar>
              <w:bottom w:w="28" w:type="dxa"/>
            </w:tcMar>
            <w:vAlign w:val="bottom"/>
          </w:tcPr>
          <w:p>
            <w:pPr>
              <w:pStyle w:val="TableContents"/>
              <w:spacing w:before="0" w:after="0"/>
              <w:jc w:val="right"/>
              <w:rPr/>
            </w:pPr>
            <w:r>
              <w:rPr/>
              <w:t>(1,224</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53" w:type="dxa"/>
            <w:tcBorders>
              <w:bottom w:val="single" w:sz="12" w:space="0" w:color="000000"/>
            </w:tcBorders>
            <w:shd w:fill="FFFFFF" w:val="clear"/>
            <w:tcMar>
              <w:bottom w:w="28" w:type="dxa"/>
            </w:tcMar>
            <w:vAlign w:val="bottom"/>
          </w:tcPr>
          <w:p>
            <w:pPr>
              <w:pStyle w:val="TableContents"/>
              <w:spacing w:before="0" w:after="0"/>
              <w:jc w:val="right"/>
              <w:rPr/>
            </w:pPr>
            <w:r>
              <w:rPr/>
              <w:t>(1,224</w:t>
            </w:r>
          </w:p>
        </w:tc>
        <w:tc>
          <w:tcPr>
            <w:tcW w:w="95" w:type="dxa"/>
            <w:tcBorders/>
            <w:shd w:fill="FFFFFF" w:val="clear"/>
            <w:vAlign w:val="bottom"/>
          </w:tcPr>
          <w:p>
            <w:pPr>
              <w:pStyle w:val="TableContents"/>
              <w:spacing w:before="0" w:after="0"/>
              <w:rPr/>
            </w:pPr>
            <w:r>
              <w:rPr/>
              <w:t>)</w:t>
            </w:r>
          </w:p>
        </w:tc>
      </w:tr>
      <w:tr>
        <w:trPr/>
        <w:tc>
          <w:tcPr>
            <w:tcW w:w="4130" w:type="dxa"/>
            <w:tcBorders/>
            <w:shd w:fill="CCEEFF" w:val="clear"/>
            <w:vAlign w:val="bottom"/>
          </w:tcPr>
          <w:p>
            <w:pPr>
              <w:pStyle w:val="TableContents"/>
              <w:spacing w:before="0" w:after="0"/>
              <w:ind w:left="324" w:right="0" w:hanging="144"/>
              <w:rPr/>
            </w:pPr>
            <w:r>
              <w:rPr/>
              <w:t>Amount qualifying as regulatory capital</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38,198</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53" w:type="dxa"/>
            <w:tcBorders>
              <w:bottom w:val="single" w:sz="12" w:space="0" w:color="000000"/>
            </w:tcBorders>
            <w:shd w:fill="CCEEFF" w:val="clear"/>
            <w:tcMar>
              <w:bottom w:w="28" w:type="dxa"/>
            </w:tcMar>
            <w:vAlign w:val="bottom"/>
          </w:tcPr>
          <w:p>
            <w:pPr>
              <w:pStyle w:val="TableContents"/>
              <w:spacing w:before="0" w:after="0"/>
              <w:jc w:val="right"/>
              <w:rPr/>
            </w:pPr>
            <w:r>
              <w:rPr/>
              <w:t>38,164</w:t>
            </w:r>
          </w:p>
        </w:tc>
        <w:tc>
          <w:tcPr>
            <w:tcW w:w="95" w:type="dxa"/>
            <w:tcBorders/>
            <w:shd w:fill="CCEEFF" w:val="clear"/>
            <w:vAlign w:val="bottom"/>
          </w:tcPr>
          <w:p>
            <w:pPr>
              <w:pStyle w:val="TableContents"/>
              <w:spacing w:before="0" w:after="283"/>
              <w:rPr/>
            </w:pPr>
            <w:r>
              <w:rPr/>
              <w:t> </w:t>
            </w:r>
          </w:p>
        </w:tc>
      </w:tr>
      <w:tr>
        <w:trPr/>
        <w:tc>
          <w:tcPr>
            <w:tcW w:w="4130" w:type="dxa"/>
            <w:tcBorders/>
            <w:shd w:fill="FFFFFF" w:val="clear"/>
            <w:vAlign w:val="bottom"/>
          </w:tcPr>
          <w:p>
            <w:pPr>
              <w:pStyle w:val="TableContents"/>
              <w:spacing w:before="0" w:after="0"/>
              <w:ind w:left="144" w:right="0" w:hanging="144"/>
              <w:rPr/>
            </w:pPr>
            <w:r>
              <w:rPr/>
              <w:t>Shareholders’ equity</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53"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rPr/>
            </w:pPr>
            <w:r>
              <w:rPr/>
              <w:t> </w:t>
            </w:r>
          </w:p>
        </w:tc>
      </w:tr>
      <w:tr>
        <w:trPr/>
        <w:tc>
          <w:tcPr>
            <w:tcW w:w="4130" w:type="dxa"/>
            <w:tcBorders/>
            <w:shd w:fill="CCEEFF" w:val="clear"/>
            <w:vAlign w:val="bottom"/>
          </w:tcPr>
          <w:p>
            <w:pPr>
              <w:pStyle w:val="TableContents"/>
              <w:spacing w:before="0" w:after="0"/>
              <w:ind w:left="324" w:right="0" w:hanging="144"/>
              <w:rPr/>
            </w:pPr>
            <w:r>
              <w:rPr/>
              <w:t>Common stock</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351,894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153" w:type="dxa"/>
            <w:tcBorders/>
            <w:shd w:fill="CCEEFF" w:val="clear"/>
            <w:vAlign w:val="bottom"/>
          </w:tcPr>
          <w:p>
            <w:pPr>
              <w:pStyle w:val="TableContents"/>
              <w:spacing w:before="0" w:after="0"/>
              <w:jc w:val="right"/>
              <w:rPr/>
            </w:pPr>
            <w:r>
              <w:rPr/>
              <w:t>377,372</w:t>
            </w:r>
          </w:p>
        </w:tc>
        <w:tc>
          <w:tcPr>
            <w:tcW w:w="95" w:type="dxa"/>
            <w:tcBorders/>
            <w:shd w:fill="CCEEFF" w:val="clear"/>
            <w:vAlign w:val="bottom"/>
          </w:tcPr>
          <w:p>
            <w:pPr>
              <w:pStyle w:val="TableContents"/>
              <w:spacing w:before="0" w:after="283"/>
              <w:rPr/>
            </w:pPr>
            <w:r>
              <w:rPr/>
              <w:t> </w:t>
            </w:r>
          </w:p>
        </w:tc>
      </w:tr>
      <w:tr>
        <w:trPr/>
        <w:tc>
          <w:tcPr>
            <w:tcW w:w="4130" w:type="dxa"/>
            <w:tcBorders/>
            <w:shd w:fill="FFFFFF" w:val="clear"/>
            <w:vAlign w:val="bottom"/>
          </w:tcPr>
          <w:p>
            <w:pPr>
              <w:pStyle w:val="TableContents"/>
              <w:spacing w:before="0" w:after="0"/>
              <w:ind w:left="324" w:right="0" w:hanging="144"/>
              <w:rPr/>
            </w:pPr>
            <w:r>
              <w:rPr/>
              <w:t>Accumulated deficit</w:t>
            </w:r>
          </w:p>
        </w:tc>
        <w:tc>
          <w:tcPr>
            <w:tcW w:w="60"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800" w:type="dxa"/>
            <w:tcBorders/>
            <w:shd w:fill="FFFFFF" w:val="clear"/>
            <w:vAlign w:val="bottom"/>
          </w:tcPr>
          <w:p>
            <w:pPr>
              <w:pStyle w:val="TableContents"/>
              <w:spacing w:before="0" w:after="0"/>
              <w:jc w:val="right"/>
              <w:rPr/>
            </w:pPr>
            <w:r>
              <w:rPr/>
              <w:t>(16,617</w:t>
            </w:r>
          </w:p>
        </w:tc>
        <w:tc>
          <w:tcPr>
            <w:tcW w:w="95" w:type="dxa"/>
            <w:tcBorders/>
            <w:shd w:fill="FFFFFF" w:val="clear"/>
            <w:vAlign w:val="bottom"/>
          </w:tcPr>
          <w:p>
            <w:pPr>
              <w:pStyle w:val="TableContents"/>
              <w:spacing w:before="0" w:after="0"/>
              <w:rPr/>
            </w:pPr>
            <w:r>
              <w:rPr/>
              <w:t>)</w:t>
            </w:r>
          </w:p>
        </w:tc>
        <w:tc>
          <w:tcPr>
            <w:tcW w:w="60"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1153" w:type="dxa"/>
            <w:tcBorders/>
            <w:shd w:fill="FFFFFF" w:val="clear"/>
            <w:vAlign w:val="bottom"/>
          </w:tcPr>
          <w:p>
            <w:pPr>
              <w:pStyle w:val="TableContents"/>
              <w:spacing w:before="0" w:after="0"/>
              <w:jc w:val="right"/>
              <w:rPr/>
            </w:pPr>
            <w:r>
              <w:rPr/>
              <w:t>(28,270</w:t>
            </w:r>
          </w:p>
        </w:tc>
        <w:tc>
          <w:tcPr>
            <w:tcW w:w="95" w:type="dxa"/>
            <w:tcBorders/>
            <w:shd w:fill="FFFFFF" w:val="clear"/>
            <w:vAlign w:val="bottom"/>
          </w:tcPr>
          <w:p>
            <w:pPr>
              <w:pStyle w:val="TableContents"/>
              <w:spacing w:before="0" w:after="0"/>
              <w:rPr/>
            </w:pPr>
            <w:r>
              <w:rPr/>
              <w:t>)</w:t>
            </w:r>
          </w:p>
        </w:tc>
      </w:tr>
      <w:tr>
        <w:trPr/>
        <w:tc>
          <w:tcPr>
            <w:tcW w:w="4130" w:type="dxa"/>
            <w:tcBorders/>
            <w:shd w:fill="CCEEFF" w:val="clear"/>
            <w:vAlign w:val="bottom"/>
          </w:tcPr>
          <w:p>
            <w:pPr>
              <w:pStyle w:val="TableContents"/>
              <w:spacing w:before="0" w:after="0"/>
              <w:ind w:left="324" w:right="0" w:hanging="144"/>
              <w:rPr/>
            </w:pPr>
            <w:r>
              <w:rPr/>
              <w:t>Accumulated other comprehensive loss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(4,431</w:t>
            </w:r>
          </w:p>
        </w:tc>
        <w:tc>
          <w:tcPr>
            <w:tcW w:w="9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53" w:type="dxa"/>
            <w:tcBorders>
              <w:bottom w:val="single" w:sz="12" w:space="0" w:color="000000"/>
            </w:tcBorders>
            <w:shd w:fill="CCEEFF" w:val="clear"/>
            <w:tcMar>
              <w:bottom w:w="28" w:type="dxa"/>
            </w:tcMar>
            <w:vAlign w:val="bottom"/>
          </w:tcPr>
          <w:p>
            <w:pPr>
              <w:pStyle w:val="TableContents"/>
              <w:spacing w:before="0" w:after="0"/>
              <w:jc w:val="right"/>
              <w:rPr/>
            </w:pPr>
            <w:r>
              <w:rPr/>
              <w:t>(10,108</w:t>
            </w:r>
          </w:p>
        </w:tc>
        <w:tc>
          <w:tcPr>
            <w:tcW w:w="95" w:type="dxa"/>
            <w:tcBorders/>
            <w:shd w:fill="CCEEFF" w:val="clear"/>
            <w:vAlign w:val="bottom"/>
          </w:tcPr>
          <w:p>
            <w:pPr>
              <w:pStyle w:val="TableContents"/>
              <w:spacing w:before="0" w:after="0"/>
              <w:rPr/>
            </w:pPr>
            <w:r>
              <w:rPr/>
              <w:t>)</w:t>
            </w:r>
          </w:p>
        </w:tc>
      </w:tr>
      <w:tr>
        <w:trPr/>
        <w:tc>
          <w:tcPr>
            <w:tcW w:w="4130" w:type="dxa"/>
            <w:tcBorders/>
            <w:shd w:fill="FFFFFF" w:val="clear"/>
            <w:vAlign w:val="bottom"/>
          </w:tcPr>
          <w:p>
            <w:pPr>
              <w:pStyle w:val="TableContents"/>
              <w:spacing w:before="0" w:after="0"/>
              <w:ind w:left="504" w:right="0" w:hanging="144"/>
              <w:rPr/>
            </w:pPr>
            <w:r>
              <w:rPr/>
              <w:t>Total shareholders’ equity</w:t>
            </w:r>
          </w:p>
        </w:tc>
        <w:tc>
          <w:tcPr>
            <w:tcW w:w="60"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rPr/>
            </w:pPr>
            <w:r>
              <w:rPr/>
              <w:t> </w:t>
            </w:r>
          </w:p>
        </w:tc>
        <w:tc>
          <w:tcPr>
            <w:tcW w:w="800" w:type="dxa"/>
            <w:tcBorders>
              <w:bottom w:val="single" w:sz="12" w:space="0" w:color="000000"/>
            </w:tcBorders>
            <w:shd w:fill="FFFFFF" w:val="clear"/>
            <w:tcMar>
              <w:bottom w:w="28" w:type="dxa"/>
            </w:tcMar>
            <w:vAlign w:val="bottom"/>
          </w:tcPr>
          <w:p>
            <w:pPr>
              <w:pStyle w:val="TableContents"/>
              <w:spacing w:before="0" w:after="0"/>
              <w:jc w:val="right"/>
              <w:rPr/>
            </w:pPr>
            <w:r>
              <w:rPr/>
              <w:t>330,846</w:t>
            </w:r>
          </w:p>
        </w:tc>
        <w:tc>
          <w:tcPr>
            <w:tcW w:w="9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1"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153" w:type="dxa"/>
            <w:tcBorders>
              <w:bottom w:val="single" w:sz="12" w:space="0" w:color="000000"/>
            </w:tcBorders>
            <w:shd w:fill="FFFFFF" w:val="clear"/>
            <w:tcMar>
              <w:bottom w:w="28" w:type="dxa"/>
            </w:tcMar>
            <w:vAlign w:val="bottom"/>
          </w:tcPr>
          <w:p>
            <w:pPr>
              <w:pStyle w:val="TableContents"/>
              <w:spacing w:before="0" w:after="0"/>
              <w:jc w:val="right"/>
              <w:rPr/>
            </w:pPr>
            <w:r>
              <w:rPr/>
              <w:t>338,994</w:t>
            </w:r>
          </w:p>
        </w:tc>
        <w:tc>
          <w:tcPr>
            <w:tcW w:w="95" w:type="dxa"/>
            <w:tcBorders/>
            <w:shd w:fill="FFFFFF" w:val="clear"/>
            <w:vAlign w:val="bottom"/>
          </w:tcPr>
          <w:p>
            <w:pPr>
              <w:pStyle w:val="TableContents"/>
              <w:spacing w:before="0" w:after="283"/>
              <w:rPr/>
            </w:pPr>
            <w:r>
              <w:rPr/>
              <w:t> </w:t>
            </w:r>
          </w:p>
        </w:tc>
      </w:tr>
      <w:tr>
        <w:trPr/>
        <w:tc>
          <w:tcPr>
            <w:tcW w:w="4130" w:type="dxa"/>
            <w:tcBorders/>
            <w:shd w:fill="CCEEFF" w:val="clear"/>
            <w:vAlign w:val="bottom"/>
          </w:tcPr>
          <w:p>
            <w:pPr>
              <w:pStyle w:val="TableContents"/>
              <w:spacing w:before="0" w:after="0"/>
              <w:ind w:left="504" w:right="0" w:hanging="144"/>
              <w:rPr/>
            </w:pPr>
            <w:r>
              <w:rPr/>
              <w:t>Total capitalization</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pPr>
            <w:r>
              <w:rPr/>
              <w:t>369,044</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rPr/>
            </w:pPr>
            <w:r>
              <w:rPr/>
              <w:t>$</w:t>
            </w:r>
          </w:p>
        </w:tc>
        <w:tc>
          <w:tcPr>
            <w:tcW w:w="1153" w:type="dxa"/>
            <w:tcBorders>
              <w:bottom w:val="double" w:sz="8" w:space="0" w:color="000000"/>
            </w:tcBorders>
            <w:shd w:fill="CCEEFF" w:val="clear"/>
            <w:tcMar>
              <w:bottom w:w="28" w:type="dxa"/>
            </w:tcMar>
            <w:vAlign w:val="bottom"/>
          </w:tcPr>
          <w:p>
            <w:pPr>
              <w:pStyle w:val="TableContents"/>
              <w:spacing w:before="0" w:after="0"/>
              <w:jc w:val="right"/>
              <w:rPr/>
            </w:pPr>
            <w:r>
              <w:rPr/>
              <w:t>377,158</w:t>
            </w:r>
          </w:p>
        </w:tc>
        <w:tc>
          <w:tcPr>
            <w:tcW w:w="95" w:type="dxa"/>
            <w:tcBorders/>
            <w:shd w:fill="CCEEFF" w:val="cle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pPr>
      <w:r>
        <w:rPr/>
        <w:t>We currently have four special purpose entities with $39.4 million of outstanding cumulative trust preferred securities as of June 30, 2019.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pStyle w:val="TextBody"/>
        <w:spacing w:before="0" w:after="0"/>
        <w:rPr/>
      </w:pPr>
      <w:r>
        <w:rPr/>
      </w:r>
    </w:p>
    <w:p>
      <w:pPr>
        <w:pStyle w:val="TextBody"/>
        <w:spacing w:before="0" w:after="0"/>
        <w:jc w:val="both"/>
        <w:rPr/>
      </w:pPr>
      <w:r>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June 30, 2019 and December 31, 2018.</w:t>
      </w:r>
    </w:p>
    <w:p>
      <w:pPr>
        <w:pStyle w:val="TextBody"/>
        <w:spacing w:before="0" w:after="0"/>
        <w:rPr/>
      </w:pPr>
      <w:r>
        <w:rPr/>
      </w:r>
    </w:p>
    <w:p>
      <w:pPr>
        <w:pStyle w:val="TextBody"/>
        <w:spacing w:before="0" w:after="0"/>
        <w:jc w:val="both"/>
        <w:rPr>
          <w:color w:val="000000"/>
        </w:rPr>
      </w:pPr>
      <w:r>
        <w:rPr>
          <w:color w:val="000000"/>
        </w:rPr>
        <w:t>Common shareholders’ equity decreased to $330.8 million at June 30, 2019, from $339.0 million at December 31, 2018, due primarily to our share repurchases and cash dividend payments that were partially offset by our net income and a decrease in our accumulated other comprehensive loss. Our tangible common equity (“TCE”) totaled $296.7 million and $304.3 million, respectively, at those same dates. Our ratio of TCE to tangible assets was 8.72% and 9.17% at June 30, 2019, and December 31, 2018, respectively.  TCE and the ratio of TCE to tangible assets are non-GAAP measures.  TCE represents total common equity less goodwill and other intangible assets.</w:t>
      </w:r>
    </w:p>
    <w:p>
      <w:pPr>
        <w:pStyle w:val="TextBody"/>
        <w:spacing w:before="0" w:after="0"/>
        <w:rPr/>
      </w:pPr>
      <w:r>
        <w:rPr/>
      </w:r>
    </w:p>
    <w:p>
      <w:pPr>
        <w:pStyle w:val="TextBody"/>
        <w:spacing w:before="0" w:after="0"/>
        <w:jc w:val="both"/>
        <w:rPr/>
      </w:pPr>
      <w:r>
        <w:rPr/>
        <w:t xml:space="preserve">In December 2018, our Board of Directors authorized a 2019 share repurchase plan.  Under the terms of the original 2019 share repurchase plan, we were authorized to buy back up to 5% of our outstanding common stock.  </w:t>
      </w:r>
      <w:r>
        <w:rPr>
          <w:highlight w:val="white"/>
        </w:rPr>
        <w:t xml:space="preserve">During the first six months of 2019, we completed the repurchase of 5% of our outstanding common shares (1,179,688 shares at a weighted average purchase price of $21.85 per share). In June 2019, </w:t>
      </w:r>
      <w:r>
        <w:rPr/>
        <w:t>our Board of Directors supplemented the 2019 share repurchase plan and authorized the repurchase of up to 300,000 additional common shares.</w:t>
      </w:r>
      <w:r>
        <w:rPr>
          <w:highlight w:val="white"/>
        </w:rPr>
        <w:t xml:space="preserve"> The 2019 share repurchase plan is authorized to last through December 31, 2019.</w:t>
      </w:r>
    </w:p>
    <w:p>
      <w:pPr>
        <w:pStyle w:val="TextBody"/>
        <w:spacing w:before="0" w:after="0"/>
        <w:jc w:val="both"/>
        <w:rPr>
          <w:highlight w:val="white"/>
        </w:rPr>
      </w:pPr>
      <w:r>
        <w:rPr>
          <w:highlight w:val="whit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62" w:name="DSPFPageBreakArea84"/>
      <w:bookmarkStart w:id="863" w:name="DSPFPageBreakArea84"/>
      <w:bookmarkEnd w:id="8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64" w:name="DSPFPageNumber84"/>
      <w:bookmarkStart w:id="865" w:name="DSPFPageNumberArea83"/>
      <w:bookmarkEnd w:id="864"/>
      <w:bookmarkEnd w:id="865"/>
      <w:r>
        <w:rPr>
          <w:b w:val="false"/>
          <w:i w:val="false"/>
          <w:caps w:val="false"/>
          <w:smallCaps w:val="false"/>
          <w:sz w:val="13"/>
        </w:rPr>
        <w:t>85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6" w:name="DSPFPageBreak84"/>
      <w:bookmarkStart w:id="867" w:name="DSPFPageBreak84"/>
      <w:bookmarkEnd w:id="8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68" w:name="DSPFPageHeader83"/>
        <w:bookmarkEnd w:id="868"/>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We pay a quarterly cash dividend on our common stock.  These dividends totaled $0.18 per share in the first and second quarters of 2019 and $0.15 per share in the first and second quarters 2018.    We generally favor a dividend payout ratio between 30% and 50% of net income.</w:t>
      </w:r>
    </w:p>
    <w:p>
      <w:pPr>
        <w:pStyle w:val="TextBody"/>
        <w:spacing w:before="0" w:after="0"/>
        <w:rPr/>
      </w:pPr>
      <w:r>
        <w:rPr/>
      </w:r>
    </w:p>
    <w:p>
      <w:pPr>
        <w:pStyle w:val="TextBody"/>
        <w:spacing w:before="0" w:after="0"/>
        <w:jc w:val="both"/>
        <w:rPr/>
      </w:pPr>
      <w:r>
        <w:rPr/>
        <w:t>As of June 30, 2019 and December 31, 2018, our Bank (and holding company) continued to meet the requirements to be considered “well-capitalized” under federal regulatory standards (also see note #10 to the Condensed Consolidated Financial Statements included within this report).</w:t>
      </w:r>
    </w:p>
    <w:p>
      <w:pPr>
        <w:pStyle w:val="TextBody"/>
        <w:spacing w:before="0" w:after="0"/>
        <w:rPr/>
      </w:pPr>
      <w:r>
        <w:rPr/>
      </w:r>
    </w:p>
    <w:p>
      <w:pPr>
        <w:pStyle w:val="TextBody"/>
        <w:spacing w:before="0" w:after="0"/>
        <w:jc w:val="both"/>
        <w:rPr/>
      </w:pPr>
      <w:r>
        <w:rPr>
          <w:b/>
        </w:rPr>
        <w:t xml:space="preserve">Asset/liability management.  </w:t>
      </w:r>
      <w:r>
        <w:rPr/>
        <w:t>Interest-rate risk is created by differences in the cash flow characteristics of our assets and liabilities. Options embedded in certain financial instruments, including caps on adjustable-rate loans as well as borrowers’ rights to prepay fixed-rate loans, also create interest-rate risk.</w:t>
      </w:r>
    </w:p>
    <w:p>
      <w:pPr>
        <w:pStyle w:val="TextBody"/>
        <w:spacing w:before="0" w:after="0"/>
        <w:rPr/>
      </w:pPr>
      <w:r>
        <w:rPr/>
      </w:r>
    </w:p>
    <w:p>
      <w:pPr>
        <w:pStyle w:val="TextBody"/>
        <w:spacing w:before="0" w:after="0"/>
        <w:jc w:val="both"/>
        <w:rPr/>
      </w:pPr>
      <w:r>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pStyle w:val="TextBody"/>
        <w:spacing w:before="0" w:after="0"/>
        <w:rPr/>
      </w:pPr>
      <w:r>
        <w:rPr/>
      </w:r>
    </w:p>
    <w:p>
      <w:pPr>
        <w:pStyle w:val="TextBody"/>
        <w:spacing w:before="0" w:after="0"/>
        <w:jc w:val="both"/>
        <w:rPr/>
      </w:pPr>
      <w:r>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69" w:name="DSPFPageBreakArea85"/>
      <w:bookmarkStart w:id="870" w:name="DSPFPageBreakArea85"/>
      <w:bookmarkEnd w:id="8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71" w:name="DSPFPageNumber85"/>
      <w:bookmarkStart w:id="872" w:name="DSPFPageNumberArea84"/>
      <w:bookmarkEnd w:id="871"/>
      <w:bookmarkEnd w:id="872"/>
      <w:r>
        <w:rPr>
          <w:b w:val="false"/>
          <w:i w:val="false"/>
          <w:caps w:val="false"/>
          <w:smallCaps w:val="false"/>
          <w:sz w:val="13"/>
        </w:rPr>
        <w:t>86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73" w:name="DSPFPageBreak85"/>
      <w:bookmarkStart w:id="874" w:name="DSPFPageBreak85"/>
      <w:bookmarkEnd w:id="8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75" w:name="DSPFPageHeader84"/>
        <w:bookmarkEnd w:id="87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rPr>
      </w:pPr>
      <w:r>
        <w:rPr>
          <w:b/>
        </w:rPr>
        <w:t>CHANGES IN MARKET VALUE OF PORTFOLIO EQUITY AND NET INTEREST INCOME</w:t>
      </w:r>
    </w:p>
    <w:p>
      <w:pPr>
        <w:pStyle w:val="TextBody"/>
        <w:spacing w:before="0" w:after="0"/>
        <w:rPr/>
      </w:pPr>
      <w:r>
        <w:rPr/>
      </w:r>
    </w:p>
    <w:p>
      <w:pPr>
        <w:pStyle w:val="Normal"/>
        <w:spacing w:before="0" w:after="0"/>
        <w:rPr>
          <w:sz w:val="4"/>
          <w:szCs w:val="4"/>
        </w:rPr>
      </w:pPr>
      <w:r>
        <w:rPr>
          <w:sz w:val="4"/>
          <w:szCs w:val="4"/>
        </w:rPr>
      </w:r>
      <w:bookmarkStart w:id="876" w:name="za033502ec3834934bb44791b1f4bf612"/>
      <w:bookmarkStart w:id="877" w:name="za033502ec3834934bb44791b1f4bf612"/>
      <w:bookmarkEnd w:id="877"/>
    </w:p>
    <w:tbl>
      <w:tblPr>
        <w:tblW w:w="6075" w:type="dxa"/>
        <w:jc w:val="left"/>
        <w:tblInd w:w="0" w:type="dxa"/>
        <w:tblCellMar>
          <w:top w:w="0" w:type="dxa"/>
          <w:left w:w="0" w:type="dxa"/>
          <w:bottom w:w="28" w:type="dxa"/>
          <w:right w:w="0" w:type="dxa"/>
        </w:tblCellMar>
      </w:tblPr>
      <w:tblGrid>
        <w:gridCol w:w="2180"/>
        <w:gridCol w:w="60"/>
        <w:gridCol w:w="140"/>
        <w:gridCol w:w="800"/>
        <w:gridCol w:w="60"/>
        <w:gridCol w:w="60"/>
        <w:gridCol w:w="60"/>
        <w:gridCol w:w="515"/>
        <w:gridCol w:w="290"/>
        <w:gridCol w:w="60"/>
        <w:gridCol w:w="140"/>
        <w:gridCol w:w="800"/>
        <w:gridCol w:w="60"/>
        <w:gridCol w:w="60"/>
        <w:gridCol w:w="60"/>
        <w:gridCol w:w="515"/>
        <w:gridCol w:w="215"/>
      </w:tblGrid>
      <w:tr>
        <w:trPr/>
        <w:tc>
          <w:tcPr>
            <w:tcW w:w="2180" w:type="dxa"/>
            <w:tcBorders>
              <w:bottom w:val="single" w:sz="12" w:space="0" w:color="000000"/>
            </w:tcBorders>
            <w:shd w:fill="auto" w:val="clear"/>
            <w:vAlign w:val="bottom"/>
          </w:tcPr>
          <w:p>
            <w:pPr>
              <w:pStyle w:val="TableContents"/>
              <w:spacing w:before="0" w:after="0"/>
              <w:ind w:left="144" w:right="0" w:hanging="144"/>
              <w:rPr>
                <w:b/>
                <w:sz w:val="13"/>
              </w:rPr>
            </w:pPr>
            <w:r>
              <w:rPr>
                <w:b/>
                <w:sz w:val="13"/>
              </w:rPr>
              <w:t>Change in Interest Rates</w:t>
            </w:r>
          </w:p>
        </w:tc>
        <w:tc>
          <w:tcPr>
            <w:tcW w:w="60" w:type="dxa"/>
            <w:tcBorders/>
            <w:shd w:fill="auto" w:val="clear"/>
            <w:tcMar>
              <w:bottom w:w="0" w:type="dxa"/>
            </w:tcMar>
            <w:vAlign w:val="bottom"/>
          </w:tcPr>
          <w:p>
            <w:pPr>
              <w:pStyle w:val="TableContents"/>
              <w:spacing w:before="0" w:after="283"/>
              <w:rPr/>
            </w:pPr>
            <w:r>
              <w:rPr/>
              <w:t> </w:t>
            </w:r>
          </w:p>
        </w:tc>
        <w:tc>
          <w:tcPr>
            <w:tcW w:w="940" w:type="dxa"/>
            <w:gridSpan w:val="2"/>
            <w:tcBorders>
              <w:bottom w:val="single" w:sz="12" w:space="0" w:color="000000"/>
            </w:tcBorders>
            <w:shd w:fill="auto" w:val="clear"/>
            <w:vAlign w:val="bottom"/>
          </w:tcPr>
          <w:p>
            <w:pPr>
              <w:pStyle w:val="TableContents"/>
              <w:spacing w:before="0" w:after="0"/>
              <w:jc w:val="center"/>
              <w:rPr>
                <w:b/>
                <w:sz w:val="13"/>
              </w:rPr>
            </w:pPr>
            <w:r>
              <w:rPr>
                <w:b/>
                <w:sz w:val="13"/>
              </w:rPr>
              <w:t>Market</w:t>
            </w:r>
          </w:p>
          <w:p>
            <w:pPr>
              <w:pStyle w:val="TableContents"/>
              <w:spacing w:before="0" w:after="0"/>
              <w:jc w:val="center"/>
              <w:rPr>
                <w:b/>
                <w:sz w:val="13"/>
              </w:rPr>
            </w:pPr>
            <w:r>
              <w:rPr>
                <w:b/>
                <w:sz w:val="13"/>
              </w:rPr>
              <w:t>Value of</w:t>
            </w:r>
          </w:p>
          <w:p>
            <w:pPr>
              <w:pStyle w:val="TableContents"/>
              <w:spacing w:before="0" w:after="0"/>
              <w:jc w:val="center"/>
              <w:rPr>
                <w:b/>
                <w:sz w:val="13"/>
              </w:rPr>
            </w:pPr>
            <w:r>
              <w:rPr>
                <w:b/>
                <w:sz w:val="13"/>
              </w:rPr>
              <w:t>Portfolio</w:t>
            </w:r>
          </w:p>
          <w:p>
            <w:pPr>
              <w:pStyle w:val="TableContents"/>
              <w:spacing w:before="0" w:after="0"/>
              <w:jc w:val="center"/>
              <w:rPr>
                <w:b/>
                <w:sz w:val="13"/>
              </w:rPr>
            </w:pPr>
            <w:r>
              <w:rPr>
                <w:b/>
                <w:sz w:val="13"/>
              </w:rPr>
              <w:t>Equity(1)</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75" w:type="dxa"/>
            <w:gridSpan w:val="2"/>
            <w:tcBorders>
              <w:bottom w:val="single" w:sz="12" w:space="0" w:color="000000"/>
            </w:tcBorders>
            <w:shd w:fill="auto" w:val="clear"/>
            <w:vAlign w:val="bottom"/>
          </w:tcPr>
          <w:p>
            <w:pPr>
              <w:pStyle w:val="TableContents"/>
              <w:spacing w:before="0" w:after="0"/>
              <w:jc w:val="center"/>
              <w:rPr>
                <w:b/>
                <w:sz w:val="13"/>
              </w:rPr>
            </w:pPr>
            <w:r>
              <w:rPr>
                <w:b/>
                <w:sz w:val="13"/>
              </w:rPr>
              <w:t>Percent</w:t>
            </w:r>
          </w:p>
          <w:p>
            <w:pPr>
              <w:pStyle w:val="TableContents"/>
              <w:spacing w:before="0" w:after="0"/>
              <w:jc w:val="center"/>
              <w:rPr>
                <w:b/>
                <w:sz w:val="13"/>
              </w:rPr>
            </w:pPr>
            <w:r>
              <w:rPr>
                <w:b/>
                <w:sz w:val="13"/>
              </w:rPr>
              <w:t>Change</w:t>
            </w:r>
          </w:p>
        </w:tc>
        <w:tc>
          <w:tcPr>
            <w:tcW w:w="29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40" w:type="dxa"/>
            <w:gridSpan w:val="2"/>
            <w:tcBorders>
              <w:bottom w:val="single" w:sz="12" w:space="0" w:color="000000"/>
            </w:tcBorders>
            <w:shd w:fill="auto" w:val="clear"/>
            <w:vAlign w:val="bottom"/>
          </w:tcPr>
          <w:p>
            <w:pPr>
              <w:pStyle w:val="TableContents"/>
              <w:spacing w:before="0" w:after="0"/>
              <w:jc w:val="center"/>
              <w:rPr>
                <w:b/>
                <w:sz w:val="13"/>
              </w:rPr>
            </w:pPr>
            <w:r>
              <w:rPr>
                <w:b/>
                <w:sz w:val="13"/>
              </w:rPr>
              <w:t>Net</w:t>
            </w:r>
          </w:p>
          <w:p>
            <w:pPr>
              <w:pStyle w:val="TableContents"/>
              <w:spacing w:before="0" w:after="0"/>
              <w:jc w:val="center"/>
              <w:rPr>
                <w:b/>
                <w:sz w:val="13"/>
              </w:rPr>
            </w:pPr>
            <w:r>
              <w:rPr>
                <w:b/>
                <w:sz w:val="13"/>
              </w:rPr>
              <w:t>Interest</w:t>
            </w:r>
          </w:p>
          <w:p>
            <w:pPr>
              <w:pStyle w:val="TableContents"/>
              <w:spacing w:before="0" w:after="0"/>
              <w:jc w:val="center"/>
              <w:rPr>
                <w:b/>
                <w:sz w:val="13"/>
              </w:rPr>
            </w:pPr>
            <w:r>
              <w:rPr>
                <w:b/>
                <w:sz w:val="13"/>
              </w:rPr>
              <w:t>Income(2)</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75" w:type="dxa"/>
            <w:gridSpan w:val="2"/>
            <w:tcBorders>
              <w:bottom w:val="single" w:sz="12" w:space="0" w:color="000000"/>
            </w:tcBorders>
            <w:shd w:fill="auto" w:val="clear"/>
            <w:vAlign w:val="bottom"/>
          </w:tcPr>
          <w:p>
            <w:pPr>
              <w:pStyle w:val="TableContents"/>
              <w:spacing w:before="0" w:after="0"/>
              <w:jc w:val="center"/>
              <w:rPr>
                <w:b/>
                <w:sz w:val="13"/>
              </w:rPr>
            </w:pPr>
            <w:r>
              <w:rPr>
                <w:b/>
                <w:sz w:val="13"/>
              </w:rPr>
              <w:t>Percent</w:t>
            </w:r>
          </w:p>
          <w:p>
            <w:pPr>
              <w:pStyle w:val="TableContents"/>
              <w:spacing w:before="0" w:after="0"/>
              <w:jc w:val="center"/>
              <w:rPr>
                <w:b/>
                <w:sz w:val="13"/>
              </w:rPr>
            </w:pPr>
            <w:r>
              <w:rPr>
                <w:b/>
                <w:sz w:val="13"/>
              </w:rPr>
              <w:t>Change</w:t>
            </w:r>
          </w:p>
        </w:tc>
        <w:tc>
          <w:tcPr>
            <w:tcW w:w="215" w:type="dxa"/>
            <w:tcBorders/>
            <w:shd w:fill="auto" w:val="clear"/>
            <w:tcMar>
              <w:bottom w:w="0" w:type="dxa"/>
            </w:tcMar>
            <w:vAlign w:val="bottom"/>
          </w:tcPr>
          <w:p>
            <w:pPr>
              <w:pStyle w:val="TableContents"/>
              <w:spacing w:before="0" w:after="283"/>
              <w:rPr/>
            </w:pPr>
            <w:r>
              <w:rPr/>
              <w:t> </w:t>
            </w:r>
          </w:p>
        </w:tc>
      </w:tr>
      <w:tr>
        <w:trPr/>
        <w:tc>
          <w:tcPr>
            <w:tcW w:w="218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3620" w:type="dxa"/>
            <w:gridSpan w:val="14"/>
            <w:tcBorders/>
            <w:shd w:fill="auto" w:val="clear"/>
            <w:tcMar>
              <w:bottom w:w="0" w:type="dxa"/>
            </w:tcMar>
            <w:vAlign w:val="bottom"/>
          </w:tcPr>
          <w:p>
            <w:pPr>
              <w:pStyle w:val="TableContents"/>
              <w:spacing w:before="0" w:after="0"/>
              <w:jc w:val="center"/>
              <w:rPr>
                <w:b/>
                <w:sz w:val="13"/>
              </w:rPr>
            </w:pPr>
            <w:r>
              <w:rPr>
                <w:b/>
                <w:sz w:val="13"/>
              </w:rPr>
              <w:t>(Dollars in thousands)</w:t>
            </w:r>
          </w:p>
        </w:tc>
        <w:tc>
          <w:tcPr>
            <w:tcW w:w="215" w:type="dxa"/>
            <w:tcBorders/>
            <w:shd w:fill="auto" w:val="clear"/>
            <w:tcMar>
              <w:bottom w:w="0" w:type="dxa"/>
            </w:tcMar>
            <w:vAlign w:val="bottom"/>
          </w:tcPr>
          <w:p>
            <w:pPr>
              <w:pStyle w:val="TableContents"/>
              <w:spacing w:before="0" w:after="283"/>
              <w:rPr/>
            </w:pPr>
            <w:r>
              <w:rPr/>
              <w:t> </w:t>
            </w:r>
          </w:p>
        </w:tc>
      </w:tr>
      <w:tr>
        <w:trPr/>
        <w:tc>
          <w:tcPr>
            <w:tcW w:w="2180" w:type="dxa"/>
            <w:tcBorders/>
            <w:shd w:fill="auto" w:val="clear"/>
            <w:tcMar>
              <w:bottom w:w="0" w:type="dxa"/>
            </w:tcMar>
            <w:vAlign w:val="bottom"/>
          </w:tcPr>
          <w:p>
            <w:pPr>
              <w:pStyle w:val="TableContents"/>
              <w:spacing w:before="0" w:after="0"/>
              <w:ind w:left="144" w:right="0" w:hanging="144"/>
              <w:rPr>
                <w:b/>
                <w:sz w:val="13"/>
              </w:rPr>
            </w:pPr>
            <w:r>
              <w:rPr>
                <w:b/>
                <w:sz w:val="13"/>
              </w:rPr>
              <w:t>June 30, 2019</w:t>
            </w:r>
          </w:p>
        </w:tc>
        <w:tc>
          <w:tcPr>
            <w:tcW w:w="60" w:type="dxa"/>
            <w:tcBorders/>
            <w:shd w:fill="auto" w:val="clear"/>
            <w:tcMar>
              <w:bottom w:w="0" w:type="dxa"/>
            </w:tcMar>
            <w:vAlign w:val="bottom"/>
          </w:tcPr>
          <w:p>
            <w:pPr>
              <w:pStyle w:val="TableContents"/>
              <w:spacing w:before="0" w:after="283"/>
              <w:rPr/>
            </w:pPr>
            <w:r>
              <w:rPr/>
              <w:t> </w:t>
            </w:r>
          </w:p>
        </w:tc>
        <w:tc>
          <w:tcPr>
            <w:tcW w:w="94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75" w:type="dxa"/>
            <w:gridSpan w:val="2"/>
            <w:tcBorders/>
            <w:shd w:fill="auto" w:val="clear"/>
            <w:tcMar>
              <w:bottom w:w="0" w:type="dxa"/>
            </w:tcMar>
            <w:vAlign w:val="bottom"/>
          </w:tcPr>
          <w:p>
            <w:pPr>
              <w:pStyle w:val="TableContents"/>
              <w:spacing w:before="0" w:after="283"/>
              <w:rPr/>
            </w:pPr>
            <w:r>
              <w:rPr/>
              <w:t> </w:t>
            </w:r>
          </w:p>
        </w:tc>
        <w:tc>
          <w:tcPr>
            <w:tcW w:w="29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4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575" w:type="dxa"/>
            <w:gridSpan w:val="2"/>
            <w:tcBorders/>
            <w:shd w:fill="auto" w:val="clear"/>
            <w:tcMar>
              <w:bottom w:w="0" w:type="dxa"/>
            </w:tcMar>
            <w:vAlign w:val="bottom"/>
          </w:tcPr>
          <w:p>
            <w:pPr>
              <w:pStyle w:val="TableContents"/>
              <w:spacing w:before="0" w:after="283"/>
              <w:rPr/>
            </w:pPr>
            <w:r>
              <w:rPr/>
              <w:t> </w:t>
            </w:r>
          </w:p>
        </w:tc>
        <w:tc>
          <w:tcPr>
            <w:tcW w:w="215" w:type="dxa"/>
            <w:tcBorders/>
            <w:shd w:fill="auto" w:val="clear"/>
            <w:tcMar>
              <w:bottom w:w="0" w:type="dxa"/>
            </w:tcMar>
            <w:vAlign w:val="bottom"/>
          </w:tcPr>
          <w:p>
            <w:pPr>
              <w:pStyle w:val="TableContents"/>
              <w:spacing w:before="0" w:after="283"/>
              <w:rPr/>
            </w:pPr>
            <w:r>
              <w:rPr/>
              <w:t> </w:t>
            </w:r>
          </w:p>
        </w:tc>
      </w:tr>
      <w:tr>
        <w:trPr/>
        <w:tc>
          <w:tcPr>
            <w:tcW w:w="2180" w:type="dxa"/>
            <w:tcBorders/>
            <w:shd w:fill="CCEEFF" w:val="clear"/>
            <w:tcMar>
              <w:bottom w:w="0" w:type="dxa"/>
            </w:tcMar>
            <w:vAlign w:val="bottom"/>
          </w:tcPr>
          <w:p>
            <w:pPr>
              <w:pStyle w:val="TableContents"/>
              <w:spacing w:before="0" w:after="0"/>
              <w:ind w:left="144" w:right="0" w:hanging="144"/>
              <w:rPr/>
            </w:pPr>
            <w:r>
              <w:rPr/>
              <w:t>200 basis point rise</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0"/>
              <w:rPr/>
            </w:pPr>
            <w:r>
              <w:rPr/>
              <w:t>$</w:t>
            </w:r>
          </w:p>
        </w:tc>
        <w:tc>
          <w:tcPr>
            <w:tcW w:w="800" w:type="dxa"/>
            <w:tcBorders/>
            <w:shd w:fill="CCEEFF" w:val="clear"/>
            <w:tcMar>
              <w:bottom w:w="0" w:type="dxa"/>
            </w:tcMar>
            <w:vAlign w:val="bottom"/>
          </w:tcPr>
          <w:p>
            <w:pPr>
              <w:pStyle w:val="TableContents"/>
              <w:spacing w:before="0" w:after="0"/>
              <w:jc w:val="right"/>
              <w:rPr/>
            </w:pPr>
            <w:r>
              <w:rPr/>
              <w:t>407,000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15" w:type="dxa"/>
            <w:tcBorders/>
            <w:shd w:fill="CCEEFF" w:val="clear"/>
            <w:tcMar>
              <w:bottom w:w="0" w:type="dxa"/>
            </w:tcMar>
            <w:vAlign w:val="bottom"/>
          </w:tcPr>
          <w:p>
            <w:pPr>
              <w:pStyle w:val="TableContents"/>
              <w:spacing w:before="0" w:after="0"/>
              <w:jc w:val="right"/>
              <w:rPr/>
            </w:pPr>
            <w:r>
              <w:rPr/>
              <w:t>(5.66</w:t>
            </w:r>
          </w:p>
        </w:tc>
        <w:tc>
          <w:tcPr>
            <w:tcW w:w="290" w:type="dxa"/>
            <w:tcBorders/>
            <w:shd w:fill="CCEEFF" w:val="clear"/>
            <w:tcMar>
              <w:bottom w:w="0" w:type="dxa"/>
            </w:tcMar>
            <w:vAlign w:val="bottom"/>
          </w:tcPr>
          <w:p>
            <w:pPr>
              <w:pStyle w:val="TableContents"/>
              <w:spacing w:before="0" w:after="0"/>
              <w:rPr/>
            </w:pPr>
            <w:r>
              <w:rPr/>
              <w:t>)%</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0"/>
              <w:rPr/>
            </w:pPr>
            <w:r>
              <w:rPr/>
              <w:t>$</w:t>
            </w:r>
          </w:p>
        </w:tc>
        <w:tc>
          <w:tcPr>
            <w:tcW w:w="800" w:type="dxa"/>
            <w:tcBorders/>
            <w:shd w:fill="CCEEFF" w:val="clear"/>
            <w:tcMar>
              <w:bottom w:w="0" w:type="dxa"/>
            </w:tcMar>
            <w:vAlign w:val="bottom"/>
          </w:tcPr>
          <w:p>
            <w:pPr>
              <w:pStyle w:val="TableContents"/>
              <w:spacing w:before="0" w:after="0"/>
              <w:jc w:val="right"/>
              <w:rPr/>
            </w:pPr>
            <w:r>
              <w:rPr/>
              <w:t>124,500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15" w:type="dxa"/>
            <w:tcBorders/>
            <w:shd w:fill="CCEEFF" w:val="clear"/>
            <w:tcMar>
              <w:bottom w:w="0" w:type="dxa"/>
            </w:tcMar>
            <w:vAlign w:val="bottom"/>
          </w:tcPr>
          <w:p>
            <w:pPr>
              <w:pStyle w:val="TableContents"/>
              <w:spacing w:before="0" w:after="0"/>
              <w:jc w:val="right"/>
              <w:rPr/>
            </w:pPr>
            <w:r>
              <w:rPr/>
              <w:t>1.55</w:t>
            </w:r>
          </w:p>
        </w:tc>
        <w:tc>
          <w:tcPr>
            <w:tcW w:w="215" w:type="dxa"/>
            <w:tcBorders/>
            <w:shd w:fill="CCEEFF" w:val="clear"/>
            <w:tcMar>
              <w:bottom w:w="0" w:type="dxa"/>
            </w:tcMar>
            <w:vAlign w:val="bottom"/>
          </w:tcPr>
          <w:p>
            <w:pPr>
              <w:pStyle w:val="TableContents"/>
              <w:spacing w:before="0" w:after="0"/>
              <w:rPr/>
            </w:pPr>
            <w:r>
              <w:rPr/>
              <w:t>%</w:t>
            </w:r>
          </w:p>
        </w:tc>
      </w:tr>
      <w:tr>
        <w:trPr/>
        <w:tc>
          <w:tcPr>
            <w:tcW w:w="2180" w:type="dxa"/>
            <w:tcBorders/>
            <w:shd w:fill="FFFFFF" w:val="clear"/>
            <w:tcMar>
              <w:bottom w:w="0" w:type="dxa"/>
            </w:tcMar>
            <w:vAlign w:val="bottom"/>
          </w:tcPr>
          <w:p>
            <w:pPr>
              <w:pStyle w:val="TableContents"/>
              <w:spacing w:before="0" w:after="0"/>
              <w:ind w:left="144" w:right="0" w:hanging="144"/>
              <w:rPr/>
            </w:pPr>
            <w:r>
              <w:rPr/>
              <w:t>100 basis point rise</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800" w:type="dxa"/>
            <w:tcBorders/>
            <w:shd w:fill="FFFFFF" w:val="clear"/>
            <w:tcMar>
              <w:bottom w:w="0" w:type="dxa"/>
            </w:tcMar>
            <w:vAlign w:val="bottom"/>
          </w:tcPr>
          <w:p>
            <w:pPr>
              <w:pStyle w:val="TableContents"/>
              <w:spacing w:before="0" w:after="0"/>
              <w:jc w:val="right"/>
              <w:rPr/>
            </w:pPr>
            <w:r>
              <w:rPr/>
              <w:t>427,000</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515" w:type="dxa"/>
            <w:tcBorders/>
            <w:shd w:fill="FFFFFF" w:val="clear"/>
            <w:tcMar>
              <w:bottom w:w="0" w:type="dxa"/>
            </w:tcMar>
            <w:vAlign w:val="bottom"/>
          </w:tcPr>
          <w:p>
            <w:pPr>
              <w:pStyle w:val="TableContents"/>
              <w:spacing w:before="0" w:after="0"/>
              <w:jc w:val="right"/>
              <w:rPr/>
            </w:pPr>
            <w:r>
              <w:rPr/>
              <w:t>(1.02</w:t>
            </w:r>
          </w:p>
        </w:tc>
        <w:tc>
          <w:tcPr>
            <w:tcW w:w="290" w:type="dxa"/>
            <w:tcBorders/>
            <w:shd w:fill="FFFFFF" w:val="clear"/>
            <w:tcMar>
              <w:bottom w:w="0" w:type="dxa"/>
            </w:tcMar>
            <w:vAlign w:val="bottom"/>
          </w:tcPr>
          <w:p>
            <w:pPr>
              <w:pStyle w:val="TableContents"/>
              <w:spacing w:before="0" w:after="0"/>
              <w:rPr/>
            </w:pPr>
            <w:r>
              <w:rPr/>
              <w:t>)</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800" w:type="dxa"/>
            <w:tcBorders/>
            <w:shd w:fill="FFFFFF" w:val="clear"/>
            <w:tcMar>
              <w:bottom w:w="0" w:type="dxa"/>
            </w:tcMar>
            <w:vAlign w:val="bottom"/>
          </w:tcPr>
          <w:p>
            <w:pPr>
              <w:pStyle w:val="TableContents"/>
              <w:spacing w:before="0" w:after="0"/>
              <w:jc w:val="right"/>
              <w:rPr/>
            </w:pPr>
            <w:r>
              <w:rPr/>
              <w:t>123,900</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515" w:type="dxa"/>
            <w:tcBorders/>
            <w:shd w:fill="FFFFFF" w:val="clear"/>
            <w:tcMar>
              <w:bottom w:w="0" w:type="dxa"/>
            </w:tcMar>
            <w:vAlign w:val="bottom"/>
          </w:tcPr>
          <w:p>
            <w:pPr>
              <w:pStyle w:val="TableContents"/>
              <w:spacing w:before="0" w:after="0"/>
              <w:jc w:val="right"/>
              <w:rPr/>
            </w:pPr>
            <w:r>
              <w:rPr/>
              <w:t>1.06</w:t>
            </w:r>
          </w:p>
        </w:tc>
        <w:tc>
          <w:tcPr>
            <w:tcW w:w="215" w:type="dxa"/>
            <w:tcBorders/>
            <w:shd w:fill="FFFFFF" w:val="clear"/>
            <w:tcMar>
              <w:bottom w:w="0" w:type="dxa"/>
            </w:tcMar>
            <w:vAlign w:val="bottom"/>
          </w:tcPr>
          <w:p>
            <w:pPr>
              <w:pStyle w:val="TableContents"/>
              <w:spacing w:before="0" w:after="283"/>
              <w:rPr/>
            </w:pPr>
            <w:r>
              <w:rPr/>
              <w:t> </w:t>
            </w:r>
          </w:p>
        </w:tc>
      </w:tr>
      <w:tr>
        <w:trPr/>
        <w:tc>
          <w:tcPr>
            <w:tcW w:w="2180" w:type="dxa"/>
            <w:tcBorders/>
            <w:shd w:fill="CCEEFF" w:val="clear"/>
            <w:tcMar>
              <w:bottom w:w="0" w:type="dxa"/>
            </w:tcMar>
            <w:vAlign w:val="bottom"/>
          </w:tcPr>
          <w:p>
            <w:pPr>
              <w:pStyle w:val="TableContents"/>
              <w:spacing w:before="0" w:after="0"/>
              <w:ind w:left="144" w:right="0" w:hanging="144"/>
              <w:rPr/>
            </w:pPr>
            <w:r>
              <w:rPr/>
              <w:t>Base-rate scenario</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800" w:type="dxa"/>
            <w:tcBorders/>
            <w:shd w:fill="CCEEFF" w:val="clear"/>
            <w:tcMar>
              <w:bottom w:w="0" w:type="dxa"/>
            </w:tcMar>
            <w:vAlign w:val="bottom"/>
          </w:tcPr>
          <w:p>
            <w:pPr>
              <w:pStyle w:val="TableContents"/>
              <w:spacing w:before="0" w:after="0"/>
              <w:jc w:val="right"/>
              <w:rPr/>
            </w:pPr>
            <w:r>
              <w:rPr/>
              <w:t>431,400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15" w:type="dxa"/>
            <w:tcBorders/>
            <w:shd w:fill="CCEEFF" w:val="clear"/>
            <w:tcMar>
              <w:bottom w:w="0" w:type="dxa"/>
            </w:tcMar>
            <w:vAlign w:val="bottom"/>
          </w:tcPr>
          <w:p>
            <w:pPr>
              <w:pStyle w:val="TableContents"/>
              <w:spacing w:before="0" w:after="0"/>
              <w:jc w:val="right"/>
              <w:rPr/>
            </w:pPr>
            <w:r>
              <w:rPr/>
              <w:t>-</w:t>
            </w:r>
          </w:p>
        </w:tc>
        <w:tc>
          <w:tcPr>
            <w:tcW w:w="29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800" w:type="dxa"/>
            <w:tcBorders/>
            <w:shd w:fill="CCEEFF" w:val="clear"/>
            <w:tcMar>
              <w:bottom w:w="0" w:type="dxa"/>
            </w:tcMar>
            <w:vAlign w:val="bottom"/>
          </w:tcPr>
          <w:p>
            <w:pPr>
              <w:pStyle w:val="TableContents"/>
              <w:spacing w:before="0" w:after="0"/>
              <w:jc w:val="right"/>
              <w:rPr/>
            </w:pPr>
            <w:r>
              <w:rPr/>
              <w:t>122,600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15" w:type="dxa"/>
            <w:tcBorders/>
            <w:shd w:fill="CCEEFF" w:val="clear"/>
            <w:tcMar>
              <w:bottom w:w="0" w:type="dxa"/>
            </w:tcMar>
            <w:vAlign w:val="bottom"/>
          </w:tcPr>
          <w:p>
            <w:pPr>
              <w:pStyle w:val="TableContents"/>
              <w:spacing w:before="0" w:after="0"/>
              <w:jc w:val="right"/>
              <w:rPr/>
            </w:pPr>
            <w:r>
              <w:rPr/>
              <w:t>-</w:t>
            </w:r>
          </w:p>
        </w:tc>
        <w:tc>
          <w:tcPr>
            <w:tcW w:w="215" w:type="dxa"/>
            <w:tcBorders/>
            <w:shd w:fill="CCEEFF" w:val="clear"/>
            <w:tcMar>
              <w:bottom w:w="0" w:type="dxa"/>
            </w:tcMar>
            <w:vAlign w:val="bottom"/>
          </w:tcPr>
          <w:p>
            <w:pPr>
              <w:pStyle w:val="TableContents"/>
              <w:spacing w:before="0" w:after="283"/>
              <w:rPr/>
            </w:pPr>
            <w:r>
              <w:rPr/>
              <w:t> </w:t>
            </w:r>
          </w:p>
        </w:tc>
      </w:tr>
      <w:tr>
        <w:trPr/>
        <w:tc>
          <w:tcPr>
            <w:tcW w:w="2180" w:type="dxa"/>
            <w:tcBorders/>
            <w:shd w:fill="FFFFFF" w:val="clear"/>
            <w:tcMar>
              <w:bottom w:w="0" w:type="dxa"/>
            </w:tcMar>
            <w:vAlign w:val="bottom"/>
          </w:tcPr>
          <w:p>
            <w:pPr>
              <w:pStyle w:val="TableContents"/>
              <w:spacing w:before="0" w:after="0"/>
              <w:ind w:left="144" w:right="0" w:hanging="144"/>
              <w:rPr/>
            </w:pPr>
            <w:r>
              <w:rPr/>
              <w:t>100 basis point decline</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800" w:type="dxa"/>
            <w:tcBorders/>
            <w:shd w:fill="FFFFFF" w:val="clear"/>
            <w:tcMar>
              <w:bottom w:w="0" w:type="dxa"/>
            </w:tcMar>
            <w:vAlign w:val="bottom"/>
          </w:tcPr>
          <w:p>
            <w:pPr>
              <w:pStyle w:val="TableContents"/>
              <w:spacing w:before="0" w:after="0"/>
              <w:jc w:val="right"/>
              <w:rPr/>
            </w:pPr>
            <w:r>
              <w:rPr/>
              <w:t>407,200</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515" w:type="dxa"/>
            <w:tcBorders/>
            <w:shd w:fill="FFFFFF" w:val="clear"/>
            <w:tcMar>
              <w:bottom w:w="0" w:type="dxa"/>
            </w:tcMar>
            <w:vAlign w:val="bottom"/>
          </w:tcPr>
          <w:p>
            <w:pPr>
              <w:pStyle w:val="TableContents"/>
              <w:spacing w:before="0" w:after="0"/>
              <w:jc w:val="right"/>
              <w:rPr/>
            </w:pPr>
            <w:r>
              <w:rPr/>
              <w:t>(5.61</w:t>
            </w:r>
          </w:p>
        </w:tc>
        <w:tc>
          <w:tcPr>
            <w:tcW w:w="290" w:type="dxa"/>
            <w:tcBorders/>
            <w:shd w:fill="FFFFFF" w:val="clear"/>
            <w:tcMar>
              <w:bottom w:w="0" w:type="dxa"/>
            </w:tcMar>
            <w:vAlign w:val="bottom"/>
          </w:tcPr>
          <w:p>
            <w:pPr>
              <w:pStyle w:val="TableContents"/>
              <w:spacing w:before="0" w:after="0"/>
              <w:rPr/>
            </w:pPr>
            <w:r>
              <w:rPr/>
              <w:t>)</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800" w:type="dxa"/>
            <w:tcBorders/>
            <w:shd w:fill="FFFFFF" w:val="clear"/>
            <w:tcMar>
              <w:bottom w:w="0" w:type="dxa"/>
            </w:tcMar>
            <w:vAlign w:val="bottom"/>
          </w:tcPr>
          <w:p>
            <w:pPr>
              <w:pStyle w:val="TableContents"/>
              <w:spacing w:before="0" w:after="0"/>
              <w:jc w:val="right"/>
              <w:rPr/>
            </w:pPr>
            <w:r>
              <w:rPr/>
              <w:t>120,500</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515" w:type="dxa"/>
            <w:tcBorders/>
            <w:shd w:fill="FFFFFF" w:val="clear"/>
            <w:tcMar>
              <w:bottom w:w="0" w:type="dxa"/>
            </w:tcMar>
            <w:vAlign w:val="bottom"/>
          </w:tcPr>
          <w:p>
            <w:pPr>
              <w:pStyle w:val="TableContents"/>
              <w:spacing w:before="0" w:after="0"/>
              <w:jc w:val="right"/>
              <w:rPr/>
            </w:pPr>
            <w:r>
              <w:rPr/>
              <w:t>(1.71</w:t>
            </w:r>
          </w:p>
        </w:tc>
        <w:tc>
          <w:tcPr>
            <w:tcW w:w="215" w:type="dxa"/>
            <w:tcBorders/>
            <w:shd w:fill="FFFFFF" w:val="clear"/>
            <w:tcMar>
              <w:bottom w:w="0" w:type="dxa"/>
            </w:tcMar>
            <w:vAlign w:val="bottom"/>
          </w:tcPr>
          <w:p>
            <w:pPr>
              <w:pStyle w:val="TableContents"/>
              <w:spacing w:before="0" w:after="0"/>
              <w:rPr/>
            </w:pPr>
            <w:r>
              <w:rPr/>
              <w:t>)</w:t>
            </w:r>
          </w:p>
        </w:tc>
      </w:tr>
      <w:tr>
        <w:trPr/>
        <w:tc>
          <w:tcPr>
            <w:tcW w:w="218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80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15" w:type="dxa"/>
            <w:tcBorders/>
            <w:shd w:fill="CCEEFF" w:val="clear"/>
            <w:tcMar>
              <w:bottom w:w="0" w:type="dxa"/>
            </w:tcMar>
            <w:vAlign w:val="bottom"/>
          </w:tcPr>
          <w:p>
            <w:pPr>
              <w:pStyle w:val="TableContents"/>
              <w:spacing w:before="0" w:after="283"/>
              <w:jc w:val="right"/>
              <w:rPr/>
            </w:pPr>
            <w:r>
              <w:rPr/>
              <w:t> </w:t>
            </w:r>
          </w:p>
        </w:tc>
        <w:tc>
          <w:tcPr>
            <w:tcW w:w="29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80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15" w:type="dxa"/>
            <w:tcBorders/>
            <w:shd w:fill="CCEEFF" w:val="clear"/>
            <w:tcMar>
              <w:bottom w:w="0" w:type="dxa"/>
            </w:tcMar>
            <w:vAlign w:val="bottom"/>
          </w:tcPr>
          <w:p>
            <w:pPr>
              <w:pStyle w:val="TableContents"/>
              <w:spacing w:before="0" w:after="283"/>
              <w:jc w:val="right"/>
              <w:rPr/>
            </w:pPr>
            <w:r>
              <w:rPr/>
              <w:t> </w:t>
            </w:r>
          </w:p>
        </w:tc>
        <w:tc>
          <w:tcPr>
            <w:tcW w:w="215" w:type="dxa"/>
            <w:tcBorders/>
            <w:shd w:fill="CCEEFF" w:val="clear"/>
            <w:tcMar>
              <w:bottom w:w="0" w:type="dxa"/>
            </w:tcMar>
            <w:vAlign w:val="bottom"/>
          </w:tcPr>
          <w:p>
            <w:pPr>
              <w:pStyle w:val="TableContents"/>
              <w:spacing w:before="0" w:after="283"/>
              <w:rPr/>
            </w:pPr>
            <w:r>
              <w:rPr/>
              <w:t> </w:t>
            </w:r>
          </w:p>
        </w:tc>
      </w:tr>
      <w:tr>
        <w:trPr/>
        <w:tc>
          <w:tcPr>
            <w:tcW w:w="2180" w:type="dxa"/>
            <w:tcBorders/>
            <w:shd w:fill="FFFFFF" w:val="clear"/>
            <w:tcMar>
              <w:bottom w:w="0" w:type="dxa"/>
            </w:tcMar>
            <w:vAlign w:val="bottom"/>
          </w:tcPr>
          <w:p>
            <w:pPr>
              <w:pStyle w:val="TableContents"/>
              <w:spacing w:before="0" w:after="0"/>
              <w:ind w:left="144" w:right="0" w:hanging="144"/>
              <w:rPr>
                <w:b/>
                <w:sz w:val="13"/>
              </w:rPr>
            </w:pPr>
            <w:r>
              <w:rPr>
                <w:b/>
                <w:sz w:val="13"/>
              </w:rPr>
              <w:t>December 31, 2018</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800"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515" w:type="dxa"/>
            <w:tcBorders/>
            <w:shd w:fill="FFFFFF" w:val="clear"/>
            <w:tcMar>
              <w:bottom w:w="0" w:type="dxa"/>
            </w:tcMar>
            <w:vAlign w:val="bottom"/>
          </w:tcPr>
          <w:p>
            <w:pPr>
              <w:pStyle w:val="TableContents"/>
              <w:spacing w:before="0" w:after="283"/>
              <w:jc w:val="right"/>
              <w:rPr/>
            </w:pPr>
            <w:r>
              <w:rPr/>
              <w:t> </w:t>
            </w:r>
          </w:p>
        </w:tc>
        <w:tc>
          <w:tcPr>
            <w:tcW w:w="29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800" w:type="dxa"/>
            <w:tcBorders/>
            <w:shd w:fill="FFFFFF" w:val="clear"/>
            <w:tcMar>
              <w:bottom w:w="0" w:type="dxa"/>
            </w:tcMar>
            <w:vAlign w:val="bottom"/>
          </w:tcPr>
          <w:p>
            <w:pPr>
              <w:pStyle w:val="TableContents"/>
              <w:spacing w:before="0" w:after="283"/>
              <w:jc w:val="right"/>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515" w:type="dxa"/>
            <w:tcBorders/>
            <w:shd w:fill="FFFFFF" w:val="clear"/>
            <w:tcMar>
              <w:bottom w:w="0" w:type="dxa"/>
            </w:tcMar>
            <w:vAlign w:val="bottom"/>
          </w:tcPr>
          <w:p>
            <w:pPr>
              <w:pStyle w:val="TableContents"/>
              <w:spacing w:before="0" w:after="283"/>
              <w:jc w:val="right"/>
              <w:rPr/>
            </w:pPr>
            <w:r>
              <w:rPr/>
              <w:t> </w:t>
            </w:r>
          </w:p>
        </w:tc>
        <w:tc>
          <w:tcPr>
            <w:tcW w:w="215" w:type="dxa"/>
            <w:tcBorders/>
            <w:shd w:fill="FFFFFF" w:val="clear"/>
            <w:tcMar>
              <w:bottom w:w="0" w:type="dxa"/>
            </w:tcMar>
            <w:vAlign w:val="bottom"/>
          </w:tcPr>
          <w:p>
            <w:pPr>
              <w:pStyle w:val="TableContents"/>
              <w:spacing w:before="0" w:after="283"/>
              <w:rPr/>
            </w:pPr>
            <w:r>
              <w:rPr/>
              <w:t> </w:t>
            </w:r>
          </w:p>
        </w:tc>
      </w:tr>
      <w:tr>
        <w:trPr/>
        <w:tc>
          <w:tcPr>
            <w:tcW w:w="2180" w:type="dxa"/>
            <w:tcBorders/>
            <w:shd w:fill="CCEEFF" w:val="clear"/>
            <w:tcMar>
              <w:bottom w:w="0" w:type="dxa"/>
            </w:tcMar>
            <w:vAlign w:val="bottom"/>
          </w:tcPr>
          <w:p>
            <w:pPr>
              <w:pStyle w:val="TableContents"/>
              <w:spacing w:before="0" w:after="0"/>
              <w:ind w:left="144" w:right="0" w:hanging="144"/>
              <w:rPr/>
            </w:pPr>
            <w:r>
              <w:rPr/>
              <w:t>200 basis point rise</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0"/>
              <w:rPr/>
            </w:pPr>
            <w:r>
              <w:rPr/>
              <w:t>$</w:t>
            </w:r>
          </w:p>
        </w:tc>
        <w:tc>
          <w:tcPr>
            <w:tcW w:w="800" w:type="dxa"/>
            <w:tcBorders/>
            <w:shd w:fill="CCEEFF" w:val="clear"/>
            <w:tcMar>
              <w:bottom w:w="0" w:type="dxa"/>
            </w:tcMar>
            <w:vAlign w:val="bottom"/>
          </w:tcPr>
          <w:p>
            <w:pPr>
              <w:pStyle w:val="TableContents"/>
              <w:spacing w:before="0" w:after="0"/>
              <w:jc w:val="right"/>
              <w:rPr/>
            </w:pPr>
            <w:r>
              <w:rPr/>
              <w:t>481,100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15" w:type="dxa"/>
            <w:tcBorders/>
            <w:shd w:fill="CCEEFF" w:val="clear"/>
            <w:tcMar>
              <w:bottom w:w="0" w:type="dxa"/>
            </w:tcMar>
            <w:vAlign w:val="bottom"/>
          </w:tcPr>
          <w:p>
            <w:pPr>
              <w:pStyle w:val="TableContents"/>
              <w:spacing w:before="0" w:after="0"/>
              <w:jc w:val="right"/>
              <w:rPr/>
            </w:pPr>
            <w:r>
              <w:rPr/>
              <w:t>(3.37</w:t>
            </w:r>
          </w:p>
        </w:tc>
        <w:tc>
          <w:tcPr>
            <w:tcW w:w="290" w:type="dxa"/>
            <w:tcBorders/>
            <w:shd w:fill="CCEEFF" w:val="clear"/>
            <w:tcMar>
              <w:bottom w:w="0" w:type="dxa"/>
            </w:tcMar>
            <w:vAlign w:val="bottom"/>
          </w:tcPr>
          <w:p>
            <w:pPr>
              <w:pStyle w:val="TableContents"/>
              <w:spacing w:before="0" w:after="0"/>
              <w:rPr/>
            </w:pPr>
            <w:r>
              <w:rPr/>
              <w:t>)%</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0"/>
              <w:rPr/>
            </w:pPr>
            <w:r>
              <w:rPr/>
              <w:t>$</w:t>
            </w:r>
          </w:p>
        </w:tc>
        <w:tc>
          <w:tcPr>
            <w:tcW w:w="800" w:type="dxa"/>
            <w:tcBorders/>
            <w:shd w:fill="CCEEFF" w:val="clear"/>
            <w:tcMar>
              <w:bottom w:w="0" w:type="dxa"/>
            </w:tcMar>
            <w:vAlign w:val="bottom"/>
          </w:tcPr>
          <w:p>
            <w:pPr>
              <w:pStyle w:val="TableContents"/>
              <w:spacing w:before="0" w:after="0"/>
              <w:jc w:val="right"/>
              <w:rPr/>
            </w:pPr>
            <w:r>
              <w:rPr/>
              <w:t>126,200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15" w:type="dxa"/>
            <w:tcBorders/>
            <w:shd w:fill="CCEEFF" w:val="clear"/>
            <w:tcMar>
              <w:bottom w:w="0" w:type="dxa"/>
            </w:tcMar>
            <w:vAlign w:val="bottom"/>
          </w:tcPr>
          <w:p>
            <w:pPr>
              <w:pStyle w:val="TableContents"/>
              <w:spacing w:before="0" w:after="0"/>
              <w:jc w:val="right"/>
              <w:rPr/>
            </w:pPr>
            <w:r>
              <w:rPr/>
              <w:t>3.27</w:t>
            </w:r>
          </w:p>
        </w:tc>
        <w:tc>
          <w:tcPr>
            <w:tcW w:w="215" w:type="dxa"/>
            <w:tcBorders/>
            <w:shd w:fill="CCEEFF" w:val="clear"/>
            <w:tcMar>
              <w:bottom w:w="0" w:type="dxa"/>
            </w:tcMar>
            <w:vAlign w:val="bottom"/>
          </w:tcPr>
          <w:p>
            <w:pPr>
              <w:pStyle w:val="TableContents"/>
              <w:spacing w:before="0" w:after="0"/>
              <w:rPr/>
            </w:pPr>
            <w:r>
              <w:rPr/>
              <w:t>%</w:t>
            </w:r>
          </w:p>
        </w:tc>
      </w:tr>
      <w:tr>
        <w:trPr/>
        <w:tc>
          <w:tcPr>
            <w:tcW w:w="2180" w:type="dxa"/>
            <w:tcBorders/>
            <w:shd w:fill="FFFFFF" w:val="clear"/>
            <w:tcMar>
              <w:bottom w:w="0" w:type="dxa"/>
            </w:tcMar>
            <w:vAlign w:val="bottom"/>
          </w:tcPr>
          <w:p>
            <w:pPr>
              <w:pStyle w:val="TableContents"/>
              <w:spacing w:before="0" w:after="0"/>
              <w:ind w:left="144" w:right="0" w:hanging="144"/>
              <w:rPr/>
            </w:pPr>
            <w:r>
              <w:rPr/>
              <w:t>100 basis point rise</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800" w:type="dxa"/>
            <w:tcBorders/>
            <w:shd w:fill="FFFFFF" w:val="clear"/>
            <w:tcMar>
              <w:bottom w:w="0" w:type="dxa"/>
            </w:tcMar>
            <w:vAlign w:val="bottom"/>
          </w:tcPr>
          <w:p>
            <w:pPr>
              <w:pStyle w:val="TableContents"/>
              <w:spacing w:before="0" w:after="0"/>
              <w:jc w:val="right"/>
              <w:rPr/>
            </w:pPr>
            <w:r>
              <w:rPr/>
              <w:t>495,400</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515" w:type="dxa"/>
            <w:tcBorders/>
            <w:shd w:fill="FFFFFF" w:val="clear"/>
            <w:tcMar>
              <w:bottom w:w="0" w:type="dxa"/>
            </w:tcMar>
            <w:vAlign w:val="bottom"/>
          </w:tcPr>
          <w:p>
            <w:pPr>
              <w:pStyle w:val="TableContents"/>
              <w:spacing w:before="0" w:after="0"/>
              <w:jc w:val="right"/>
              <w:rPr/>
            </w:pPr>
            <w:r>
              <w:rPr/>
              <w:t>(0.50</w:t>
            </w:r>
          </w:p>
        </w:tc>
        <w:tc>
          <w:tcPr>
            <w:tcW w:w="290" w:type="dxa"/>
            <w:tcBorders/>
            <w:shd w:fill="FFFFFF" w:val="clear"/>
            <w:tcMar>
              <w:bottom w:w="0" w:type="dxa"/>
            </w:tcMar>
            <w:vAlign w:val="bottom"/>
          </w:tcPr>
          <w:p>
            <w:pPr>
              <w:pStyle w:val="TableContents"/>
              <w:spacing w:before="0" w:after="0"/>
              <w:rPr/>
            </w:pPr>
            <w:r>
              <w:rPr/>
              <w:t>)</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800" w:type="dxa"/>
            <w:tcBorders/>
            <w:shd w:fill="FFFFFF" w:val="clear"/>
            <w:tcMar>
              <w:bottom w:w="0" w:type="dxa"/>
            </w:tcMar>
            <w:vAlign w:val="bottom"/>
          </w:tcPr>
          <w:p>
            <w:pPr>
              <w:pStyle w:val="TableContents"/>
              <w:spacing w:before="0" w:after="0"/>
              <w:jc w:val="right"/>
              <w:rPr/>
            </w:pPr>
            <w:r>
              <w:rPr/>
              <w:t>124,800</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515" w:type="dxa"/>
            <w:tcBorders/>
            <w:shd w:fill="FFFFFF" w:val="clear"/>
            <w:tcMar>
              <w:bottom w:w="0" w:type="dxa"/>
            </w:tcMar>
            <w:vAlign w:val="bottom"/>
          </w:tcPr>
          <w:p>
            <w:pPr>
              <w:pStyle w:val="TableContents"/>
              <w:spacing w:before="0" w:after="0"/>
              <w:jc w:val="right"/>
              <w:rPr/>
            </w:pPr>
            <w:r>
              <w:rPr/>
              <w:t>2.13</w:t>
            </w:r>
          </w:p>
        </w:tc>
        <w:tc>
          <w:tcPr>
            <w:tcW w:w="215" w:type="dxa"/>
            <w:tcBorders/>
            <w:shd w:fill="FFFFFF" w:val="clear"/>
            <w:tcMar>
              <w:bottom w:w="0" w:type="dxa"/>
            </w:tcMar>
            <w:vAlign w:val="bottom"/>
          </w:tcPr>
          <w:p>
            <w:pPr>
              <w:pStyle w:val="TableContents"/>
              <w:spacing w:before="0" w:after="283"/>
              <w:rPr/>
            </w:pPr>
            <w:r>
              <w:rPr/>
              <w:t> </w:t>
            </w:r>
          </w:p>
        </w:tc>
      </w:tr>
      <w:tr>
        <w:trPr/>
        <w:tc>
          <w:tcPr>
            <w:tcW w:w="2180" w:type="dxa"/>
            <w:tcBorders/>
            <w:shd w:fill="CCEEFF" w:val="clear"/>
            <w:tcMar>
              <w:bottom w:w="0" w:type="dxa"/>
            </w:tcMar>
            <w:vAlign w:val="bottom"/>
          </w:tcPr>
          <w:p>
            <w:pPr>
              <w:pStyle w:val="TableContents"/>
              <w:spacing w:before="0" w:after="0"/>
              <w:ind w:left="144" w:right="0" w:hanging="144"/>
              <w:rPr/>
            </w:pPr>
            <w:r>
              <w:rPr/>
              <w:t>Base-rate scenario</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800" w:type="dxa"/>
            <w:tcBorders/>
            <w:shd w:fill="CCEEFF" w:val="clear"/>
            <w:tcMar>
              <w:bottom w:w="0" w:type="dxa"/>
            </w:tcMar>
            <w:vAlign w:val="bottom"/>
          </w:tcPr>
          <w:p>
            <w:pPr>
              <w:pStyle w:val="TableContents"/>
              <w:spacing w:before="0" w:after="0"/>
              <w:jc w:val="right"/>
              <w:rPr/>
            </w:pPr>
            <w:r>
              <w:rPr/>
              <w:t>497,900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15" w:type="dxa"/>
            <w:tcBorders/>
            <w:shd w:fill="CCEEFF" w:val="clear"/>
            <w:tcMar>
              <w:bottom w:w="0" w:type="dxa"/>
            </w:tcMar>
            <w:vAlign w:val="bottom"/>
          </w:tcPr>
          <w:p>
            <w:pPr>
              <w:pStyle w:val="TableContents"/>
              <w:spacing w:before="0" w:after="0"/>
              <w:jc w:val="right"/>
              <w:rPr/>
            </w:pPr>
            <w:r>
              <w:rPr/>
              <w:t>-</w:t>
            </w:r>
          </w:p>
        </w:tc>
        <w:tc>
          <w:tcPr>
            <w:tcW w:w="29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283"/>
              <w:rPr/>
            </w:pPr>
            <w:r>
              <w:rPr/>
              <w:t> </w:t>
            </w:r>
          </w:p>
        </w:tc>
        <w:tc>
          <w:tcPr>
            <w:tcW w:w="800" w:type="dxa"/>
            <w:tcBorders/>
            <w:shd w:fill="CCEEFF" w:val="clear"/>
            <w:tcMar>
              <w:bottom w:w="0" w:type="dxa"/>
            </w:tcMar>
            <w:vAlign w:val="bottom"/>
          </w:tcPr>
          <w:p>
            <w:pPr>
              <w:pStyle w:val="TableContents"/>
              <w:spacing w:before="0" w:after="0"/>
              <w:jc w:val="right"/>
              <w:rPr/>
            </w:pPr>
            <w:r>
              <w:rPr/>
              <w:t>122,200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515" w:type="dxa"/>
            <w:tcBorders/>
            <w:shd w:fill="CCEEFF" w:val="clear"/>
            <w:tcMar>
              <w:bottom w:w="0" w:type="dxa"/>
            </w:tcMar>
            <w:vAlign w:val="bottom"/>
          </w:tcPr>
          <w:p>
            <w:pPr>
              <w:pStyle w:val="TableContents"/>
              <w:spacing w:before="0" w:after="0"/>
              <w:jc w:val="right"/>
              <w:rPr/>
            </w:pPr>
            <w:r>
              <w:rPr/>
              <w:t>-</w:t>
            </w:r>
          </w:p>
        </w:tc>
        <w:tc>
          <w:tcPr>
            <w:tcW w:w="215" w:type="dxa"/>
            <w:tcBorders/>
            <w:shd w:fill="CCEEFF" w:val="clear"/>
            <w:tcMar>
              <w:bottom w:w="0" w:type="dxa"/>
            </w:tcMar>
            <w:vAlign w:val="bottom"/>
          </w:tcPr>
          <w:p>
            <w:pPr>
              <w:pStyle w:val="TableContents"/>
              <w:spacing w:before="0" w:after="283"/>
              <w:rPr/>
            </w:pPr>
            <w:r>
              <w:rPr/>
              <w:t> </w:t>
            </w:r>
          </w:p>
        </w:tc>
      </w:tr>
      <w:tr>
        <w:trPr/>
        <w:tc>
          <w:tcPr>
            <w:tcW w:w="2180" w:type="dxa"/>
            <w:tcBorders/>
            <w:shd w:fill="FFFFFF" w:val="clear"/>
            <w:tcMar>
              <w:bottom w:w="0" w:type="dxa"/>
            </w:tcMar>
            <w:vAlign w:val="bottom"/>
          </w:tcPr>
          <w:p>
            <w:pPr>
              <w:pStyle w:val="TableContents"/>
              <w:spacing w:before="0" w:after="0"/>
              <w:ind w:left="144" w:right="0" w:hanging="144"/>
              <w:rPr/>
            </w:pPr>
            <w:r>
              <w:rPr/>
              <w:t>100 basis point decline</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800" w:type="dxa"/>
            <w:tcBorders/>
            <w:shd w:fill="FFFFFF" w:val="clear"/>
            <w:tcMar>
              <w:bottom w:w="0" w:type="dxa"/>
            </w:tcMar>
            <w:vAlign w:val="bottom"/>
          </w:tcPr>
          <w:p>
            <w:pPr>
              <w:pStyle w:val="TableContents"/>
              <w:spacing w:before="0" w:after="0"/>
              <w:jc w:val="right"/>
              <w:rPr/>
            </w:pPr>
            <w:r>
              <w:rPr/>
              <w:t>482,800</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515" w:type="dxa"/>
            <w:tcBorders/>
            <w:shd w:fill="FFFFFF" w:val="clear"/>
            <w:tcMar>
              <w:bottom w:w="0" w:type="dxa"/>
            </w:tcMar>
            <w:vAlign w:val="bottom"/>
          </w:tcPr>
          <w:p>
            <w:pPr>
              <w:pStyle w:val="TableContents"/>
              <w:spacing w:before="0" w:after="0"/>
              <w:jc w:val="right"/>
              <w:rPr/>
            </w:pPr>
            <w:r>
              <w:rPr/>
              <w:t>(3.03</w:t>
            </w:r>
          </w:p>
        </w:tc>
        <w:tc>
          <w:tcPr>
            <w:tcW w:w="290" w:type="dxa"/>
            <w:tcBorders/>
            <w:shd w:fill="FFFFFF" w:val="clear"/>
            <w:tcMar>
              <w:bottom w:w="0" w:type="dxa"/>
            </w:tcMar>
            <w:vAlign w:val="bottom"/>
          </w:tcPr>
          <w:p>
            <w:pPr>
              <w:pStyle w:val="TableContents"/>
              <w:spacing w:before="0" w:after="0"/>
              <w:rPr/>
            </w:pPr>
            <w:r>
              <w:rPr/>
              <w:t>)</w:t>
            </w:r>
          </w:p>
        </w:tc>
        <w:tc>
          <w:tcPr>
            <w:tcW w:w="60"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rPr/>
            </w:pPr>
            <w:r>
              <w:rPr/>
              <w:t> </w:t>
            </w:r>
          </w:p>
        </w:tc>
        <w:tc>
          <w:tcPr>
            <w:tcW w:w="800" w:type="dxa"/>
            <w:tcBorders/>
            <w:shd w:fill="FFFFFF" w:val="clear"/>
            <w:tcMar>
              <w:bottom w:w="0" w:type="dxa"/>
            </w:tcMar>
            <w:vAlign w:val="bottom"/>
          </w:tcPr>
          <w:p>
            <w:pPr>
              <w:pStyle w:val="TableContents"/>
              <w:spacing w:before="0" w:after="0"/>
              <w:jc w:val="right"/>
              <w:rPr/>
            </w:pPr>
            <w:r>
              <w:rPr/>
              <w:t>119,600</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515" w:type="dxa"/>
            <w:tcBorders/>
            <w:shd w:fill="FFFFFF" w:val="clear"/>
            <w:tcMar>
              <w:bottom w:w="0" w:type="dxa"/>
            </w:tcMar>
            <w:vAlign w:val="bottom"/>
          </w:tcPr>
          <w:p>
            <w:pPr>
              <w:pStyle w:val="TableContents"/>
              <w:spacing w:before="0" w:after="0"/>
              <w:jc w:val="right"/>
              <w:rPr/>
            </w:pPr>
            <w:r>
              <w:rPr/>
              <w:t>(2.13</w:t>
            </w:r>
          </w:p>
        </w:tc>
        <w:tc>
          <w:tcPr>
            <w:tcW w:w="215" w:type="dxa"/>
            <w:tcBorders/>
            <w:shd w:fill="FFFFFF" w:val="clear"/>
            <w:tcMar>
              <w:bottom w:w="0" w:type="dxa"/>
            </w:tcMar>
            <w:vAlign w:val="bottom"/>
          </w:tcPr>
          <w:p>
            <w:pPr>
              <w:pStyle w:val="TableContents"/>
              <w:spacing w:before="0" w:after="0"/>
              <w:rPr/>
            </w:pPr>
            <w:r>
              <w:rPr/>
              <w:t>)</w:t>
            </w:r>
          </w:p>
        </w:tc>
      </w:tr>
    </w:tbl>
    <w:p>
      <w:pPr>
        <w:pStyle w:val="TextBody"/>
        <w:spacing w:before="0" w:after="0"/>
        <w:rPr/>
      </w:pPr>
      <w:r>
        <w:rPr/>
      </w:r>
    </w:p>
    <w:p>
      <w:pPr>
        <w:pStyle w:val="HorizontalLine"/>
        <w:pBdr>
          <w:bottom w:val="single" w:sz="20" w:space="0" w:color="808080"/>
        </w:pBdr>
        <w:rPr/>
      </w:pPr>
      <w:r>
        <w:rPr/>
      </w:r>
    </w:p>
    <w:p>
      <w:pPr>
        <w:pStyle w:val="TextBody"/>
        <w:spacing w:before="0" w:after="0"/>
        <w:rPr/>
      </w:pPr>
      <w:r>
        <w:rPr/>
      </w:r>
    </w:p>
    <w:p>
      <w:pPr>
        <w:pStyle w:val="Normal"/>
        <w:spacing w:before="0" w:after="0"/>
        <w:rPr>
          <w:sz w:val="4"/>
          <w:szCs w:val="4"/>
        </w:rPr>
      </w:pPr>
      <w:r>
        <w:rPr>
          <w:sz w:val="4"/>
          <w:szCs w:val="4"/>
        </w:rPr>
      </w:r>
      <w:bookmarkStart w:id="878" w:name="z1412e520013d4b0ea80a192b378a5b70"/>
      <w:bookmarkStart w:id="879" w:name="z1412e520013d4b0ea80a192b378a5b70"/>
      <w:bookmarkEnd w:id="879"/>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0"/>
              <w:rPr/>
            </w:pPr>
            <w:r>
              <w:rPr/>
              <w:t>(1)</w:t>
            </w:r>
          </w:p>
        </w:tc>
        <w:tc>
          <w:tcPr>
            <w:tcW w:w="9956" w:type="dxa"/>
            <w:tcBorders/>
            <w:shd w:fill="auto" w:val="clear"/>
            <w:vAlign w:val="center"/>
          </w:tcPr>
          <w:p>
            <w:pPr>
              <w:pStyle w:val="TableContents"/>
              <w:spacing w:before="0" w:after="0"/>
              <w:rPr/>
            </w:pPr>
            <w:r>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tc>
      </w:tr>
    </w:tbl>
    <w:p>
      <w:pPr>
        <w:pStyle w:val="Normal"/>
        <w:spacing w:before="0" w:after="0"/>
        <w:rPr>
          <w:sz w:val="4"/>
          <w:szCs w:val="4"/>
        </w:rPr>
      </w:pPr>
      <w:r>
        <w:rPr>
          <w:sz w:val="4"/>
          <w:szCs w:val="4"/>
        </w:rPr>
      </w:r>
      <w:bookmarkStart w:id="880" w:name="z7a214f58b2d54925984c4811380bd236"/>
      <w:bookmarkStart w:id="881" w:name="z7a214f58b2d54925984c4811380bd236"/>
      <w:bookmarkEnd w:id="881"/>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0"/>
              <w:rPr/>
            </w:pPr>
            <w:r>
              <w:rPr/>
              <w:t>(2)</w:t>
            </w:r>
          </w:p>
        </w:tc>
        <w:tc>
          <w:tcPr>
            <w:tcW w:w="9950" w:type="dxa"/>
            <w:tcBorders/>
            <w:shd w:fill="auto" w:val="clear"/>
            <w:vAlign w:val="center"/>
          </w:tcPr>
          <w:p>
            <w:pPr>
              <w:pStyle w:val="TableContents"/>
              <w:spacing w:before="0" w:after="0"/>
              <w:rPr/>
            </w:pPr>
            <w:r>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tc>
      </w:tr>
    </w:tbl>
    <w:p>
      <w:pPr>
        <w:pStyle w:val="TextBody"/>
        <w:spacing w:before="0" w:after="0"/>
        <w:rPr/>
      </w:pPr>
      <w:r>
        <w:rPr/>
      </w:r>
    </w:p>
    <w:p>
      <w:pPr>
        <w:pStyle w:val="TextBody"/>
        <w:spacing w:before="0" w:after="0"/>
        <w:jc w:val="both"/>
        <w:rPr/>
      </w:pPr>
      <w:r>
        <w:rPr>
          <w:b/>
          <w:color w:val="000000"/>
        </w:rPr>
        <w:t xml:space="preserve">Accounting standards update. </w:t>
      </w:r>
      <w:r>
        <w:rPr/>
        <w:t>See note #2  to  the Condensed Consolidated Financial Statements included elsewhere in this report for details on recently issued accounting pronouncements and their impact on our financial statements.</w:t>
      </w:r>
    </w:p>
    <w:p>
      <w:pPr>
        <w:pStyle w:val="TextBody"/>
        <w:spacing w:before="0" w:after="0"/>
        <w:rPr/>
      </w:pPr>
      <w:r>
        <w:rPr/>
      </w:r>
    </w:p>
    <w:p>
      <w:pPr>
        <w:pStyle w:val="TextBody"/>
        <w:spacing w:before="0" w:after="0"/>
        <w:jc w:val="both"/>
        <w:rPr/>
      </w:pPr>
      <w:r>
        <w:rPr>
          <w:b/>
          <w:color w:val="000000"/>
        </w:rPr>
        <w:t>Fair valuation of financial instruments.</w:t>
      </w:r>
      <w:r>
        <w:rPr>
          <w:color w:val="000000"/>
        </w:rPr>
        <w:t xml:space="preserve">  </w:t>
      </w:r>
      <w:r>
        <w:rPr/>
        <w:t>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spacing w:before="0" w:after="0"/>
        <w:rPr/>
      </w:pPr>
      <w:r>
        <w:rPr/>
      </w:r>
    </w:p>
    <w:p>
      <w:pPr>
        <w:pStyle w:val="TextBody"/>
        <w:spacing w:before="0" w:after="0"/>
        <w:jc w:val="both"/>
        <w:rPr/>
      </w:pPr>
      <w:r>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Certain equity securities (at December 31, 2018), securities available for sale, loans held for sale,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market accounting or write-downs of individual assets. See note #11 to the Condensed Consolidated Financial Statements included within this report for a complete discussion on our use of fair valuation of financial instruments and the related measurement techniques.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82" w:name="DSPFPageBreakArea86"/>
      <w:bookmarkStart w:id="883" w:name="DSPFPageBreakArea86"/>
      <w:bookmarkEnd w:id="8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84" w:name="DSPFPageNumber86"/>
      <w:bookmarkStart w:id="885" w:name="DSPFPageNumberArea85"/>
      <w:bookmarkEnd w:id="884"/>
      <w:bookmarkEnd w:id="885"/>
      <w:r>
        <w:rPr>
          <w:b w:val="false"/>
          <w:i w:val="false"/>
          <w:caps w:val="false"/>
          <w:smallCaps w:val="false"/>
          <w:sz w:val="13"/>
        </w:rPr>
        <w:t>87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86" w:name="DSPFPageBreak86"/>
      <w:bookmarkStart w:id="887" w:name="DSPFPageBreak86"/>
      <w:bookmarkEnd w:id="8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88" w:name="DSPFPageHeader85"/>
        <w:bookmarkEnd w:id="888"/>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smallCaps/>
        </w:rPr>
      </w:pPr>
      <w:r>
        <w:rPr>
          <w:b/>
          <w:smallCaps/>
        </w:rPr>
        <w:t>Litigation Matters</w:t>
      </w:r>
    </w:p>
    <w:p>
      <w:pPr>
        <w:pStyle w:val="TextBody"/>
        <w:spacing w:before="0" w:after="0"/>
        <w:rPr/>
      </w:pPr>
      <w:r>
        <w:rPr/>
      </w:r>
    </w:p>
    <w:p>
      <w:pPr>
        <w:pStyle w:val="TextBody"/>
        <w:spacing w:before="0" w:after="0"/>
        <w:jc w:val="both"/>
        <w:rPr/>
      </w:pPr>
      <w:r>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pStyle w:val="TextBody"/>
        <w:spacing w:before="0" w:after="0"/>
        <w:rPr/>
      </w:pPr>
      <w:r>
        <w:rPr/>
      </w:r>
    </w:p>
    <w:p>
      <w:pPr>
        <w:pStyle w:val="TextBody"/>
        <w:spacing w:before="0" w:after="0"/>
        <w:jc w:val="both"/>
        <w:rPr/>
      </w:pPr>
      <w:r>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pStyle w:val="TextBody"/>
        <w:spacing w:before="0" w:after="0"/>
        <w:rPr/>
      </w:pPr>
      <w:r>
        <w:rPr/>
      </w:r>
    </w:p>
    <w:p>
      <w:pPr>
        <w:pStyle w:val="TextBody"/>
        <w:spacing w:before="0" w:after="0"/>
        <w:jc w:val="center"/>
        <w:rPr>
          <w:b/>
          <w:smallCaps/>
        </w:rPr>
      </w:pPr>
      <w:r>
        <w:rPr>
          <w:b/>
          <w:smallCaps/>
        </w:rPr>
        <w:t>Critical Accounting Policies</w:t>
      </w:r>
    </w:p>
    <w:p>
      <w:pPr>
        <w:pStyle w:val="TextBody"/>
        <w:spacing w:before="0" w:after="0"/>
        <w:jc w:val="both"/>
        <w:rPr/>
      </w:pPr>
      <w:r>
        <w:rPr/>
      </w:r>
    </w:p>
    <w:p>
      <w:pPr>
        <w:pStyle w:val="TextBody"/>
        <w:spacing w:before="0" w:after="0"/>
        <w:jc w:val="both"/>
        <w:rPr/>
      </w:pPr>
      <w:r>
        <w:rPr/>
        <w:t>Our accounting and reporting policies are in accordance with accounting principles generally accepted in the United States of America and conform to general practices within the banking industry. Accounting and reporting policies for the AFLL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2018.</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89" w:name="DSPFPageBreakArea87"/>
      <w:bookmarkStart w:id="890" w:name="DSPFPageBreakArea87"/>
      <w:bookmarkEnd w:id="8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891" w:name="DSPFPageNumber87"/>
      <w:bookmarkStart w:id="892" w:name="DSPFPageNumberArea86"/>
      <w:bookmarkEnd w:id="891"/>
      <w:bookmarkEnd w:id="892"/>
      <w:r>
        <w:rPr>
          <w:b w:val="false"/>
          <w:i w:val="false"/>
          <w:caps w:val="false"/>
          <w:smallCaps w:val="false"/>
          <w:sz w:val="13"/>
        </w:rPr>
        <w:t>88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93" w:name="DSPFPageBreak87"/>
      <w:bookmarkStart w:id="894" w:name="DSPFPageBreak87"/>
      <w:bookmarkEnd w:id="8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895" w:name="DSPFPageHeader86"/>
        <w:bookmarkEnd w:id="89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Item 3.</w:t>
      </w:r>
    </w:p>
    <w:p>
      <w:pPr>
        <w:pStyle w:val="TextBody"/>
        <w:spacing w:before="0" w:after="0"/>
        <w:rPr/>
      </w:pPr>
      <w:r>
        <w:rPr/>
      </w:r>
    </w:p>
    <w:p>
      <w:pPr>
        <w:pStyle w:val="TextBody"/>
        <w:spacing w:before="0" w:after="0"/>
        <w:jc w:val="center"/>
        <w:rPr>
          <w:b/>
          <w:smallCaps/>
        </w:rPr>
      </w:pPr>
      <w:bookmarkStart w:id="896" w:name="QuantitativeandQualitativ"/>
      <w:bookmarkEnd w:id="896"/>
      <w:r>
        <w:rPr>
          <w:b/>
          <w:smallCaps/>
        </w:rPr>
        <w:t>Quantitative and Qualitative Disclosures about Market Risk</w:t>
      </w:r>
    </w:p>
    <w:p>
      <w:pPr>
        <w:pStyle w:val="TextBody"/>
        <w:spacing w:before="0" w:after="0"/>
        <w:rPr/>
      </w:pPr>
      <w:r>
        <w:rPr/>
      </w:r>
    </w:p>
    <w:p>
      <w:pPr>
        <w:pStyle w:val="TextBody"/>
        <w:spacing w:before="0" w:after="0"/>
        <w:jc w:val="both"/>
        <w:rPr/>
      </w:pPr>
      <w:r>
        <w:rPr/>
        <w:t>See applicable disclosures set forth in “Management’s Discussion and Analysis of Financial Condition and Results of Operations” in Item 2 under the caption “Asset/liability management.”</w:t>
      </w:r>
    </w:p>
    <w:p>
      <w:pPr>
        <w:pStyle w:val="TextBody"/>
        <w:spacing w:before="0" w:after="0"/>
        <w:rPr/>
      </w:pPr>
      <w:r>
        <w:rPr/>
      </w:r>
    </w:p>
    <w:p>
      <w:pPr>
        <w:pStyle w:val="TextBody"/>
        <w:spacing w:before="0" w:after="0"/>
        <w:rPr/>
      </w:pPr>
      <w:r>
        <w:rPr/>
        <w:t>Item 4.</w:t>
      </w:r>
    </w:p>
    <w:p>
      <w:pPr>
        <w:pStyle w:val="TextBody"/>
        <w:spacing w:before="0" w:after="0"/>
        <w:rPr/>
      </w:pPr>
      <w:r>
        <w:rPr/>
      </w:r>
    </w:p>
    <w:p>
      <w:pPr>
        <w:pStyle w:val="TextBody"/>
        <w:spacing w:before="0" w:after="0"/>
        <w:jc w:val="center"/>
        <w:rPr>
          <w:b/>
          <w:smallCaps/>
        </w:rPr>
      </w:pPr>
      <w:bookmarkStart w:id="897" w:name="ControlsandProcedures"/>
      <w:bookmarkEnd w:id="897"/>
      <w:r>
        <w:rPr>
          <w:b/>
          <w:smallCaps/>
        </w:rPr>
        <w:t>Controls and Procedures</w:t>
      </w:r>
    </w:p>
    <w:p>
      <w:pPr>
        <w:pStyle w:val="TextBody"/>
        <w:spacing w:before="0" w:after="0"/>
        <w:rPr/>
      </w:pPr>
      <w:r>
        <w:rPr/>
      </w:r>
    </w:p>
    <w:p>
      <w:pPr>
        <w:pStyle w:val="Normal"/>
        <w:spacing w:before="0" w:after="0"/>
        <w:rPr>
          <w:sz w:val="4"/>
          <w:szCs w:val="4"/>
        </w:rPr>
      </w:pPr>
      <w:r>
        <w:rPr>
          <w:sz w:val="4"/>
          <w:szCs w:val="4"/>
        </w:rPr>
      </w:r>
      <w:bookmarkStart w:id="898" w:name="z84aafdfff3b94f51bae039df18404884"/>
      <w:bookmarkStart w:id="899" w:name="z84aafdfff3b94f51bae039df18404884"/>
      <w:bookmarkEnd w:id="899"/>
    </w:p>
    <w:tbl>
      <w:tblPr>
        <w:tblW w:w="5110" w:type="dxa"/>
        <w:jc w:val="left"/>
        <w:tblInd w:w="0" w:type="dxa"/>
        <w:tblCellMar>
          <w:top w:w="0" w:type="dxa"/>
          <w:left w:w="0" w:type="dxa"/>
          <w:bottom w:w="0" w:type="dxa"/>
          <w:right w:w="0" w:type="dxa"/>
        </w:tblCellMar>
      </w:tblPr>
      <w:tblGrid>
        <w:gridCol w:w="290"/>
        <w:gridCol w:w="4820"/>
      </w:tblGrid>
      <w:tr>
        <w:trPr/>
        <w:tc>
          <w:tcPr>
            <w:tcW w:w="290" w:type="dxa"/>
            <w:tcBorders/>
            <w:shd w:fill="auto" w:val="clear"/>
            <w:vAlign w:val="center"/>
          </w:tcPr>
          <w:p>
            <w:pPr>
              <w:pStyle w:val="TableContents"/>
              <w:spacing w:before="0" w:after="283"/>
              <w:rPr/>
            </w:pPr>
            <w:r>
              <w:rPr/>
              <w:t>(a)</w:t>
            </w:r>
          </w:p>
        </w:tc>
        <w:tc>
          <w:tcPr>
            <w:tcW w:w="4820" w:type="dxa"/>
            <w:tcBorders/>
            <w:shd w:fill="auto" w:val="clear"/>
            <w:vAlign w:val="center"/>
          </w:tcPr>
          <w:p>
            <w:pPr>
              <w:pStyle w:val="TableContents"/>
              <w:spacing w:before="0" w:after="0"/>
              <w:jc w:val="both"/>
              <w:rPr/>
            </w:pPr>
            <w:r>
              <w:rPr/>
              <w:t>Evaluation of Disclosure Controls and Procedures.</w:t>
            </w:r>
          </w:p>
        </w:tc>
      </w:tr>
    </w:tbl>
    <w:p>
      <w:pPr>
        <w:pStyle w:val="TextBody"/>
        <w:spacing w:before="0" w:after="0"/>
        <w:rPr/>
      </w:pPr>
      <w:r>
        <w:rPr/>
      </w:r>
    </w:p>
    <w:p>
      <w:pPr>
        <w:pStyle w:val="TextBody"/>
        <w:spacing w:before="0" w:after="0"/>
        <w:ind w:left="360" w:right="0" w:hanging="0"/>
        <w:jc w:val="both"/>
        <w:rPr/>
      </w:pPr>
      <w:r>
        <w:rPr/>
        <w:t>With the participation of management, our chief executive officer and chief financial officer, after evaluating the effectiveness of our disclosure controls and procedures (as defined in Exchange Act Rules 13a – 15(e) and 15d – 15(e)) for the period ended June 30, 2019, have concluded that, as of such date, our disclosure controls and procedures were effective.</w:t>
      </w:r>
    </w:p>
    <w:p>
      <w:pPr>
        <w:pStyle w:val="TextBody"/>
        <w:spacing w:before="0" w:after="0"/>
        <w:rPr/>
      </w:pPr>
      <w:r>
        <w:rPr/>
      </w:r>
    </w:p>
    <w:p>
      <w:pPr>
        <w:pStyle w:val="Normal"/>
        <w:spacing w:before="0" w:after="0"/>
        <w:rPr>
          <w:sz w:val="4"/>
          <w:szCs w:val="4"/>
        </w:rPr>
      </w:pPr>
      <w:r>
        <w:rPr>
          <w:sz w:val="4"/>
          <w:szCs w:val="4"/>
        </w:rPr>
      </w:r>
      <w:bookmarkStart w:id="900" w:name="z9f539673a8f34964ada4b9746af779ac"/>
      <w:bookmarkStart w:id="901" w:name="z9f539673a8f34964ada4b9746af779ac"/>
      <w:bookmarkEnd w:id="901"/>
    </w:p>
    <w:tbl>
      <w:tblPr>
        <w:tblW w:w="3115" w:type="dxa"/>
        <w:jc w:val="left"/>
        <w:tblInd w:w="0" w:type="dxa"/>
        <w:tblCellMar>
          <w:top w:w="0" w:type="dxa"/>
          <w:left w:w="0" w:type="dxa"/>
          <w:bottom w:w="0" w:type="dxa"/>
          <w:right w:w="0" w:type="dxa"/>
        </w:tblCellMar>
      </w:tblPr>
      <w:tblGrid>
        <w:gridCol w:w="305"/>
        <w:gridCol w:w="2810"/>
      </w:tblGrid>
      <w:tr>
        <w:trPr/>
        <w:tc>
          <w:tcPr>
            <w:tcW w:w="305" w:type="dxa"/>
            <w:tcBorders/>
            <w:shd w:fill="auto" w:val="clear"/>
            <w:vAlign w:val="center"/>
          </w:tcPr>
          <w:p>
            <w:pPr>
              <w:pStyle w:val="TableContents"/>
              <w:spacing w:before="0" w:after="283"/>
              <w:rPr/>
            </w:pPr>
            <w:r>
              <w:rPr/>
              <w:t>(b)</w:t>
            </w:r>
          </w:p>
        </w:tc>
        <w:tc>
          <w:tcPr>
            <w:tcW w:w="2810" w:type="dxa"/>
            <w:tcBorders/>
            <w:shd w:fill="auto" w:val="clear"/>
            <w:vAlign w:val="center"/>
          </w:tcPr>
          <w:p>
            <w:pPr>
              <w:pStyle w:val="TableContents"/>
              <w:spacing w:before="0" w:after="0"/>
              <w:jc w:val="both"/>
              <w:rPr/>
            </w:pPr>
            <w:r>
              <w:rPr/>
              <w:t>Changes in Internal Controls.</w:t>
            </w:r>
          </w:p>
        </w:tc>
      </w:tr>
    </w:tbl>
    <w:p>
      <w:pPr>
        <w:pStyle w:val="TextBody"/>
        <w:spacing w:before="0" w:after="0"/>
        <w:rPr/>
      </w:pPr>
      <w:r>
        <w:rPr/>
      </w:r>
    </w:p>
    <w:p>
      <w:pPr>
        <w:pStyle w:val="TextBody"/>
        <w:spacing w:before="0" w:after="0"/>
        <w:ind w:left="360" w:right="0" w:hanging="0"/>
        <w:jc w:val="both"/>
        <w:rPr/>
      </w:pPr>
      <w:r>
        <w:rPr/>
        <w:t>During the quarter ended June 30, 2019, there were no changes in our internal control over financial reporting that materially affected, or are reasonably likely to materially affect, our internal control over financial reporting.</w:t>
      </w:r>
    </w:p>
    <w:p>
      <w:pPr>
        <w:pStyle w:val="TextBody"/>
        <w:spacing w:before="0" w:after="0"/>
        <w:ind w:left="36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02" w:name="DSPFPageBreakArea88"/>
      <w:bookmarkStart w:id="903" w:name="DSPFPageBreakArea88"/>
      <w:bookmarkEnd w:id="9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904" w:name="DSPFPageNumber88"/>
      <w:bookmarkStart w:id="905" w:name="DSPFPageNumberArea87"/>
      <w:bookmarkEnd w:id="904"/>
      <w:bookmarkEnd w:id="905"/>
      <w:r>
        <w:rPr>
          <w:b w:val="false"/>
          <w:i w:val="false"/>
          <w:caps w:val="false"/>
          <w:smallCaps w:val="false"/>
          <w:sz w:val="13"/>
        </w:rPr>
        <w:t>89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06" w:name="DSPFPageBreak88"/>
      <w:bookmarkStart w:id="907" w:name="DSPFPageBreak88"/>
      <w:bookmarkEnd w:id="9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908" w:name="DSPFPageHeader87"/>
        <w:bookmarkEnd w:id="908"/>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Part II</w:t>
      </w:r>
    </w:p>
    <w:p>
      <w:pPr>
        <w:pStyle w:val="TextBody"/>
        <w:spacing w:before="0" w:after="0"/>
        <w:rPr/>
      </w:pPr>
      <w:r>
        <w:rPr/>
      </w:r>
    </w:p>
    <w:p>
      <w:pPr>
        <w:pStyle w:val="Normal"/>
        <w:spacing w:before="0" w:after="0"/>
        <w:rPr>
          <w:sz w:val="4"/>
          <w:szCs w:val="4"/>
        </w:rPr>
      </w:pPr>
      <w:r>
        <w:rPr>
          <w:sz w:val="4"/>
          <w:szCs w:val="4"/>
        </w:rPr>
      </w:r>
      <w:bookmarkStart w:id="909" w:name="zd18d949e80c64736886d0f91b7f6b6e0"/>
      <w:bookmarkStart w:id="910" w:name="zd18d949e80c64736886d0f91b7f6b6e0"/>
      <w:bookmarkEnd w:id="910"/>
    </w:p>
    <w:tbl>
      <w:tblPr>
        <w:tblW w:w="2095" w:type="dxa"/>
        <w:jc w:val="left"/>
        <w:tblInd w:w="0" w:type="dxa"/>
        <w:tblCellMar>
          <w:top w:w="0" w:type="dxa"/>
          <w:left w:w="0" w:type="dxa"/>
          <w:bottom w:w="0" w:type="dxa"/>
          <w:right w:w="0" w:type="dxa"/>
        </w:tblCellMar>
      </w:tblPr>
      <w:tblGrid>
        <w:gridCol w:w="875"/>
        <w:gridCol w:w="1220"/>
      </w:tblGrid>
      <w:tr>
        <w:trPr/>
        <w:tc>
          <w:tcPr>
            <w:tcW w:w="875" w:type="dxa"/>
            <w:tcBorders/>
            <w:shd w:fill="auto" w:val="clear"/>
            <w:vAlign w:val="center"/>
          </w:tcPr>
          <w:p>
            <w:pPr>
              <w:pStyle w:val="TableContents"/>
              <w:spacing w:before="0" w:after="283"/>
              <w:rPr>
                <w:u w:val="single"/>
              </w:rPr>
            </w:pPr>
            <w:r>
              <w:rPr>
                <w:u w:val="single"/>
              </w:rPr>
              <w:t>Item 1A.</w:t>
            </w:r>
          </w:p>
        </w:tc>
        <w:tc>
          <w:tcPr>
            <w:tcW w:w="1220" w:type="dxa"/>
            <w:tcBorders/>
            <w:shd w:fill="auto" w:val="clear"/>
            <w:vAlign w:val="center"/>
          </w:tcPr>
          <w:p>
            <w:pPr>
              <w:pStyle w:val="TableContents"/>
              <w:spacing w:before="0" w:after="0"/>
              <w:rPr>
                <w:u w:val="single"/>
              </w:rPr>
            </w:pPr>
            <w:bookmarkStart w:id="911" w:name="RiskFactors"/>
            <w:bookmarkEnd w:id="911"/>
            <w:r>
              <w:rPr>
                <w:u w:val="single"/>
              </w:rPr>
              <w:t>Risk Factors</w:t>
            </w:r>
          </w:p>
        </w:tc>
      </w:tr>
    </w:tbl>
    <w:p>
      <w:pPr>
        <w:pStyle w:val="TextBody"/>
        <w:spacing w:before="0" w:after="0"/>
        <w:rPr/>
      </w:pPr>
      <w:r>
        <w:rPr/>
      </w:r>
    </w:p>
    <w:p>
      <w:pPr>
        <w:pStyle w:val="TextBody"/>
        <w:spacing w:before="0" w:after="0"/>
        <w:jc w:val="both"/>
        <w:rPr/>
      </w:pPr>
      <w:r>
        <w:rPr/>
        <w:t>There have been no material changes to the risk factors disclosed in Item 1A. Risk Factors of our Annual Report on Form 10-K for the year ended December 31, 2018.</w:t>
      </w:r>
    </w:p>
    <w:p>
      <w:pPr>
        <w:pStyle w:val="TextBody"/>
        <w:spacing w:before="0" w:after="0"/>
        <w:rPr/>
      </w:pPr>
      <w:r>
        <w:rPr/>
      </w:r>
    </w:p>
    <w:p>
      <w:pPr>
        <w:pStyle w:val="Normal"/>
        <w:spacing w:before="0" w:after="0"/>
        <w:rPr>
          <w:sz w:val="4"/>
          <w:szCs w:val="4"/>
        </w:rPr>
      </w:pPr>
      <w:r>
        <w:rPr>
          <w:sz w:val="4"/>
          <w:szCs w:val="4"/>
        </w:rPr>
      </w:r>
      <w:bookmarkStart w:id="912" w:name="z925b943567a347cc9373317bcfa43b5a"/>
      <w:bookmarkStart w:id="913" w:name="z925b943567a347cc9373317bcfa43b5a"/>
      <w:bookmarkEnd w:id="913"/>
    </w:p>
    <w:tbl>
      <w:tblPr>
        <w:tblW w:w="6430" w:type="dxa"/>
        <w:jc w:val="left"/>
        <w:tblInd w:w="0" w:type="dxa"/>
        <w:tblCellMar>
          <w:top w:w="0" w:type="dxa"/>
          <w:left w:w="0" w:type="dxa"/>
          <w:bottom w:w="0" w:type="dxa"/>
          <w:right w:w="0" w:type="dxa"/>
        </w:tblCellMar>
      </w:tblPr>
      <w:tblGrid>
        <w:gridCol w:w="695"/>
        <w:gridCol w:w="5735"/>
      </w:tblGrid>
      <w:tr>
        <w:trPr/>
        <w:tc>
          <w:tcPr>
            <w:tcW w:w="695" w:type="dxa"/>
            <w:tcBorders/>
            <w:shd w:fill="auto" w:val="clear"/>
            <w:vAlign w:val="center"/>
          </w:tcPr>
          <w:p>
            <w:pPr>
              <w:pStyle w:val="TableContents"/>
              <w:spacing w:before="0" w:after="283"/>
              <w:rPr>
                <w:u w:val="single"/>
              </w:rPr>
            </w:pPr>
            <w:r>
              <w:rPr>
                <w:u w:val="single"/>
              </w:rPr>
              <w:t>Item 2.</w:t>
            </w:r>
          </w:p>
        </w:tc>
        <w:tc>
          <w:tcPr>
            <w:tcW w:w="5735" w:type="dxa"/>
            <w:tcBorders/>
            <w:shd w:fill="auto" w:val="clear"/>
            <w:vAlign w:val="center"/>
          </w:tcPr>
          <w:p>
            <w:pPr>
              <w:pStyle w:val="TableContents"/>
              <w:spacing w:before="0" w:after="0"/>
              <w:rPr>
                <w:u w:val="single"/>
              </w:rPr>
            </w:pPr>
            <w:bookmarkStart w:id="914" w:name="UnregisteredSalesofEquity"/>
            <w:bookmarkEnd w:id="914"/>
            <w:r>
              <w:rPr>
                <w:u w:val="single"/>
              </w:rPr>
              <w:t>Unregistered Sales of Equity Securities and Use of Proceeds</w:t>
            </w:r>
          </w:p>
        </w:tc>
      </w:tr>
    </w:tbl>
    <w:p>
      <w:pPr>
        <w:pStyle w:val="TextBody"/>
        <w:spacing w:before="0" w:after="0"/>
        <w:rPr/>
      </w:pPr>
      <w:r>
        <w:rPr/>
      </w:r>
    </w:p>
    <w:p>
      <w:pPr>
        <w:pStyle w:val="TextBody"/>
        <w:spacing w:before="0" w:after="0"/>
        <w:jc w:val="both"/>
        <w:rPr/>
      </w:pPr>
      <w:r>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second quarter of 2019, the Company issued 731 shares of common stock to non-employee directors on a current basis and 2,093 shares of common stock to the trust for distribution to directors on a deferred basis.  These shares were issued on April 1, 2019 representing aggregate fees of $0.06 million. The shares on a current basis were issued at a price of $21.50 per share and the shares on a deferred basis were issued at a price of $19.35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pStyle w:val="TextBody"/>
        <w:spacing w:before="0" w:after="0"/>
        <w:rPr/>
      </w:pPr>
      <w:r>
        <w:rPr/>
      </w:r>
    </w:p>
    <w:p>
      <w:pPr>
        <w:pStyle w:val="TextBody"/>
        <w:spacing w:before="0" w:after="0"/>
        <w:jc w:val="both"/>
        <w:rPr/>
      </w:pPr>
      <w:r>
        <w:rPr/>
        <w:t>The following table shows certain information relating to repurchases of common stock for the three-months ended June 30, 2019:</w:t>
      </w:r>
    </w:p>
    <w:p>
      <w:pPr>
        <w:pStyle w:val="TextBody"/>
        <w:spacing w:before="0" w:after="0"/>
        <w:rPr/>
      </w:pPr>
      <w:r>
        <w:rPr/>
      </w:r>
    </w:p>
    <w:p>
      <w:pPr>
        <w:pStyle w:val="Normal"/>
        <w:spacing w:before="0" w:after="0"/>
        <w:rPr>
          <w:sz w:val="4"/>
          <w:szCs w:val="4"/>
        </w:rPr>
      </w:pPr>
      <w:r>
        <w:rPr>
          <w:sz w:val="4"/>
          <w:szCs w:val="4"/>
        </w:rPr>
      </w:r>
      <w:bookmarkStart w:id="915" w:name="zd193b8fc504b486381b8127883a62b85"/>
      <w:bookmarkStart w:id="916" w:name="zd193b8fc504b486381b8127883a62b85"/>
      <w:bookmarkEnd w:id="916"/>
    </w:p>
    <w:tbl>
      <w:tblPr>
        <w:tblW w:w="8430" w:type="dxa"/>
        <w:jc w:val="left"/>
        <w:tblInd w:w="0" w:type="dxa"/>
        <w:tblCellMar>
          <w:top w:w="0" w:type="dxa"/>
          <w:left w:w="0" w:type="dxa"/>
          <w:bottom w:w="28" w:type="dxa"/>
          <w:right w:w="0" w:type="dxa"/>
        </w:tblCellMar>
      </w:tblPr>
      <w:tblGrid>
        <w:gridCol w:w="1070"/>
        <w:gridCol w:w="60"/>
        <w:gridCol w:w="97"/>
        <w:gridCol w:w="1588"/>
        <w:gridCol w:w="60"/>
        <w:gridCol w:w="60"/>
        <w:gridCol w:w="283"/>
        <w:gridCol w:w="1132"/>
        <w:gridCol w:w="60"/>
        <w:gridCol w:w="60"/>
        <w:gridCol w:w="97"/>
        <w:gridCol w:w="1588"/>
        <w:gridCol w:w="60"/>
        <w:gridCol w:w="60"/>
        <w:gridCol w:w="123"/>
        <w:gridCol w:w="1652"/>
        <w:gridCol w:w="380"/>
      </w:tblGrid>
      <w:tr>
        <w:trPr/>
        <w:tc>
          <w:tcPr>
            <w:tcW w:w="1070" w:type="dxa"/>
            <w:tcBorders>
              <w:bottom w:val="single" w:sz="12" w:space="0" w:color="000000"/>
            </w:tcBorders>
            <w:shd w:fill="auto" w:val="clear"/>
            <w:vAlign w:val="center"/>
          </w:tcPr>
          <w:p>
            <w:pPr>
              <w:pStyle w:val="TableContents"/>
              <w:spacing w:before="0" w:after="0"/>
              <w:ind w:left="144" w:right="0" w:hanging="144"/>
              <w:jc w:val="center"/>
              <w:rPr>
                <w:color w:val="000000"/>
              </w:rPr>
            </w:pPr>
            <w:r>
              <w:rPr>
                <w:color w:val="000000"/>
              </w:rPr>
              <w:t>Period</w:t>
            </w:r>
          </w:p>
        </w:tc>
        <w:tc>
          <w:tcPr>
            <w:tcW w:w="60" w:type="dxa"/>
            <w:tcBorders>
              <w:bottom w:val="single" w:sz="12" w:space="0" w:color="000000"/>
            </w:tcBorders>
            <w:shd w:fill="auto" w:val="clear"/>
            <w:vAlign w:val="bottom"/>
          </w:tcPr>
          <w:p>
            <w:pPr>
              <w:pStyle w:val="TableContents"/>
              <w:spacing w:before="0" w:after="283"/>
              <w:rPr/>
            </w:pPr>
            <w:r>
              <w:rPr/>
              <w:t> </w:t>
            </w:r>
          </w:p>
        </w:tc>
        <w:tc>
          <w:tcPr>
            <w:tcW w:w="1685" w:type="dxa"/>
            <w:gridSpan w:val="2"/>
            <w:tcBorders>
              <w:bottom w:val="single" w:sz="12" w:space="0" w:color="000000"/>
            </w:tcBorders>
            <w:shd w:fill="auto" w:val="clear"/>
            <w:vAlign w:val="center"/>
          </w:tcPr>
          <w:p>
            <w:pPr>
              <w:pStyle w:val="TableContents"/>
              <w:spacing w:before="0" w:after="0"/>
              <w:jc w:val="center"/>
              <w:rPr>
                <w:color w:val="000000"/>
              </w:rPr>
            </w:pPr>
            <w:r>
              <w:rPr>
                <w:color w:val="000000"/>
              </w:rPr>
              <w:t>Total Number of</w:t>
            </w:r>
          </w:p>
          <w:p>
            <w:pPr>
              <w:pStyle w:val="TableContents"/>
              <w:spacing w:before="0" w:after="0"/>
              <w:jc w:val="center"/>
              <w:rPr>
                <w:color w:val="000000"/>
              </w:rPr>
            </w:pPr>
            <w:r>
              <w:rPr>
                <w:color w:val="000000"/>
              </w:rPr>
              <w:t>Shares Purchased</w:t>
            </w:r>
          </w:p>
        </w:tc>
        <w:tc>
          <w:tcPr>
            <w:tcW w:w="60" w:type="dxa"/>
            <w:tcBorders>
              <w:bottom w:val="single" w:sz="12" w:space="0" w:color="000000"/>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1415" w:type="dxa"/>
            <w:gridSpan w:val="2"/>
            <w:tcBorders>
              <w:bottom w:val="single" w:sz="12" w:space="0" w:color="000000"/>
            </w:tcBorders>
            <w:shd w:fill="auto" w:val="clear"/>
            <w:vAlign w:val="center"/>
          </w:tcPr>
          <w:p>
            <w:pPr>
              <w:pStyle w:val="TableContents"/>
              <w:spacing w:before="0" w:after="0"/>
              <w:jc w:val="center"/>
              <w:rPr>
                <w:color w:val="000000"/>
              </w:rPr>
            </w:pPr>
            <w:r>
              <w:rPr>
                <w:color w:val="000000"/>
              </w:rPr>
              <w:t>Average Price</w:t>
            </w:r>
          </w:p>
          <w:p>
            <w:pPr>
              <w:pStyle w:val="TableContents"/>
              <w:spacing w:before="0" w:after="0"/>
              <w:jc w:val="center"/>
              <w:rPr>
                <w:color w:val="000000"/>
              </w:rPr>
            </w:pPr>
            <w:r>
              <w:rPr>
                <w:color w:val="000000"/>
              </w:rPr>
              <w:t>Paid Per Share</w:t>
            </w:r>
          </w:p>
        </w:tc>
        <w:tc>
          <w:tcPr>
            <w:tcW w:w="60" w:type="dxa"/>
            <w:tcBorders>
              <w:bottom w:val="single" w:sz="12" w:space="0" w:color="000000"/>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1685" w:type="dxa"/>
            <w:gridSpan w:val="2"/>
            <w:tcBorders>
              <w:bottom w:val="single" w:sz="12" w:space="0" w:color="000000"/>
            </w:tcBorders>
            <w:shd w:fill="auto" w:val="clear"/>
            <w:vAlign w:val="bottom"/>
          </w:tcPr>
          <w:p>
            <w:pPr>
              <w:pStyle w:val="TableContents"/>
              <w:spacing w:before="0" w:after="0"/>
              <w:jc w:val="center"/>
              <w:rPr>
                <w:color w:val="000000"/>
              </w:rPr>
            </w:pPr>
            <w:r>
              <w:rPr>
                <w:color w:val="000000"/>
              </w:rPr>
              <w:t>Total Number of</w:t>
            </w:r>
          </w:p>
          <w:p>
            <w:pPr>
              <w:pStyle w:val="TableContents"/>
              <w:spacing w:before="0" w:after="0"/>
              <w:jc w:val="center"/>
              <w:rPr>
                <w:color w:val="000000"/>
              </w:rPr>
            </w:pPr>
            <w:r>
              <w:rPr>
                <w:color w:val="000000"/>
              </w:rPr>
              <w:t>Shares Purchased</w:t>
            </w:r>
          </w:p>
          <w:p>
            <w:pPr>
              <w:pStyle w:val="TableContents"/>
              <w:spacing w:before="0" w:after="0"/>
              <w:jc w:val="center"/>
              <w:rPr>
                <w:color w:val="000000"/>
              </w:rPr>
            </w:pPr>
            <w:r>
              <w:rPr>
                <w:color w:val="000000"/>
              </w:rPr>
              <w:t>as Part of a</w:t>
            </w:r>
          </w:p>
          <w:p>
            <w:pPr>
              <w:pStyle w:val="TableContents"/>
              <w:spacing w:before="0" w:after="0"/>
              <w:jc w:val="center"/>
              <w:rPr>
                <w:color w:val="000000"/>
              </w:rPr>
            </w:pPr>
            <w:r>
              <w:rPr>
                <w:color w:val="000000"/>
              </w:rPr>
              <w:t>Publicly</w:t>
            </w:r>
          </w:p>
          <w:p>
            <w:pPr>
              <w:pStyle w:val="TableContents"/>
              <w:spacing w:before="0" w:after="0"/>
              <w:jc w:val="center"/>
              <w:rPr>
                <w:color w:val="000000"/>
              </w:rPr>
            </w:pPr>
            <w:r>
              <w:rPr>
                <w:color w:val="000000"/>
              </w:rPr>
              <w:t>Announced Plan</w:t>
            </w:r>
          </w:p>
        </w:tc>
        <w:tc>
          <w:tcPr>
            <w:tcW w:w="60" w:type="dxa"/>
            <w:tcBorders>
              <w:bottom w:val="single" w:sz="12" w:space="0" w:color="000000"/>
            </w:tcBorders>
            <w:shd w:fill="auto" w:val="clear"/>
            <w:vAlign w:val="bottom"/>
          </w:tcPr>
          <w:p>
            <w:pPr>
              <w:pStyle w:val="TableContents"/>
              <w:spacing w:before="0" w:after="283"/>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1775" w:type="dxa"/>
            <w:gridSpan w:val="2"/>
            <w:tcBorders>
              <w:bottom w:val="single" w:sz="12" w:space="0" w:color="000000"/>
            </w:tcBorders>
            <w:shd w:fill="auto" w:val="clear"/>
            <w:vAlign w:val="bottom"/>
          </w:tcPr>
          <w:p>
            <w:pPr>
              <w:pStyle w:val="TableContents"/>
              <w:spacing w:before="0" w:after="0"/>
              <w:jc w:val="center"/>
              <w:rPr>
                <w:color w:val="000000"/>
              </w:rPr>
            </w:pPr>
            <w:r>
              <w:rPr>
                <w:color w:val="000000"/>
              </w:rPr>
              <w:t>Remaining</w:t>
            </w:r>
          </w:p>
          <w:p>
            <w:pPr>
              <w:pStyle w:val="TableContents"/>
              <w:spacing w:before="0" w:after="0"/>
              <w:jc w:val="center"/>
              <w:rPr>
                <w:color w:val="000000"/>
              </w:rPr>
            </w:pPr>
            <w:r>
              <w:rPr>
                <w:color w:val="000000"/>
              </w:rPr>
              <w:t>Number of</w:t>
            </w:r>
          </w:p>
          <w:p>
            <w:pPr>
              <w:pStyle w:val="TableContents"/>
              <w:spacing w:before="0" w:after="0"/>
              <w:jc w:val="center"/>
              <w:rPr>
                <w:color w:val="000000"/>
              </w:rPr>
            </w:pPr>
            <w:r>
              <w:rPr>
                <w:color w:val="000000"/>
              </w:rPr>
              <w:t>Shares Authorized</w:t>
            </w:r>
          </w:p>
          <w:p>
            <w:pPr>
              <w:pStyle w:val="TableContents"/>
              <w:spacing w:before="0" w:after="0"/>
              <w:jc w:val="center"/>
              <w:rPr>
                <w:color w:val="000000"/>
              </w:rPr>
            </w:pPr>
            <w:r>
              <w:rPr>
                <w:color w:val="000000"/>
              </w:rPr>
              <w:t>for Purchase</w:t>
            </w:r>
          </w:p>
          <w:p>
            <w:pPr>
              <w:pStyle w:val="TableContents"/>
              <w:spacing w:before="0" w:after="0"/>
              <w:jc w:val="center"/>
              <w:rPr>
                <w:color w:val="000000"/>
              </w:rPr>
            </w:pPr>
            <w:r>
              <w:rPr>
                <w:color w:val="000000"/>
              </w:rPr>
              <w:t>Under the Plan</w:t>
            </w:r>
          </w:p>
        </w:tc>
        <w:tc>
          <w:tcPr>
            <w:tcW w:w="380" w:type="dxa"/>
            <w:tcBorders>
              <w:bottom w:val="single" w:sz="12" w:space="0" w:color="000000"/>
            </w:tcBorders>
            <w:shd w:fill="auto" w:val="clear"/>
            <w:vAlign w:val="bottom"/>
          </w:tcPr>
          <w:p>
            <w:pPr>
              <w:pStyle w:val="TableContents"/>
              <w:spacing w:before="0" w:after="283"/>
              <w:rPr/>
            </w:pPr>
            <w:r>
              <w:rPr/>
              <w:t> </w:t>
            </w:r>
          </w:p>
        </w:tc>
      </w:tr>
      <w:tr>
        <w:trPr/>
        <w:tc>
          <w:tcPr>
            <w:tcW w:w="1070" w:type="dxa"/>
            <w:tcBorders/>
            <w:shd w:fill="CCEEFF" w:val="clear"/>
            <w:tcMar>
              <w:bottom w:w="0" w:type="dxa"/>
            </w:tcMar>
            <w:vAlign w:val="bottom"/>
          </w:tcPr>
          <w:p>
            <w:pPr>
              <w:pStyle w:val="TableContents"/>
              <w:spacing w:before="0" w:after="0"/>
              <w:ind w:left="144" w:right="0" w:hanging="144"/>
              <w:rPr>
                <w:color w:val="000000"/>
              </w:rPr>
            </w:pPr>
            <w:r>
              <w:rPr>
                <w:color w:val="000000"/>
              </w:rPr>
              <w:t>April 2019</w:t>
            </w:r>
          </w:p>
        </w:tc>
        <w:tc>
          <w:tcPr>
            <w:tcW w:w="60" w:type="dxa"/>
            <w:tcBorders/>
            <w:shd w:fill="CCEEFF" w:val="clear"/>
            <w:tcMar>
              <w:bottom w:w="0" w:type="dxa"/>
            </w:tcMar>
            <w:vAlign w:val="bottom"/>
          </w:tcPr>
          <w:p>
            <w:pPr>
              <w:pStyle w:val="TableContents"/>
              <w:spacing w:before="0" w:after="283"/>
              <w:rPr/>
            </w:pPr>
            <w:r>
              <w:rPr/>
              <w:t> </w:t>
            </w:r>
          </w:p>
        </w:tc>
        <w:tc>
          <w:tcPr>
            <w:tcW w:w="97" w:type="dxa"/>
            <w:tcBorders/>
            <w:shd w:fill="CCEEFF" w:val="clear"/>
            <w:tcMar>
              <w:bottom w:w="0" w:type="dxa"/>
            </w:tcMar>
            <w:vAlign w:val="bottom"/>
          </w:tcPr>
          <w:p>
            <w:pPr>
              <w:pStyle w:val="TableContents"/>
              <w:spacing w:before="0" w:after="283"/>
              <w:rPr/>
            </w:pPr>
            <w:r>
              <w:rPr/>
              <w:t> </w:t>
            </w:r>
          </w:p>
        </w:tc>
        <w:tc>
          <w:tcPr>
            <w:tcW w:w="1588" w:type="dxa"/>
            <w:tcBorders/>
            <w:shd w:fill="CCEEFF" w:val="clear"/>
            <w:tcMar>
              <w:bottom w:w="0" w:type="dxa"/>
            </w:tcMar>
            <w:vAlign w:val="bottom"/>
          </w:tcPr>
          <w:p>
            <w:pPr>
              <w:pStyle w:val="TableContents"/>
              <w:spacing w:before="0" w:after="0"/>
              <w:jc w:val="right"/>
              <w:rPr>
                <w:color w:val="000000"/>
              </w:rPr>
            </w:pPr>
            <w:r>
              <w:rPr>
                <w:color w:val="000000"/>
              </w:rPr>
              <w:t>65,196</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83" w:type="dxa"/>
            <w:tcBorders/>
            <w:shd w:fill="CCEEFF" w:val="clear"/>
            <w:tcMar>
              <w:bottom w:w="0" w:type="dxa"/>
            </w:tcMar>
            <w:vAlign w:val="bottom"/>
          </w:tcPr>
          <w:p>
            <w:pPr>
              <w:pStyle w:val="TableContents"/>
              <w:spacing w:before="0" w:after="0"/>
              <w:rPr>
                <w:color w:val="000000"/>
              </w:rPr>
            </w:pPr>
            <w:r>
              <w:rPr>
                <w:color w:val="000000"/>
              </w:rPr>
              <w:t>$</w:t>
            </w:r>
          </w:p>
        </w:tc>
        <w:tc>
          <w:tcPr>
            <w:tcW w:w="1132" w:type="dxa"/>
            <w:tcBorders/>
            <w:shd w:fill="CCEEFF" w:val="clear"/>
            <w:tcMar>
              <w:bottom w:w="0" w:type="dxa"/>
            </w:tcMar>
            <w:vAlign w:val="bottom"/>
          </w:tcPr>
          <w:p>
            <w:pPr>
              <w:pStyle w:val="TableContents"/>
              <w:spacing w:before="0" w:after="0"/>
              <w:jc w:val="right"/>
              <w:rPr>
                <w:color w:val="000000"/>
              </w:rPr>
            </w:pPr>
            <w:r>
              <w:rPr>
                <w:color w:val="000000"/>
              </w:rPr>
              <w:t>21.28</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7" w:type="dxa"/>
            <w:tcBorders/>
            <w:shd w:fill="CCEEFF" w:val="clear"/>
            <w:tcMar>
              <w:bottom w:w="0" w:type="dxa"/>
            </w:tcMar>
            <w:vAlign w:val="bottom"/>
          </w:tcPr>
          <w:p>
            <w:pPr>
              <w:pStyle w:val="TableContents"/>
              <w:spacing w:before="0" w:after="283"/>
              <w:rPr/>
            </w:pPr>
            <w:r>
              <w:rPr/>
              <w:t> </w:t>
            </w:r>
          </w:p>
        </w:tc>
        <w:tc>
          <w:tcPr>
            <w:tcW w:w="1588" w:type="dxa"/>
            <w:tcBorders/>
            <w:shd w:fill="CCEEFF" w:val="clear"/>
            <w:tcMar>
              <w:bottom w:w="0" w:type="dxa"/>
            </w:tcMar>
            <w:vAlign w:val="bottom"/>
          </w:tcPr>
          <w:p>
            <w:pPr>
              <w:pStyle w:val="TableContents"/>
              <w:spacing w:before="0" w:after="0"/>
              <w:jc w:val="right"/>
              <w:rPr>
                <w:color w:val="000000"/>
              </w:rPr>
            </w:pPr>
            <w:r>
              <w:rPr>
                <w:color w:val="000000"/>
              </w:rPr>
              <w:t>65,196</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23" w:type="dxa"/>
            <w:tcBorders/>
            <w:shd w:fill="CCEEFF" w:val="clear"/>
            <w:tcMar>
              <w:bottom w:w="0" w:type="dxa"/>
            </w:tcMar>
            <w:vAlign w:val="bottom"/>
          </w:tcPr>
          <w:p>
            <w:pPr>
              <w:pStyle w:val="TableContents"/>
              <w:spacing w:before="0" w:after="283"/>
              <w:rPr/>
            </w:pPr>
            <w:r>
              <w:rPr/>
              <w:t> </w:t>
            </w:r>
          </w:p>
        </w:tc>
        <w:tc>
          <w:tcPr>
            <w:tcW w:w="1652" w:type="dxa"/>
            <w:tcBorders/>
            <w:shd w:fill="CCEEFF" w:val="clear"/>
            <w:tcMar>
              <w:bottom w:w="0" w:type="dxa"/>
            </w:tcMar>
            <w:vAlign w:val="bottom"/>
          </w:tcPr>
          <w:p>
            <w:pPr>
              <w:pStyle w:val="TableContents"/>
              <w:spacing w:before="0" w:after="0"/>
              <w:jc w:val="right"/>
              <w:rPr>
                <w:color w:val="000000"/>
              </w:rPr>
            </w:pPr>
            <w:r>
              <w:rPr>
                <w:color w:val="000000"/>
              </w:rPr>
              <w:t>998,003</w:t>
            </w:r>
          </w:p>
        </w:tc>
        <w:tc>
          <w:tcPr>
            <w:tcW w:w="380" w:type="dxa"/>
            <w:tcBorders/>
            <w:shd w:fill="CCEEFF" w:val="clear"/>
            <w:tcMar>
              <w:bottom w:w="0" w:type="dxa"/>
            </w:tcMar>
            <w:vAlign w:val="bottom"/>
          </w:tcPr>
          <w:p>
            <w:pPr>
              <w:pStyle w:val="TableContents"/>
              <w:spacing w:before="0" w:after="283"/>
              <w:rPr/>
            </w:pPr>
            <w:r>
              <w:rPr/>
              <w:t> </w:t>
            </w:r>
          </w:p>
        </w:tc>
      </w:tr>
      <w:tr>
        <w:trPr/>
        <w:tc>
          <w:tcPr>
            <w:tcW w:w="1070" w:type="dxa"/>
            <w:tcBorders/>
            <w:shd w:fill="FFFFFF" w:val="clear"/>
            <w:tcMar>
              <w:bottom w:w="0" w:type="dxa"/>
            </w:tcMar>
            <w:vAlign w:val="bottom"/>
          </w:tcPr>
          <w:p>
            <w:pPr>
              <w:pStyle w:val="TableContents"/>
              <w:spacing w:before="0" w:after="0"/>
              <w:ind w:left="144" w:right="0" w:hanging="144"/>
              <w:rPr>
                <w:color w:val="000000"/>
              </w:rPr>
            </w:pPr>
            <w:r>
              <w:rPr>
                <w:color w:val="000000"/>
              </w:rPr>
              <w:t>May 2019</w:t>
            </w:r>
          </w:p>
        </w:tc>
        <w:tc>
          <w:tcPr>
            <w:tcW w:w="60" w:type="dxa"/>
            <w:tcBorders/>
            <w:shd w:fill="FFFFFF" w:val="clear"/>
            <w:tcMar>
              <w:bottom w:w="0" w:type="dxa"/>
            </w:tcMar>
            <w:vAlign w:val="bottom"/>
          </w:tcPr>
          <w:p>
            <w:pPr>
              <w:pStyle w:val="TableContents"/>
              <w:spacing w:before="0" w:after="283"/>
              <w:rPr/>
            </w:pPr>
            <w:r>
              <w:rPr/>
              <w:t> </w:t>
            </w:r>
          </w:p>
        </w:tc>
        <w:tc>
          <w:tcPr>
            <w:tcW w:w="97" w:type="dxa"/>
            <w:tcBorders/>
            <w:shd w:fill="FFFFFF" w:val="clear"/>
            <w:tcMar>
              <w:bottom w:w="0" w:type="dxa"/>
            </w:tcMar>
            <w:vAlign w:val="bottom"/>
          </w:tcPr>
          <w:p>
            <w:pPr>
              <w:pStyle w:val="TableContents"/>
              <w:spacing w:before="0" w:after="283"/>
              <w:rPr/>
            </w:pPr>
            <w:r>
              <w:rPr/>
              <w:t> </w:t>
            </w:r>
          </w:p>
        </w:tc>
        <w:tc>
          <w:tcPr>
            <w:tcW w:w="1588" w:type="dxa"/>
            <w:tcBorders/>
            <w:shd w:fill="FFFFFF" w:val="clear"/>
            <w:tcMar>
              <w:bottom w:w="0" w:type="dxa"/>
            </w:tcMar>
            <w:vAlign w:val="bottom"/>
          </w:tcPr>
          <w:p>
            <w:pPr>
              <w:pStyle w:val="TableContents"/>
              <w:spacing w:before="0" w:after="0"/>
              <w:jc w:val="right"/>
              <w:rPr>
                <w:color w:val="000000"/>
              </w:rPr>
            </w:pPr>
            <w:r>
              <w:rPr>
                <w:color w:val="000000"/>
              </w:rPr>
              <w:t>998,705</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283" w:type="dxa"/>
            <w:tcBorders/>
            <w:shd w:fill="FFFFFF" w:val="clear"/>
            <w:tcMar>
              <w:bottom w:w="0" w:type="dxa"/>
            </w:tcMar>
            <w:vAlign w:val="bottom"/>
          </w:tcPr>
          <w:p>
            <w:pPr>
              <w:pStyle w:val="TableContents"/>
              <w:spacing w:before="0" w:after="283"/>
              <w:rPr/>
            </w:pPr>
            <w:r>
              <w:rPr/>
              <w:t> </w:t>
            </w:r>
          </w:p>
        </w:tc>
        <w:tc>
          <w:tcPr>
            <w:tcW w:w="1132" w:type="dxa"/>
            <w:tcBorders/>
            <w:shd w:fill="FFFFFF" w:val="clear"/>
            <w:tcMar>
              <w:bottom w:w="0" w:type="dxa"/>
            </w:tcMar>
            <w:vAlign w:val="bottom"/>
          </w:tcPr>
          <w:p>
            <w:pPr>
              <w:pStyle w:val="TableContents"/>
              <w:spacing w:before="0" w:after="0"/>
              <w:jc w:val="right"/>
              <w:rPr>
                <w:color w:val="000000"/>
              </w:rPr>
            </w:pPr>
            <w:r>
              <w:rPr>
                <w:color w:val="000000"/>
              </w:rPr>
              <w:t>21.89</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97" w:type="dxa"/>
            <w:tcBorders/>
            <w:shd w:fill="FFFFFF" w:val="clear"/>
            <w:tcMar>
              <w:bottom w:w="0" w:type="dxa"/>
            </w:tcMar>
            <w:vAlign w:val="bottom"/>
          </w:tcPr>
          <w:p>
            <w:pPr>
              <w:pStyle w:val="TableContents"/>
              <w:spacing w:before="0" w:after="283"/>
              <w:rPr/>
            </w:pPr>
            <w:r>
              <w:rPr/>
              <w:t> </w:t>
            </w:r>
          </w:p>
        </w:tc>
        <w:tc>
          <w:tcPr>
            <w:tcW w:w="1588" w:type="dxa"/>
            <w:tcBorders/>
            <w:shd w:fill="FFFFFF" w:val="clear"/>
            <w:tcMar>
              <w:bottom w:w="0" w:type="dxa"/>
            </w:tcMar>
            <w:vAlign w:val="bottom"/>
          </w:tcPr>
          <w:p>
            <w:pPr>
              <w:pStyle w:val="TableContents"/>
              <w:spacing w:before="0" w:after="0"/>
              <w:jc w:val="right"/>
              <w:rPr>
                <w:color w:val="000000"/>
              </w:rPr>
            </w:pPr>
            <w:r>
              <w:rPr>
                <w:color w:val="000000"/>
              </w:rPr>
              <w:t>998,705</w:t>
            </w:r>
          </w:p>
        </w:tc>
        <w:tc>
          <w:tcPr>
            <w:tcW w:w="60" w:type="dxa"/>
            <w:tcBorders/>
            <w:shd w:fill="FFFFFF" w:val="clear"/>
            <w:tcMar>
              <w:bottom w:w="0" w:type="dxa"/>
            </w:tcMar>
            <w:vAlign w:val="bottom"/>
          </w:tcPr>
          <w:p>
            <w:pPr>
              <w:pStyle w:val="TableContents"/>
              <w:spacing w:before="0" w:after="283"/>
              <w:rPr/>
            </w:pPr>
            <w:r>
              <w:rPr/>
              <w:t> </w:t>
            </w:r>
          </w:p>
        </w:tc>
        <w:tc>
          <w:tcPr>
            <w:tcW w:w="60" w:type="dxa"/>
            <w:tcBorders/>
            <w:shd w:fill="FFFFFF" w:val="clear"/>
            <w:tcMar>
              <w:bottom w:w="0" w:type="dxa"/>
            </w:tcMar>
            <w:vAlign w:val="bottom"/>
          </w:tcPr>
          <w:p>
            <w:pPr>
              <w:pStyle w:val="TableContents"/>
              <w:spacing w:before="0" w:after="283"/>
              <w:rPr/>
            </w:pPr>
            <w:r>
              <w:rPr/>
              <w:t> </w:t>
            </w:r>
          </w:p>
        </w:tc>
        <w:tc>
          <w:tcPr>
            <w:tcW w:w="123" w:type="dxa"/>
            <w:tcBorders/>
            <w:shd w:fill="FFFFFF" w:val="clear"/>
            <w:tcMar>
              <w:bottom w:w="0" w:type="dxa"/>
            </w:tcMar>
            <w:vAlign w:val="bottom"/>
          </w:tcPr>
          <w:p>
            <w:pPr>
              <w:pStyle w:val="TableContents"/>
              <w:spacing w:before="0" w:after="283"/>
              <w:rPr/>
            </w:pPr>
            <w:r>
              <w:rPr/>
              <w:t> </w:t>
            </w:r>
          </w:p>
        </w:tc>
        <w:tc>
          <w:tcPr>
            <w:tcW w:w="1652" w:type="dxa"/>
            <w:tcBorders/>
            <w:shd w:fill="FFFFFF" w:val="clear"/>
            <w:tcMar>
              <w:bottom w:w="0" w:type="dxa"/>
            </w:tcMar>
            <w:vAlign w:val="bottom"/>
          </w:tcPr>
          <w:p>
            <w:pPr>
              <w:pStyle w:val="TableContents"/>
              <w:spacing w:before="0" w:after="0"/>
              <w:jc w:val="right"/>
              <w:rPr>
                <w:color w:val="000000"/>
              </w:rPr>
            </w:pPr>
            <w:r>
              <w:rPr>
                <w:color w:val="000000"/>
              </w:rPr>
              <w:t>(702</w:t>
            </w:r>
          </w:p>
        </w:tc>
        <w:tc>
          <w:tcPr>
            <w:tcW w:w="380" w:type="dxa"/>
            <w:tcBorders/>
            <w:shd w:fill="FFFFFF" w:val="clear"/>
            <w:tcMar>
              <w:bottom w:w="0" w:type="dxa"/>
            </w:tcMar>
            <w:vAlign w:val="bottom"/>
          </w:tcPr>
          <w:p>
            <w:pPr>
              <w:pStyle w:val="TableContents"/>
              <w:spacing w:lineRule="auto" w:line="240" w:before="0" w:after="0"/>
              <w:rPr>
                <w:color w:val="000000"/>
              </w:rPr>
            </w:pPr>
            <w:r>
              <w:rPr>
                <w:color w:val="000000"/>
              </w:rPr>
              <w:t>)(1)</w:t>
            </w:r>
          </w:p>
        </w:tc>
      </w:tr>
      <w:tr>
        <w:trPr/>
        <w:tc>
          <w:tcPr>
            <w:tcW w:w="1070" w:type="dxa"/>
            <w:tcBorders/>
            <w:shd w:fill="CCEEFF" w:val="clear"/>
            <w:tcMar>
              <w:bottom w:w="0" w:type="dxa"/>
            </w:tcMar>
            <w:vAlign w:val="bottom"/>
          </w:tcPr>
          <w:p>
            <w:pPr>
              <w:pStyle w:val="TableContents"/>
              <w:spacing w:before="0" w:after="0"/>
              <w:ind w:left="144" w:right="0" w:hanging="144"/>
              <w:rPr>
                <w:color w:val="000000"/>
              </w:rPr>
            </w:pPr>
            <w:r>
              <w:rPr>
                <w:color w:val="000000"/>
              </w:rPr>
              <w:t>June 2019</w:t>
            </w:r>
          </w:p>
        </w:tc>
        <w:tc>
          <w:tcPr>
            <w:tcW w:w="60" w:type="dxa"/>
            <w:tcBorders/>
            <w:shd w:fill="CCEEFF" w:val="clear"/>
            <w:tcMar>
              <w:bottom w:w="0" w:type="dxa"/>
            </w:tcMar>
            <w:vAlign w:val="bottom"/>
          </w:tcPr>
          <w:p>
            <w:pPr>
              <w:pStyle w:val="TableContents"/>
              <w:spacing w:before="0" w:after="283"/>
              <w:rPr/>
            </w:pPr>
            <w:r>
              <w:rPr/>
              <w:t> </w:t>
            </w:r>
          </w:p>
        </w:tc>
        <w:tc>
          <w:tcPr>
            <w:tcW w:w="97" w:type="dxa"/>
            <w:tcBorders>
              <w:bottom w:val="single" w:sz="12" w:space="0" w:color="000000"/>
            </w:tcBorders>
            <w:shd w:fill="CCEEFF" w:val="clear"/>
            <w:vAlign w:val="bottom"/>
          </w:tcPr>
          <w:p>
            <w:pPr>
              <w:pStyle w:val="TableContents"/>
              <w:spacing w:before="0" w:after="283"/>
              <w:rPr/>
            </w:pPr>
            <w:r>
              <w:rPr/>
              <w:t> </w:t>
            </w:r>
          </w:p>
        </w:tc>
        <w:tc>
          <w:tcPr>
            <w:tcW w:w="1588" w:type="dxa"/>
            <w:tcBorders>
              <w:bottom w:val="single" w:sz="12" w:space="0" w:color="000000"/>
            </w:tcBorders>
            <w:shd w:fill="CCEEFF" w:val="clear"/>
            <w:vAlign w:val="bottom"/>
          </w:tcPr>
          <w:p>
            <w:pPr>
              <w:pStyle w:val="TableContents"/>
              <w:spacing w:before="0" w:after="0"/>
              <w:jc w:val="right"/>
              <w:rPr>
                <w:color w:val="000000"/>
              </w:rPr>
            </w:pPr>
            <w:r>
              <w:rPr>
                <w:color w:val="000000"/>
              </w:rPr>
              <w:t>--</w:t>
            </w:r>
          </w:p>
        </w:tc>
        <w:tc>
          <w:tcPr>
            <w:tcW w:w="60" w:type="dxa"/>
            <w:tcBorders>
              <w:bottom w:val="single" w:sz="12" w:space="0" w:color="000000"/>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vAlign w:val="bottom"/>
          </w:tcPr>
          <w:p>
            <w:pPr>
              <w:pStyle w:val="TableContents"/>
              <w:spacing w:before="0" w:after="283"/>
              <w:rPr/>
            </w:pPr>
            <w:r>
              <w:rPr/>
              <w:t> </w:t>
            </w:r>
          </w:p>
        </w:tc>
        <w:tc>
          <w:tcPr>
            <w:tcW w:w="283" w:type="dxa"/>
            <w:tcBorders>
              <w:bottom w:val="single" w:sz="12" w:space="0" w:color="000000"/>
            </w:tcBorders>
            <w:shd w:fill="CCEEFF" w:val="clear"/>
            <w:vAlign w:val="bottom"/>
          </w:tcPr>
          <w:p>
            <w:pPr>
              <w:pStyle w:val="TableContents"/>
              <w:spacing w:before="0" w:after="283"/>
              <w:rPr/>
            </w:pPr>
            <w:r>
              <w:rPr/>
              <w:t> </w:t>
            </w:r>
          </w:p>
        </w:tc>
        <w:tc>
          <w:tcPr>
            <w:tcW w:w="1132" w:type="dxa"/>
            <w:tcBorders>
              <w:bottom w:val="single" w:sz="12" w:space="0" w:color="000000"/>
            </w:tcBorders>
            <w:shd w:fill="CCEEFF" w:val="clear"/>
            <w:vAlign w:val="bottom"/>
          </w:tcPr>
          <w:p>
            <w:pPr>
              <w:pStyle w:val="TableContents"/>
              <w:spacing w:before="0" w:after="0"/>
              <w:jc w:val="right"/>
              <w:rPr>
                <w:color w:val="000000"/>
              </w:rPr>
            </w:pPr>
            <w:r>
              <w:rPr>
                <w:color w:val="000000"/>
              </w:rPr>
              <w:t>--</w:t>
            </w:r>
          </w:p>
        </w:tc>
        <w:tc>
          <w:tcPr>
            <w:tcW w:w="60" w:type="dxa"/>
            <w:tcBorders>
              <w:bottom w:val="single" w:sz="12" w:space="0" w:color="000000"/>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vAlign w:val="bottom"/>
          </w:tcPr>
          <w:p>
            <w:pPr>
              <w:pStyle w:val="TableContents"/>
              <w:spacing w:before="0" w:after="283"/>
              <w:rPr/>
            </w:pPr>
            <w:r>
              <w:rPr/>
              <w:t> </w:t>
            </w:r>
          </w:p>
        </w:tc>
        <w:tc>
          <w:tcPr>
            <w:tcW w:w="97" w:type="dxa"/>
            <w:tcBorders>
              <w:bottom w:val="single" w:sz="12" w:space="0" w:color="000000"/>
            </w:tcBorders>
            <w:shd w:fill="CCEEFF" w:val="clear"/>
            <w:vAlign w:val="bottom"/>
          </w:tcPr>
          <w:p>
            <w:pPr>
              <w:pStyle w:val="TableContents"/>
              <w:spacing w:before="0" w:after="283"/>
              <w:rPr/>
            </w:pPr>
            <w:r>
              <w:rPr/>
              <w:t> </w:t>
            </w:r>
          </w:p>
        </w:tc>
        <w:tc>
          <w:tcPr>
            <w:tcW w:w="1588" w:type="dxa"/>
            <w:tcBorders>
              <w:bottom w:val="single" w:sz="12" w:space="0" w:color="000000"/>
            </w:tcBorders>
            <w:shd w:fill="CCEEFF" w:val="clear"/>
            <w:vAlign w:val="bottom"/>
          </w:tcPr>
          <w:p>
            <w:pPr>
              <w:pStyle w:val="TableContents"/>
              <w:spacing w:before="0" w:after="0"/>
              <w:jc w:val="right"/>
              <w:rPr>
                <w:color w:val="000000"/>
              </w:rPr>
            </w:pPr>
            <w:r>
              <w:rPr>
                <w:color w:val="000000"/>
              </w:rPr>
              <w:t>--</w:t>
            </w:r>
          </w:p>
        </w:tc>
        <w:tc>
          <w:tcPr>
            <w:tcW w:w="60" w:type="dxa"/>
            <w:tcBorders>
              <w:bottom w:val="single" w:sz="12" w:space="0" w:color="000000"/>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vAlign w:val="bottom"/>
          </w:tcPr>
          <w:p>
            <w:pPr>
              <w:pStyle w:val="TableContents"/>
              <w:spacing w:before="0" w:after="283"/>
              <w:rPr/>
            </w:pPr>
            <w:r>
              <w:rPr/>
              <w:t> </w:t>
            </w:r>
          </w:p>
        </w:tc>
        <w:tc>
          <w:tcPr>
            <w:tcW w:w="123" w:type="dxa"/>
            <w:tcBorders>
              <w:bottom w:val="single" w:sz="12" w:space="0" w:color="000000"/>
            </w:tcBorders>
            <w:shd w:fill="CCEEFF" w:val="clear"/>
            <w:vAlign w:val="bottom"/>
          </w:tcPr>
          <w:p>
            <w:pPr>
              <w:pStyle w:val="TableContents"/>
              <w:spacing w:before="0" w:after="283"/>
              <w:rPr/>
            </w:pPr>
            <w:r>
              <w:rPr/>
              <w:t> </w:t>
            </w:r>
          </w:p>
        </w:tc>
        <w:tc>
          <w:tcPr>
            <w:tcW w:w="1652" w:type="dxa"/>
            <w:tcBorders>
              <w:bottom w:val="single" w:sz="12" w:space="0" w:color="000000"/>
            </w:tcBorders>
            <w:shd w:fill="CCEEFF" w:val="clear"/>
            <w:vAlign w:val="bottom"/>
          </w:tcPr>
          <w:p>
            <w:pPr>
              <w:pStyle w:val="TableContents"/>
              <w:spacing w:before="0" w:after="0"/>
              <w:jc w:val="right"/>
              <w:rPr>
                <w:color w:val="000000"/>
              </w:rPr>
            </w:pPr>
            <w:r>
              <w:rPr>
                <w:color w:val="000000"/>
              </w:rPr>
              <w:t>299,298</w:t>
            </w:r>
          </w:p>
        </w:tc>
        <w:tc>
          <w:tcPr>
            <w:tcW w:w="380" w:type="dxa"/>
            <w:tcBorders>
              <w:bottom w:val="single" w:sz="12" w:space="0" w:color="000000"/>
            </w:tcBorders>
            <w:shd w:fill="CCEEFF" w:val="clear"/>
            <w:vAlign w:val="bottom"/>
          </w:tcPr>
          <w:p>
            <w:pPr>
              <w:pStyle w:val="TableContents"/>
              <w:spacing w:before="0" w:after="283"/>
              <w:rPr/>
            </w:pPr>
            <w:r>
              <w:rPr/>
              <w:t> </w:t>
            </w:r>
          </w:p>
        </w:tc>
      </w:tr>
      <w:tr>
        <w:trPr/>
        <w:tc>
          <w:tcPr>
            <w:tcW w:w="1070" w:type="dxa"/>
            <w:tcBorders/>
            <w:shd w:fill="FFFFFF" w:val="clear"/>
            <w:tcMar>
              <w:bottom w:w="0" w:type="dxa"/>
            </w:tcMar>
            <w:vAlign w:val="bottom"/>
          </w:tcPr>
          <w:p>
            <w:pPr>
              <w:pStyle w:val="TableContents"/>
              <w:spacing w:before="0" w:after="0"/>
              <w:ind w:left="324" w:right="0" w:hanging="144"/>
              <w:rPr>
                <w:color w:val="000000"/>
              </w:rPr>
            </w:pPr>
            <w:r>
              <w:rPr>
                <w:color w:val="000000"/>
              </w:rPr>
              <w:t>Total</w:t>
            </w:r>
          </w:p>
        </w:tc>
        <w:tc>
          <w:tcPr>
            <w:tcW w:w="60" w:type="dxa"/>
            <w:tcBorders/>
            <w:shd w:fill="FFFFFF" w:val="clear"/>
            <w:tcMar>
              <w:bottom w:w="0" w:type="dxa"/>
            </w:tcMar>
            <w:vAlign w:val="bottom"/>
          </w:tcPr>
          <w:p>
            <w:pPr>
              <w:pStyle w:val="TableContents"/>
              <w:spacing w:before="0" w:after="283"/>
              <w:rPr/>
            </w:pPr>
            <w:r>
              <w:rPr/>
              <w:t> </w:t>
            </w:r>
          </w:p>
        </w:tc>
        <w:tc>
          <w:tcPr>
            <w:tcW w:w="97" w:type="dxa"/>
            <w:tcBorders>
              <w:bottom w:val="double" w:sz="8" w:space="0" w:color="000000"/>
            </w:tcBorders>
            <w:shd w:fill="FFFFFF" w:val="clear"/>
            <w:vAlign w:val="bottom"/>
          </w:tcPr>
          <w:p>
            <w:pPr>
              <w:pStyle w:val="TableContents"/>
              <w:spacing w:before="0" w:after="283"/>
              <w:rPr/>
            </w:pPr>
            <w:r>
              <w:rPr/>
              <w:t> </w:t>
            </w:r>
          </w:p>
        </w:tc>
        <w:tc>
          <w:tcPr>
            <w:tcW w:w="1588" w:type="dxa"/>
            <w:tcBorders>
              <w:bottom w:val="double" w:sz="8" w:space="0" w:color="000000"/>
            </w:tcBorders>
            <w:shd w:fill="FFFFFF" w:val="clear"/>
            <w:vAlign w:val="bottom"/>
          </w:tcPr>
          <w:p>
            <w:pPr>
              <w:pStyle w:val="TableContents"/>
              <w:spacing w:before="0" w:after="0"/>
              <w:jc w:val="right"/>
              <w:rPr>
                <w:color w:val="000000"/>
              </w:rPr>
            </w:pPr>
            <w:r>
              <w:rPr>
                <w:color w:val="000000"/>
              </w:rPr>
              <w:t>1,063,901</w:t>
            </w:r>
          </w:p>
        </w:tc>
        <w:tc>
          <w:tcPr>
            <w:tcW w:w="60" w:type="dxa"/>
            <w:tcBorders>
              <w:bottom w:val="double" w:sz="8" w:space="0" w:color="000000"/>
            </w:tcBorders>
            <w:shd w:fill="FFFFFF" w:val="clear"/>
            <w:vAlign w:val="bottom"/>
          </w:tcPr>
          <w:p>
            <w:pPr>
              <w:pStyle w:val="TableContents"/>
              <w:spacing w:before="0" w:after="283"/>
              <w:rPr/>
            </w:pPr>
            <w:r>
              <w:rPr/>
              <w:t> </w:t>
            </w:r>
          </w:p>
        </w:tc>
        <w:tc>
          <w:tcPr>
            <w:tcW w:w="60" w:type="dxa"/>
            <w:tcBorders>
              <w:bottom w:val="double" w:sz="8" w:space="0" w:color="000000"/>
            </w:tcBorders>
            <w:shd w:fill="FFFFFF" w:val="clear"/>
            <w:vAlign w:val="bottom"/>
          </w:tcPr>
          <w:p>
            <w:pPr>
              <w:pStyle w:val="TableContents"/>
              <w:spacing w:before="0" w:after="283"/>
              <w:rPr/>
            </w:pPr>
            <w:r>
              <w:rPr/>
              <w:t> </w:t>
            </w:r>
          </w:p>
        </w:tc>
        <w:tc>
          <w:tcPr>
            <w:tcW w:w="283" w:type="dxa"/>
            <w:tcBorders>
              <w:bottom w:val="double" w:sz="8" w:space="0" w:color="000000"/>
            </w:tcBorders>
            <w:shd w:fill="FFFFFF" w:val="clear"/>
            <w:vAlign w:val="bottom"/>
          </w:tcPr>
          <w:p>
            <w:pPr>
              <w:pStyle w:val="TableContents"/>
              <w:spacing w:before="0" w:after="0"/>
              <w:rPr>
                <w:color w:val="000000"/>
              </w:rPr>
            </w:pPr>
            <w:r>
              <w:rPr>
                <w:color w:val="000000"/>
              </w:rPr>
              <w:t>$</w:t>
            </w:r>
          </w:p>
        </w:tc>
        <w:tc>
          <w:tcPr>
            <w:tcW w:w="1132" w:type="dxa"/>
            <w:tcBorders>
              <w:bottom w:val="double" w:sz="8" w:space="0" w:color="000000"/>
            </w:tcBorders>
            <w:shd w:fill="FFFFFF" w:val="clear"/>
            <w:vAlign w:val="bottom"/>
          </w:tcPr>
          <w:p>
            <w:pPr>
              <w:pStyle w:val="TableContents"/>
              <w:spacing w:before="0" w:after="0"/>
              <w:jc w:val="right"/>
              <w:rPr>
                <w:color w:val="000000"/>
              </w:rPr>
            </w:pPr>
            <w:r>
              <w:rPr>
                <w:color w:val="000000"/>
              </w:rPr>
              <w:t>21.86</w:t>
            </w:r>
          </w:p>
        </w:tc>
        <w:tc>
          <w:tcPr>
            <w:tcW w:w="60" w:type="dxa"/>
            <w:tcBorders>
              <w:bottom w:val="double" w:sz="8" w:space="0" w:color="000000"/>
            </w:tcBorders>
            <w:shd w:fill="FFFFFF" w:val="clear"/>
            <w:vAlign w:val="bottom"/>
          </w:tcPr>
          <w:p>
            <w:pPr>
              <w:pStyle w:val="TableContents"/>
              <w:spacing w:before="0" w:after="283"/>
              <w:rPr/>
            </w:pPr>
            <w:r>
              <w:rPr/>
              <w:t> </w:t>
            </w:r>
          </w:p>
        </w:tc>
        <w:tc>
          <w:tcPr>
            <w:tcW w:w="60" w:type="dxa"/>
            <w:tcBorders>
              <w:bottom w:val="double" w:sz="8" w:space="0" w:color="000000"/>
            </w:tcBorders>
            <w:shd w:fill="FFFFFF" w:val="clear"/>
            <w:vAlign w:val="bottom"/>
          </w:tcPr>
          <w:p>
            <w:pPr>
              <w:pStyle w:val="TableContents"/>
              <w:spacing w:before="0" w:after="283"/>
              <w:rPr/>
            </w:pPr>
            <w:r>
              <w:rPr/>
              <w:t> </w:t>
            </w:r>
          </w:p>
        </w:tc>
        <w:tc>
          <w:tcPr>
            <w:tcW w:w="97" w:type="dxa"/>
            <w:tcBorders>
              <w:bottom w:val="double" w:sz="8" w:space="0" w:color="000000"/>
            </w:tcBorders>
            <w:shd w:fill="FFFFFF" w:val="clear"/>
            <w:vAlign w:val="bottom"/>
          </w:tcPr>
          <w:p>
            <w:pPr>
              <w:pStyle w:val="TableContents"/>
              <w:spacing w:before="0" w:after="283"/>
              <w:rPr/>
            </w:pPr>
            <w:r>
              <w:rPr/>
              <w:t> </w:t>
            </w:r>
          </w:p>
        </w:tc>
        <w:tc>
          <w:tcPr>
            <w:tcW w:w="1588" w:type="dxa"/>
            <w:tcBorders>
              <w:bottom w:val="double" w:sz="8" w:space="0" w:color="000000"/>
            </w:tcBorders>
            <w:shd w:fill="FFFFFF" w:val="clear"/>
            <w:vAlign w:val="bottom"/>
          </w:tcPr>
          <w:p>
            <w:pPr>
              <w:pStyle w:val="TableContents"/>
              <w:spacing w:before="0" w:after="0"/>
              <w:jc w:val="right"/>
              <w:rPr>
                <w:color w:val="000000"/>
              </w:rPr>
            </w:pPr>
            <w:r>
              <w:rPr>
                <w:color w:val="000000"/>
              </w:rPr>
              <w:t>1,063,901</w:t>
            </w:r>
          </w:p>
        </w:tc>
        <w:tc>
          <w:tcPr>
            <w:tcW w:w="60" w:type="dxa"/>
            <w:tcBorders>
              <w:bottom w:val="double" w:sz="8" w:space="0" w:color="000000"/>
            </w:tcBorders>
            <w:shd w:fill="FFFFFF" w:val="clear"/>
            <w:vAlign w:val="bottom"/>
          </w:tcPr>
          <w:p>
            <w:pPr>
              <w:pStyle w:val="TableContents"/>
              <w:spacing w:before="0" w:after="283"/>
              <w:rPr/>
            </w:pPr>
            <w:r>
              <w:rPr/>
              <w:t> </w:t>
            </w:r>
          </w:p>
        </w:tc>
        <w:tc>
          <w:tcPr>
            <w:tcW w:w="60" w:type="dxa"/>
            <w:tcBorders>
              <w:bottom w:val="double" w:sz="8" w:space="0" w:color="000000"/>
            </w:tcBorders>
            <w:shd w:fill="FFFFFF" w:val="clear"/>
            <w:vAlign w:val="bottom"/>
          </w:tcPr>
          <w:p>
            <w:pPr>
              <w:pStyle w:val="TableContents"/>
              <w:spacing w:before="0" w:after="283"/>
              <w:rPr/>
            </w:pPr>
            <w:r>
              <w:rPr/>
              <w:t> </w:t>
            </w:r>
          </w:p>
        </w:tc>
        <w:tc>
          <w:tcPr>
            <w:tcW w:w="123" w:type="dxa"/>
            <w:tcBorders>
              <w:bottom w:val="double" w:sz="8" w:space="0" w:color="000000"/>
            </w:tcBorders>
            <w:shd w:fill="FFFFFF" w:val="clear"/>
            <w:vAlign w:val="bottom"/>
          </w:tcPr>
          <w:p>
            <w:pPr>
              <w:pStyle w:val="TableContents"/>
              <w:spacing w:before="0" w:after="283"/>
              <w:rPr/>
            </w:pPr>
            <w:r>
              <w:rPr/>
              <w:t> </w:t>
            </w:r>
          </w:p>
        </w:tc>
        <w:tc>
          <w:tcPr>
            <w:tcW w:w="1652" w:type="dxa"/>
            <w:tcBorders>
              <w:bottom w:val="double" w:sz="8" w:space="0" w:color="000000"/>
            </w:tcBorders>
            <w:shd w:fill="FFFFFF" w:val="clear"/>
            <w:vAlign w:val="bottom"/>
          </w:tcPr>
          <w:p>
            <w:pPr>
              <w:pStyle w:val="TableContents"/>
              <w:spacing w:before="0" w:after="0"/>
              <w:jc w:val="right"/>
              <w:rPr>
                <w:color w:val="000000"/>
              </w:rPr>
            </w:pPr>
            <w:r>
              <w:rPr>
                <w:color w:val="000000"/>
              </w:rPr>
              <w:t>299,298</w:t>
            </w:r>
          </w:p>
        </w:tc>
        <w:tc>
          <w:tcPr>
            <w:tcW w:w="380" w:type="dxa"/>
            <w:tcBorders>
              <w:bottom w:val="double" w:sz="8" w:space="0" w:color="000000"/>
            </w:tcBorders>
            <w:shd w:fill="FFFFFF" w:val="clear"/>
            <w:vAlign w:val="bottom"/>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917" w:name="z971df74938b041e282739b9718514204"/>
      <w:bookmarkStart w:id="918" w:name="z971df74938b041e282739b9718514204"/>
      <w:bookmarkEnd w:id="918"/>
    </w:p>
    <w:tbl>
      <w:tblPr>
        <w:tblW w:w="10205" w:type="dxa"/>
        <w:jc w:val="left"/>
        <w:tblInd w:w="0" w:type="dxa"/>
        <w:tblCellMar>
          <w:top w:w="0" w:type="dxa"/>
          <w:left w:w="0" w:type="dxa"/>
          <w:bottom w:w="0" w:type="dxa"/>
          <w:right w:w="0" w:type="dxa"/>
        </w:tblCellMar>
      </w:tblPr>
      <w:tblGrid>
        <w:gridCol w:w="107"/>
        <w:gridCol w:w="10098"/>
      </w:tblGrid>
      <w:tr>
        <w:trPr/>
        <w:tc>
          <w:tcPr>
            <w:tcW w:w="107" w:type="dxa"/>
            <w:tcBorders/>
            <w:shd w:fill="auto" w:val="clear"/>
            <w:vAlign w:val="center"/>
          </w:tcPr>
          <w:p>
            <w:pPr>
              <w:pStyle w:val="TableContents"/>
              <w:spacing w:before="0" w:after="0"/>
              <w:ind w:left="270" w:right="0" w:hanging="270"/>
              <w:jc w:val="left"/>
              <w:rPr/>
            </w:pPr>
            <w:r>
              <w:rPr/>
              <w:t>(1)</w:t>
            </w:r>
          </w:p>
        </w:tc>
        <w:tc>
          <w:tcPr>
            <w:tcW w:w="10098" w:type="dxa"/>
            <w:tcBorders/>
            <w:shd w:fill="auto" w:val="clear"/>
            <w:vAlign w:val="center"/>
          </w:tcPr>
          <w:p>
            <w:pPr>
              <w:pStyle w:val="TableContents"/>
              <w:spacing w:before="0" w:after="0"/>
              <w:jc w:val="left"/>
              <w:rPr/>
            </w:pPr>
            <w:r>
              <w:rPr/>
              <w:t>In May 2019, the Company repurchased a large number of shares in a private transaction. The number of shares repurchased included an immaterial number of shares (702 shares) in excess of the remaining shares under the publicly-announced plan. As previously disclosed, the Company’s Board of Directors expanded the repurchase plan in June 2019.</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19" w:name="DSPFPageBreakArea89"/>
      <w:bookmarkStart w:id="920" w:name="DSPFPageBreakArea89"/>
      <w:bookmarkEnd w:id="9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921" w:name="DSPFPageNumber89"/>
      <w:bookmarkStart w:id="922" w:name="DSPFPageNumberArea88"/>
      <w:bookmarkEnd w:id="921"/>
      <w:bookmarkEnd w:id="922"/>
      <w:r>
        <w:rPr>
          <w:b w:val="false"/>
          <w:i w:val="false"/>
          <w:caps w:val="false"/>
          <w:smallCaps w:val="false"/>
          <w:sz w:val="13"/>
        </w:rPr>
        <w:t>90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23" w:name="DSPFPageBreak89"/>
      <w:bookmarkStart w:id="924" w:name="DSPFPageBreak89"/>
      <w:bookmarkEnd w:id="9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925" w:name="DSPFPageHeader88"/>
        <w:bookmarkEnd w:id="925"/>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926" w:name="zce9acc2d949e4a468309253424b84485"/>
      <w:bookmarkStart w:id="927" w:name="zce9acc2d949e4a468309253424b84485"/>
      <w:bookmarkEnd w:id="927"/>
    </w:p>
    <w:tbl>
      <w:tblPr>
        <w:tblW w:w="1510" w:type="dxa"/>
        <w:jc w:val="left"/>
        <w:tblInd w:w="0" w:type="dxa"/>
        <w:tblCellMar>
          <w:top w:w="0" w:type="dxa"/>
          <w:left w:w="0" w:type="dxa"/>
          <w:bottom w:w="0" w:type="dxa"/>
          <w:right w:w="0" w:type="dxa"/>
        </w:tblCellMar>
      </w:tblPr>
      <w:tblGrid>
        <w:gridCol w:w="695"/>
        <w:gridCol w:w="815"/>
      </w:tblGrid>
      <w:tr>
        <w:trPr/>
        <w:tc>
          <w:tcPr>
            <w:tcW w:w="695" w:type="dxa"/>
            <w:tcBorders/>
            <w:shd w:fill="auto" w:val="clear"/>
            <w:vAlign w:val="center"/>
          </w:tcPr>
          <w:p>
            <w:pPr>
              <w:pStyle w:val="TableContents"/>
              <w:spacing w:before="0" w:after="283"/>
              <w:rPr>
                <w:u w:val="single"/>
              </w:rPr>
            </w:pPr>
            <w:r>
              <w:rPr>
                <w:u w:val="single"/>
              </w:rPr>
              <w:t>Item 6.</w:t>
            </w:r>
          </w:p>
        </w:tc>
        <w:tc>
          <w:tcPr>
            <w:tcW w:w="815" w:type="dxa"/>
            <w:tcBorders/>
            <w:shd w:fill="auto" w:val="clear"/>
            <w:vAlign w:val="center"/>
          </w:tcPr>
          <w:p>
            <w:pPr>
              <w:pStyle w:val="TableContents"/>
              <w:spacing w:before="0" w:after="0"/>
              <w:rPr>
                <w:u w:val="single"/>
              </w:rPr>
            </w:pPr>
            <w:bookmarkStart w:id="928" w:name="Exhibits"/>
            <w:bookmarkEnd w:id="928"/>
            <w:r>
              <w:rPr>
                <w:u w:val="single"/>
              </w:rPr>
              <w:t>Exhibits</w:t>
            </w:r>
          </w:p>
        </w:tc>
      </w:tr>
    </w:tbl>
    <w:p>
      <w:pPr>
        <w:pStyle w:val="TextBody"/>
        <w:spacing w:before="0" w:after="0"/>
        <w:rPr/>
      </w:pPr>
      <w:r>
        <w:rPr/>
      </w:r>
    </w:p>
    <w:p>
      <w:pPr>
        <w:pStyle w:val="Normal"/>
        <w:spacing w:before="0" w:after="0"/>
        <w:rPr>
          <w:sz w:val="4"/>
          <w:szCs w:val="4"/>
        </w:rPr>
      </w:pPr>
      <w:r>
        <w:rPr>
          <w:sz w:val="4"/>
          <w:szCs w:val="4"/>
        </w:rPr>
      </w:r>
      <w:bookmarkStart w:id="929" w:name="z8e00fa66dd7e47ac87a1cd439369c95b"/>
      <w:bookmarkStart w:id="930" w:name="z8e00fa66dd7e47ac87a1cd439369c95b"/>
      <w:bookmarkEnd w:id="930"/>
    </w:p>
    <w:tbl>
      <w:tblPr>
        <w:tblW w:w="10205" w:type="dxa"/>
        <w:jc w:val="left"/>
        <w:tblInd w:w="0" w:type="dxa"/>
        <w:tblCellMar>
          <w:top w:w="0" w:type="dxa"/>
          <w:left w:w="0" w:type="dxa"/>
          <w:bottom w:w="0" w:type="dxa"/>
          <w:right w:w="0" w:type="dxa"/>
        </w:tblCellMar>
      </w:tblPr>
      <w:tblGrid>
        <w:gridCol w:w="38"/>
        <w:gridCol w:w="256"/>
        <w:gridCol w:w="9911"/>
      </w:tblGrid>
      <w:tr>
        <w:trPr/>
        <w:tc>
          <w:tcPr>
            <w:tcW w:w="38" w:type="dxa"/>
            <w:tcBorders/>
            <w:shd w:fill="auto" w:val="clear"/>
            <w:vAlign w:val="center"/>
          </w:tcPr>
          <w:p>
            <w:pPr>
              <w:pStyle w:val="TableContents"/>
              <w:spacing w:before="0" w:after="283"/>
              <w:rPr/>
            </w:pPr>
            <w:r>
              <w:rPr/>
            </w:r>
          </w:p>
        </w:tc>
        <w:tc>
          <w:tcPr>
            <w:tcW w:w="256" w:type="dxa"/>
            <w:tcBorders/>
            <w:shd w:fill="auto" w:val="clear"/>
            <w:vAlign w:val="center"/>
          </w:tcPr>
          <w:p>
            <w:pPr>
              <w:pStyle w:val="TableContents"/>
              <w:spacing w:before="0" w:after="283"/>
              <w:rPr/>
            </w:pPr>
            <w:r>
              <w:rPr/>
              <w:t>(a)</w:t>
            </w:r>
          </w:p>
        </w:tc>
        <w:tc>
          <w:tcPr>
            <w:tcW w:w="9911" w:type="dxa"/>
            <w:tcBorders/>
            <w:shd w:fill="auto" w:val="clear"/>
            <w:vAlign w:val="center"/>
          </w:tcPr>
          <w:p>
            <w:pPr>
              <w:pStyle w:val="TableContents"/>
              <w:spacing w:before="0" w:after="0"/>
              <w:jc w:val="both"/>
              <w:rPr/>
            </w:pPr>
            <w:r>
              <w:rPr/>
              <w:t>The following exhibits (listed by number corresponding to the Exhibit Table as Item 601 in Regulation S-K) are filed with this report:</w:t>
            </w:r>
          </w:p>
        </w:tc>
      </w:tr>
    </w:tbl>
    <w:p>
      <w:pPr>
        <w:pStyle w:val="TextBody"/>
        <w:spacing w:before="0" w:after="0"/>
        <w:rPr/>
      </w:pPr>
      <w:r>
        <w:rPr/>
      </w:r>
    </w:p>
    <w:p>
      <w:pPr>
        <w:pStyle w:val="Normal"/>
        <w:spacing w:before="0" w:after="0"/>
        <w:rPr>
          <w:sz w:val="4"/>
          <w:szCs w:val="4"/>
        </w:rPr>
      </w:pPr>
      <w:r>
        <w:rPr>
          <w:sz w:val="4"/>
          <w:szCs w:val="4"/>
        </w:rPr>
      </w:r>
      <w:bookmarkStart w:id="931" w:name="z4dcd22f26f80478f901f3ce72a036c64"/>
      <w:bookmarkStart w:id="932" w:name="z4dcd22f26f80478f901f3ce72a036c64"/>
      <w:bookmarkEnd w:id="932"/>
    </w:p>
    <w:tbl>
      <w:tblPr>
        <w:tblW w:w="10205" w:type="dxa"/>
        <w:jc w:val="left"/>
        <w:tblInd w:w="0" w:type="dxa"/>
        <w:tblCellMar>
          <w:top w:w="0" w:type="dxa"/>
          <w:left w:w="0" w:type="dxa"/>
          <w:bottom w:w="0" w:type="dxa"/>
          <w:right w:w="0" w:type="dxa"/>
        </w:tblCellMar>
      </w:tblPr>
      <w:tblGrid>
        <w:gridCol w:w="60"/>
        <w:gridCol w:w="440"/>
        <w:gridCol w:w="9705"/>
      </w:tblGrid>
      <w:tr>
        <w:trPr/>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0"/>
              <w:jc w:val="both"/>
              <w:rPr/>
            </w:pPr>
            <w:hyperlink w:anchor="ex31_1.htm">
              <w:r>
                <w:rPr>
                  <w:rStyle w:val="InternetLink"/>
                </w:rPr>
                <w:t>31.1</w:t>
              </w:r>
            </w:hyperlink>
          </w:p>
        </w:tc>
        <w:tc>
          <w:tcPr>
            <w:tcW w:w="9705" w:type="dxa"/>
            <w:tcBorders/>
            <w:shd w:fill="CCEEFF" w:val="clear"/>
            <w:vAlign w:val="center"/>
          </w:tcPr>
          <w:p>
            <w:pPr>
              <w:pStyle w:val="TableContents"/>
              <w:spacing w:before="0" w:after="0"/>
              <w:jc w:val="both"/>
              <w:rPr/>
            </w:pPr>
            <w:r>
              <w:rPr/>
              <w:t> </w:t>
            </w:r>
            <w:r>
              <w:rPr/>
              <w:t>Certificate of the Chief Executive Officer of Independent Bank Corporation pursuant to Section 302 of the Sarbanes-Oxley Act of 2002 (18 U.S.C. 1350).</w:t>
            </w:r>
          </w:p>
        </w:tc>
      </w:tr>
      <w:tr>
        <w:trPr/>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0"/>
              <w:jc w:val="both"/>
              <w:rPr/>
            </w:pPr>
            <w:hyperlink w:anchor="ex31_2.htm">
              <w:r>
                <w:rPr>
                  <w:rStyle w:val="InternetLink"/>
                </w:rPr>
                <w:t>31.2</w:t>
              </w:r>
            </w:hyperlink>
          </w:p>
        </w:tc>
        <w:tc>
          <w:tcPr>
            <w:tcW w:w="9705" w:type="dxa"/>
            <w:tcBorders/>
            <w:shd w:fill="FFFFFF" w:val="clear"/>
            <w:vAlign w:val="center"/>
          </w:tcPr>
          <w:p>
            <w:pPr>
              <w:pStyle w:val="TableContents"/>
              <w:spacing w:before="0" w:after="0"/>
              <w:jc w:val="both"/>
              <w:rPr/>
            </w:pPr>
            <w:r>
              <w:rPr/>
              <w:t> </w:t>
            </w:r>
            <w:r>
              <w:rPr/>
              <w:t>Certificate of the Chief Financial Officer of Independent Bank Corporation pursuant to Section 302 of the Sarbanes-Oxley Act of 2002 (18 U.S.C. 1350).</w:t>
            </w:r>
          </w:p>
        </w:tc>
      </w:tr>
      <w:tr>
        <w:trPr/>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0"/>
              <w:jc w:val="both"/>
              <w:rPr/>
            </w:pPr>
            <w:hyperlink w:anchor="ex32_1.htm">
              <w:r>
                <w:rPr>
                  <w:rStyle w:val="InternetLink"/>
                </w:rPr>
                <w:t>32.1</w:t>
              </w:r>
            </w:hyperlink>
          </w:p>
        </w:tc>
        <w:tc>
          <w:tcPr>
            <w:tcW w:w="9705" w:type="dxa"/>
            <w:tcBorders/>
            <w:shd w:fill="CCEEFF" w:val="clear"/>
            <w:vAlign w:val="center"/>
          </w:tcPr>
          <w:p>
            <w:pPr>
              <w:pStyle w:val="TableContents"/>
              <w:spacing w:before="0" w:after="0"/>
              <w:jc w:val="both"/>
              <w:rPr/>
            </w:pPr>
            <w:r>
              <w:rPr/>
              <w:t> </w:t>
            </w:r>
            <w:r>
              <w:rPr/>
              <w:t>Certificate of the Chief Executive Officer of Independent Bank Corporation pursuant to Section 906 of the Sarbanes-Oxley Act of 2002 (18 U.S.C. 1350).</w:t>
            </w:r>
          </w:p>
        </w:tc>
      </w:tr>
      <w:tr>
        <w:trPr/>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0"/>
              <w:jc w:val="both"/>
              <w:rPr/>
            </w:pPr>
            <w:hyperlink w:anchor="ex32_2.htm">
              <w:r>
                <w:rPr>
                  <w:rStyle w:val="InternetLink"/>
                </w:rPr>
                <w:t>32.2</w:t>
              </w:r>
            </w:hyperlink>
          </w:p>
        </w:tc>
        <w:tc>
          <w:tcPr>
            <w:tcW w:w="9705" w:type="dxa"/>
            <w:tcBorders/>
            <w:shd w:fill="FFFFFF" w:val="clear"/>
            <w:vAlign w:val="center"/>
          </w:tcPr>
          <w:p>
            <w:pPr>
              <w:pStyle w:val="TableContents"/>
              <w:spacing w:before="0" w:after="0"/>
              <w:jc w:val="both"/>
              <w:rPr/>
            </w:pPr>
            <w:r>
              <w:rPr/>
              <w:t> </w:t>
            </w:r>
            <w:r>
              <w:rPr/>
              <w:t>Certificate of the Chief Financial Officer of Independent Bank Corporation pursuant to Section 906 of the Sarbanes-Oxley Act of 2002 (18 U.S.C. 1350).</w:t>
            </w:r>
          </w:p>
        </w:tc>
      </w:tr>
    </w:tbl>
    <w:p>
      <w:pPr>
        <w:pStyle w:val="Normal"/>
        <w:spacing w:before="0" w:after="0"/>
        <w:rPr>
          <w:sz w:val="4"/>
          <w:szCs w:val="4"/>
        </w:rPr>
      </w:pPr>
      <w:r>
        <w:rPr>
          <w:sz w:val="4"/>
          <w:szCs w:val="4"/>
        </w:rPr>
      </w:r>
      <w:bookmarkStart w:id="933" w:name="z216b11bba4724b32a3f5f3e53c2ba42e"/>
      <w:bookmarkStart w:id="934" w:name="z216b11bba4724b32a3f5f3e53c2ba42e"/>
      <w:bookmarkEnd w:id="934"/>
    </w:p>
    <w:tbl>
      <w:tblPr>
        <w:tblW w:w="6965" w:type="dxa"/>
        <w:jc w:val="left"/>
        <w:tblInd w:w="0" w:type="dxa"/>
        <w:tblCellMar>
          <w:top w:w="0" w:type="dxa"/>
          <w:left w:w="0" w:type="dxa"/>
          <w:bottom w:w="0" w:type="dxa"/>
          <w:right w:w="0" w:type="dxa"/>
        </w:tblCellMar>
      </w:tblPr>
      <w:tblGrid>
        <w:gridCol w:w="60"/>
        <w:gridCol w:w="6905"/>
      </w:tblGrid>
      <w:tr>
        <w:trPr/>
        <w:tc>
          <w:tcPr>
            <w:tcW w:w="60" w:type="dxa"/>
            <w:tcBorders/>
            <w:shd w:fill="CCEEFF" w:val="clear"/>
            <w:vAlign w:val="center"/>
          </w:tcPr>
          <w:p>
            <w:pPr>
              <w:pStyle w:val="TableContents"/>
              <w:spacing w:before="0" w:after="283"/>
              <w:rPr/>
            </w:pPr>
            <w:r>
              <w:rPr/>
              <w:t> </w:t>
            </w:r>
          </w:p>
        </w:tc>
        <w:tc>
          <w:tcPr>
            <w:tcW w:w="6905" w:type="dxa"/>
            <w:tcBorders/>
            <w:shd w:fill="CCEEFF" w:val="clear"/>
            <w:vAlign w:val="center"/>
          </w:tcPr>
          <w:p>
            <w:pPr>
              <w:pStyle w:val="TableContents"/>
              <w:spacing w:before="0" w:after="0"/>
              <w:jc w:val="both"/>
              <w:rPr/>
            </w:pPr>
            <w:r>
              <w:rPr/>
              <w:t>101.INS Instance Document</w:t>
            </w:r>
          </w:p>
        </w:tc>
      </w:tr>
      <w:tr>
        <w:trPr/>
        <w:tc>
          <w:tcPr>
            <w:tcW w:w="60" w:type="dxa"/>
            <w:tcBorders/>
            <w:shd w:fill="FFFFFF" w:val="clear"/>
            <w:vAlign w:val="center"/>
          </w:tcPr>
          <w:p>
            <w:pPr>
              <w:pStyle w:val="TableContents"/>
              <w:spacing w:before="0" w:after="283"/>
              <w:rPr/>
            </w:pPr>
            <w:r>
              <w:rPr/>
              <w:t> </w:t>
            </w:r>
          </w:p>
        </w:tc>
        <w:tc>
          <w:tcPr>
            <w:tcW w:w="6905" w:type="dxa"/>
            <w:tcBorders/>
            <w:shd w:fill="FFFFFF" w:val="clear"/>
            <w:vAlign w:val="center"/>
          </w:tcPr>
          <w:p>
            <w:pPr>
              <w:pStyle w:val="TableContents"/>
              <w:spacing w:before="0" w:after="0"/>
              <w:jc w:val="both"/>
              <w:rPr/>
            </w:pPr>
            <w:r>
              <w:rPr/>
              <w:t>101.SCH XBRL Taxonomy Extension Schema Document</w:t>
            </w:r>
          </w:p>
        </w:tc>
      </w:tr>
      <w:tr>
        <w:trPr/>
        <w:tc>
          <w:tcPr>
            <w:tcW w:w="60" w:type="dxa"/>
            <w:tcBorders/>
            <w:shd w:fill="CCEEFF" w:val="clear"/>
            <w:vAlign w:val="center"/>
          </w:tcPr>
          <w:p>
            <w:pPr>
              <w:pStyle w:val="TableContents"/>
              <w:spacing w:before="0" w:after="283"/>
              <w:rPr/>
            </w:pPr>
            <w:r>
              <w:rPr/>
              <w:t> </w:t>
            </w:r>
          </w:p>
        </w:tc>
        <w:tc>
          <w:tcPr>
            <w:tcW w:w="6905" w:type="dxa"/>
            <w:tcBorders/>
            <w:shd w:fill="CCEEFF" w:val="clear"/>
            <w:vAlign w:val="center"/>
          </w:tcPr>
          <w:p>
            <w:pPr>
              <w:pStyle w:val="TableContents"/>
              <w:spacing w:before="0" w:after="0"/>
              <w:jc w:val="both"/>
              <w:rPr/>
            </w:pPr>
            <w:r>
              <w:rPr/>
              <w:t>101.CAL XBRL Taxonomy Extension Calculation Linkbase Document</w:t>
            </w:r>
          </w:p>
        </w:tc>
      </w:tr>
      <w:tr>
        <w:trPr/>
        <w:tc>
          <w:tcPr>
            <w:tcW w:w="60" w:type="dxa"/>
            <w:tcBorders/>
            <w:shd w:fill="FFFFFF" w:val="clear"/>
            <w:vAlign w:val="center"/>
          </w:tcPr>
          <w:p>
            <w:pPr>
              <w:pStyle w:val="TableContents"/>
              <w:spacing w:before="0" w:after="283"/>
              <w:rPr/>
            </w:pPr>
            <w:r>
              <w:rPr/>
              <w:t> </w:t>
            </w:r>
          </w:p>
        </w:tc>
        <w:tc>
          <w:tcPr>
            <w:tcW w:w="6905" w:type="dxa"/>
            <w:tcBorders/>
            <w:shd w:fill="FFFFFF" w:val="clear"/>
            <w:vAlign w:val="center"/>
          </w:tcPr>
          <w:p>
            <w:pPr>
              <w:pStyle w:val="TableContents"/>
              <w:spacing w:before="0" w:after="0"/>
              <w:jc w:val="both"/>
              <w:rPr/>
            </w:pPr>
            <w:r>
              <w:rPr/>
              <w:t>101.DEF XBRL Taxonomy Extension Definition Linkbase Document</w:t>
            </w:r>
          </w:p>
        </w:tc>
      </w:tr>
      <w:tr>
        <w:trPr/>
        <w:tc>
          <w:tcPr>
            <w:tcW w:w="60" w:type="dxa"/>
            <w:tcBorders/>
            <w:shd w:fill="CCEEFF" w:val="clear"/>
            <w:vAlign w:val="center"/>
          </w:tcPr>
          <w:p>
            <w:pPr>
              <w:pStyle w:val="TableContents"/>
              <w:spacing w:before="0" w:after="283"/>
              <w:rPr/>
            </w:pPr>
            <w:r>
              <w:rPr/>
              <w:t> </w:t>
            </w:r>
          </w:p>
        </w:tc>
        <w:tc>
          <w:tcPr>
            <w:tcW w:w="6905" w:type="dxa"/>
            <w:tcBorders/>
            <w:shd w:fill="CCEEFF" w:val="clear"/>
            <w:vAlign w:val="center"/>
          </w:tcPr>
          <w:p>
            <w:pPr>
              <w:pStyle w:val="TableContents"/>
              <w:spacing w:before="0" w:after="0"/>
              <w:jc w:val="both"/>
              <w:rPr/>
            </w:pPr>
            <w:r>
              <w:rPr/>
              <w:t>101.LAB XBRL Taxonomy Extension Label Linkbase Document</w:t>
            </w:r>
          </w:p>
        </w:tc>
      </w:tr>
      <w:tr>
        <w:trPr/>
        <w:tc>
          <w:tcPr>
            <w:tcW w:w="60" w:type="dxa"/>
            <w:tcBorders/>
            <w:shd w:fill="FFFFFF" w:val="clear"/>
            <w:vAlign w:val="center"/>
          </w:tcPr>
          <w:p>
            <w:pPr>
              <w:pStyle w:val="TableContents"/>
              <w:spacing w:before="0" w:after="283"/>
              <w:rPr/>
            </w:pPr>
            <w:r>
              <w:rPr/>
              <w:t> </w:t>
            </w:r>
          </w:p>
        </w:tc>
        <w:tc>
          <w:tcPr>
            <w:tcW w:w="6905" w:type="dxa"/>
            <w:tcBorders/>
            <w:shd w:fill="FFFFFF" w:val="clear"/>
            <w:vAlign w:val="center"/>
          </w:tcPr>
          <w:p>
            <w:pPr>
              <w:pStyle w:val="TableContents"/>
              <w:spacing w:before="0" w:after="0"/>
              <w:jc w:val="both"/>
              <w:rPr/>
            </w:pPr>
            <w:r>
              <w:rPr/>
              <w:t>101.PRE XBRL Taxonomy Extension Presentation Linkbase Document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35" w:name="DSPFPageBreakArea90"/>
      <w:bookmarkStart w:id="936" w:name="DSPFPageBreakArea90"/>
      <w:bookmarkEnd w:id="9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3"/>
        </w:rPr>
      </w:pPr>
      <w:bookmarkStart w:id="937" w:name="DSPFPageNumber90"/>
      <w:bookmarkStart w:id="938" w:name="DSPFPageNumberArea89"/>
      <w:bookmarkEnd w:id="937"/>
      <w:bookmarkEnd w:id="938"/>
      <w:r>
        <w:rPr>
          <w:b w:val="false"/>
          <w:i w:val="false"/>
          <w:caps w:val="false"/>
          <w:smallCaps w:val="false"/>
          <w:sz w:val="13"/>
        </w:rPr>
        <w:t>91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39" w:name="DSPFPageBreak90"/>
      <w:bookmarkStart w:id="940" w:name="DSPFPageBreak90"/>
      <w:bookmarkEnd w:id="9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INDEX">
        <w:bookmarkStart w:id="941" w:name="DSPFPageHeader89"/>
        <w:bookmarkEnd w:id="941"/>
        <w:r>
          <w:rPr>
            <w:rStyle w:val="InternetLink"/>
            <w:i/>
            <w:sz w:val="13"/>
          </w:rPr>
          <w:t>Index</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u w:val="single"/>
        </w:rPr>
      </w:pPr>
      <w:r>
        <w:rPr>
          <w:u w:val="single"/>
        </w:rPr>
        <w:t>SIGNATURES</w:t>
      </w:r>
    </w:p>
    <w:p>
      <w:pPr>
        <w:pStyle w:val="TextBody"/>
        <w:spacing w:before="0" w:after="0"/>
        <w:rPr/>
      </w:pPr>
      <w:r>
        <w:rPr/>
      </w:r>
    </w:p>
    <w:p>
      <w:pPr>
        <w:pStyle w:val="TextBody"/>
        <w:spacing w:before="0" w:after="0"/>
        <w:jc w:val="both"/>
        <w:rPr/>
      </w:pPr>
      <w:r>
        <w:rPr/>
        <w:t>Pursuant to the requirements of the Securities Exchange Act of 1934, the registrant has duly caused this report to be signed on its behalf by the undersigned thereunto duly authorized.</w:t>
      </w:r>
    </w:p>
    <w:p>
      <w:pPr>
        <w:pStyle w:val="TextBody"/>
        <w:spacing w:before="0" w:after="0"/>
        <w:rPr/>
      </w:pPr>
      <w:r>
        <w:rPr/>
      </w:r>
    </w:p>
    <w:p>
      <w:pPr>
        <w:pStyle w:val="Normal"/>
        <w:spacing w:before="0" w:after="0"/>
        <w:rPr>
          <w:sz w:val="4"/>
          <w:szCs w:val="4"/>
        </w:rPr>
      </w:pPr>
      <w:r>
        <w:rPr>
          <w:sz w:val="4"/>
          <w:szCs w:val="4"/>
        </w:rPr>
      </w:r>
      <w:bookmarkStart w:id="942" w:name="z19c20da62041470f835359e8342e823c"/>
      <w:bookmarkStart w:id="943" w:name="z19c20da62041470f835359e8342e823c"/>
      <w:bookmarkEnd w:id="943"/>
    </w:p>
    <w:tbl>
      <w:tblPr>
        <w:tblW w:w="7295" w:type="dxa"/>
        <w:jc w:val="left"/>
        <w:tblInd w:w="0" w:type="dxa"/>
        <w:tblCellMar>
          <w:top w:w="0" w:type="dxa"/>
          <w:left w:w="0" w:type="dxa"/>
          <w:bottom w:w="0" w:type="dxa"/>
          <w:right w:w="0" w:type="dxa"/>
        </w:tblCellMar>
      </w:tblPr>
      <w:tblGrid>
        <w:gridCol w:w="470"/>
        <w:gridCol w:w="1490"/>
        <w:gridCol w:w="60"/>
        <w:gridCol w:w="305"/>
        <w:gridCol w:w="4970"/>
      </w:tblGrid>
      <w:tr>
        <w:trPr/>
        <w:tc>
          <w:tcPr>
            <w:tcW w:w="470" w:type="dxa"/>
            <w:tcBorders/>
            <w:shd w:fill="auto" w:val="clear"/>
            <w:vAlign w:val="center"/>
          </w:tcPr>
          <w:p>
            <w:pPr>
              <w:pStyle w:val="TableContents"/>
              <w:spacing w:before="0" w:after="0"/>
              <w:rPr/>
            </w:pPr>
            <w:r>
              <w:rPr/>
              <w:t>Date</w:t>
            </w:r>
          </w:p>
        </w:tc>
        <w:tc>
          <w:tcPr>
            <w:tcW w:w="1490" w:type="dxa"/>
            <w:tcBorders>
              <w:bottom w:val="single" w:sz="12" w:space="0" w:color="000000"/>
            </w:tcBorders>
            <w:shd w:fill="auto" w:val="clear"/>
            <w:tcMar>
              <w:bottom w:w="28" w:type="dxa"/>
            </w:tcMar>
            <w:vAlign w:val="center"/>
          </w:tcPr>
          <w:p>
            <w:pPr>
              <w:pStyle w:val="TableContents"/>
              <w:spacing w:before="0" w:after="0"/>
              <w:jc w:val="center"/>
              <w:rPr/>
            </w:pPr>
            <w:r>
              <w:rPr/>
              <w:t>August 2, 2019</w:t>
            </w:r>
          </w:p>
        </w:tc>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0"/>
              <w:rPr/>
            </w:pPr>
            <w:r>
              <w:rPr/>
              <w:t>By</w:t>
            </w:r>
          </w:p>
        </w:tc>
        <w:tc>
          <w:tcPr>
            <w:tcW w:w="4970" w:type="dxa"/>
            <w:tcBorders>
              <w:bottom w:val="single" w:sz="12" w:space="0" w:color="000000"/>
            </w:tcBorders>
            <w:shd w:fill="auto" w:val="clear"/>
            <w:tcMar>
              <w:bottom w:w="28" w:type="dxa"/>
            </w:tcMar>
            <w:vAlign w:val="center"/>
          </w:tcPr>
          <w:p>
            <w:pPr>
              <w:pStyle w:val="TableContents"/>
              <w:spacing w:before="0" w:after="0"/>
              <w:ind w:left="540" w:right="0" w:hanging="0"/>
              <w:rPr/>
            </w:pPr>
            <w:r>
              <w:rPr/>
              <w:t>/s/ Robert N. Shuster</w:t>
            </w:r>
          </w:p>
        </w:tc>
      </w:tr>
      <w:tr>
        <w:trPr/>
        <w:tc>
          <w:tcPr>
            <w:tcW w:w="47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4970" w:type="dxa"/>
            <w:tcBorders/>
            <w:shd w:fill="auto" w:val="clear"/>
            <w:vAlign w:val="center"/>
          </w:tcPr>
          <w:p>
            <w:pPr>
              <w:pStyle w:val="TableContents"/>
              <w:spacing w:before="0" w:after="0"/>
              <w:ind w:left="540" w:right="0" w:hanging="0"/>
              <w:rPr/>
            </w:pPr>
            <w:r>
              <w:rPr/>
              <w:t>Robert N. Shuster, Principal Financial Officer</w:t>
            </w:r>
          </w:p>
        </w:tc>
      </w:tr>
      <w:tr>
        <w:trPr/>
        <w:tc>
          <w:tcPr>
            <w:tcW w:w="47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4970" w:type="dxa"/>
            <w:tcBorders/>
            <w:shd w:fill="auto" w:val="clear"/>
            <w:vAlign w:val="center"/>
          </w:tcPr>
          <w:p>
            <w:pPr>
              <w:pStyle w:val="TableContents"/>
              <w:spacing w:before="0" w:after="283"/>
              <w:rPr/>
            </w:pPr>
            <w:r>
              <w:rPr/>
            </w:r>
          </w:p>
        </w:tc>
      </w:tr>
      <w:tr>
        <w:trPr/>
        <w:tc>
          <w:tcPr>
            <w:tcW w:w="470" w:type="dxa"/>
            <w:tcBorders/>
            <w:shd w:fill="auto" w:val="clear"/>
            <w:vAlign w:val="center"/>
          </w:tcPr>
          <w:p>
            <w:pPr>
              <w:pStyle w:val="TableContents"/>
              <w:spacing w:before="0" w:after="0"/>
              <w:rPr/>
            </w:pPr>
            <w:r>
              <w:rPr/>
              <w:t>Date</w:t>
            </w:r>
          </w:p>
        </w:tc>
        <w:tc>
          <w:tcPr>
            <w:tcW w:w="1490" w:type="dxa"/>
            <w:tcBorders>
              <w:bottom w:val="single" w:sz="12" w:space="0" w:color="000000"/>
            </w:tcBorders>
            <w:shd w:fill="auto" w:val="clear"/>
            <w:tcMar>
              <w:bottom w:w="28" w:type="dxa"/>
            </w:tcMar>
            <w:vAlign w:val="center"/>
          </w:tcPr>
          <w:p>
            <w:pPr>
              <w:pStyle w:val="TableContents"/>
              <w:spacing w:before="0" w:after="0"/>
              <w:jc w:val="center"/>
              <w:rPr/>
            </w:pPr>
            <w:r>
              <w:rPr/>
              <w:t>August 2, 2019</w:t>
            </w:r>
          </w:p>
        </w:tc>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0"/>
              <w:rPr/>
            </w:pPr>
            <w:r>
              <w:rPr/>
              <w:t>By</w:t>
            </w:r>
          </w:p>
        </w:tc>
        <w:tc>
          <w:tcPr>
            <w:tcW w:w="4970" w:type="dxa"/>
            <w:tcBorders>
              <w:bottom w:val="single" w:sz="12" w:space="0" w:color="000000"/>
            </w:tcBorders>
            <w:shd w:fill="auto" w:val="clear"/>
            <w:tcMar>
              <w:bottom w:w="28" w:type="dxa"/>
            </w:tcMar>
            <w:vAlign w:val="center"/>
          </w:tcPr>
          <w:p>
            <w:pPr>
              <w:pStyle w:val="TableContents"/>
              <w:spacing w:before="0" w:after="0"/>
              <w:ind w:left="540" w:right="0" w:hanging="0"/>
              <w:rPr/>
            </w:pPr>
            <w:r>
              <w:rPr/>
              <w:t>/s/ James J. Twarozynski</w:t>
            </w:r>
          </w:p>
        </w:tc>
      </w:tr>
      <w:tr>
        <w:trPr/>
        <w:tc>
          <w:tcPr>
            <w:tcW w:w="47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283"/>
              <w:rPr/>
            </w:pPr>
            <w:r>
              <w:rPr/>
              <w:t> </w:t>
            </w:r>
          </w:p>
        </w:tc>
        <w:tc>
          <w:tcPr>
            <w:tcW w:w="4970" w:type="dxa"/>
            <w:tcBorders/>
            <w:shd w:fill="auto" w:val="clear"/>
            <w:vAlign w:val="center"/>
          </w:tcPr>
          <w:p>
            <w:pPr>
              <w:pStyle w:val="TableContents"/>
              <w:spacing w:before="0" w:after="0"/>
              <w:ind w:left="540" w:right="0" w:hanging="0"/>
              <w:rPr/>
            </w:pPr>
            <w:r>
              <w:rPr/>
              <w:t>James J. Twarozynski, Principal Accounting Officer</w:t>
            </w:r>
          </w:p>
        </w:tc>
      </w:tr>
    </w:tbl>
    <w:p>
      <w:pPr>
        <w:pStyle w:val="TextBody"/>
        <w:spacing w:before="0" w:after="0"/>
        <w:rPr/>
      </w:pPr>
      <w:r>
        <w:rPr/>
      </w:r>
    </w:p>
    <w:p>
      <w:pPr>
        <w:pStyle w:val="TextBody"/>
        <w:spacing w:before="0" w:after="0"/>
        <w:rPr/>
      </w:pPr>
      <w:r>
        <w:rPr/>
      </w:r>
    </w:p>
    <w:p>
      <w:pPr>
        <w:pStyle w:val="TextBody"/>
        <w:spacing w:before="0" w:after="0"/>
        <w:jc w:val="center"/>
        <w:rPr>
          <w:b w:val="false"/>
          <w:i w:val="false"/>
          <w:caps w:val="false"/>
          <w:smallCaps w:val="false"/>
          <w:sz w:val="13"/>
        </w:rPr>
      </w:pPr>
      <w:bookmarkStart w:id="944" w:name="DSPFPageNumber91"/>
      <w:bookmarkEnd w:id="944"/>
      <w:r>
        <w:rPr>
          <w:b w:val="false"/>
          <w:i w:val="false"/>
          <w:caps w:val="false"/>
          <w:smallCaps w:val="false"/>
          <w:sz w:val="13"/>
        </w:rPr>
        <w:t>92</w:t>
      </w:r>
    </w:p>
    <w:p>
      <w:pPr>
        <w:pStyle w:val="HorizontalLine"/>
        <w:pBdr>
          <w:bottom w:val="single" w:sz="20" w:space="0" w:color="808080"/>
        </w:pBdr>
        <w:rPr/>
      </w:pPr>
      <w:r>
        <w:rPr/>
      </w:r>
      <w:r>
        <w:br w:type="page"/>
      </w:r>
    </w:p>
    <w:p>
      <w:pPr>
        <w:pStyle w:val="HorizontalLine"/>
        <w:pBdr>
          <w:bottom w:val="single" w:sz="20" w:space="0" w:color="808080"/>
        </w:pBdr>
        <w:rPr/>
      </w:pPr>
      <w:r>
        <w:rPr/>
      </w:r>
      <w:bookmarkStart w:id="945" w:name="ex31_1.htm"/>
      <w:bookmarkStart w:id="946" w:name="ksex31_1"/>
      <w:bookmarkStart w:id="947" w:name="ex31_1.htm"/>
      <w:bookmarkStart w:id="948" w:name="ksex31_1"/>
      <w:bookmarkEnd w:id="947"/>
      <w:bookmarkEnd w:id="948"/>
    </w:p>
    <w:p>
      <w:pPr>
        <w:pStyle w:val="TextBody"/>
        <w:spacing w:before="0" w:after="0"/>
        <w:jc w:val="right"/>
        <w:rPr>
          <w:b w:val="false"/>
        </w:rPr>
      </w:pPr>
      <w:r>
        <w:rPr>
          <w:b w:val="false"/>
        </w:rPr>
        <w:t>EXHIBIT 31.1</w:t>
      </w:r>
    </w:p>
    <w:p>
      <w:pPr>
        <w:pStyle w:val="TextBody"/>
        <w:spacing w:before="0" w:after="0"/>
        <w:rPr/>
      </w:pPr>
      <w:r>
        <w:rPr/>
      </w:r>
    </w:p>
    <w:p>
      <w:pPr>
        <w:pStyle w:val="TextBody"/>
        <w:spacing w:before="0" w:after="0"/>
        <w:jc w:val="center"/>
        <w:rPr/>
      </w:pPr>
      <w:r>
        <w:rPr/>
        <w:t>CERTIFICATION</w:t>
      </w:r>
    </w:p>
    <w:p>
      <w:pPr>
        <w:pStyle w:val="TextBody"/>
        <w:spacing w:before="0" w:after="0"/>
        <w:rPr/>
      </w:pPr>
      <w:r>
        <w:rPr/>
      </w:r>
    </w:p>
    <w:p>
      <w:pPr>
        <w:pStyle w:val="TextBody"/>
        <w:spacing w:before="0" w:after="0"/>
        <w:jc w:val="both"/>
        <w:rPr/>
      </w:pPr>
      <w:r>
        <w:rPr/>
        <w:t>I, William B. Kessel, certify that:</w:t>
      </w:r>
    </w:p>
    <w:p>
      <w:pPr>
        <w:pStyle w:val="TextBody"/>
        <w:spacing w:before="0" w:after="0"/>
        <w:rPr/>
      </w:pPr>
      <w:r>
        <w:rPr/>
      </w:r>
    </w:p>
    <w:tbl>
      <w:tblPr>
        <w:tblW w:w="8410" w:type="dxa"/>
        <w:jc w:val="left"/>
        <w:tblInd w:w="0" w:type="dxa"/>
        <w:tblCellMar>
          <w:top w:w="0" w:type="dxa"/>
          <w:left w:w="0" w:type="dxa"/>
          <w:bottom w:w="0" w:type="dxa"/>
          <w:right w:w="0" w:type="dxa"/>
        </w:tblCellMar>
      </w:tblPr>
      <w:tblGrid>
        <w:gridCol w:w="215"/>
        <w:gridCol w:w="8195"/>
      </w:tblGrid>
      <w:tr>
        <w:trPr/>
        <w:tc>
          <w:tcPr>
            <w:tcW w:w="215" w:type="dxa"/>
            <w:tcBorders/>
            <w:shd w:fill="auto" w:val="clear"/>
            <w:vAlign w:val="center"/>
          </w:tcPr>
          <w:p>
            <w:pPr>
              <w:pStyle w:val="TableContents"/>
              <w:spacing w:before="0" w:after="283"/>
              <w:rPr/>
            </w:pPr>
            <w:r>
              <w:rPr/>
              <w:t>1.</w:t>
            </w:r>
          </w:p>
        </w:tc>
        <w:tc>
          <w:tcPr>
            <w:tcW w:w="8195" w:type="dxa"/>
            <w:tcBorders/>
            <w:shd w:fill="auto" w:val="clear"/>
            <w:vAlign w:val="center"/>
          </w:tcPr>
          <w:p>
            <w:pPr>
              <w:pStyle w:val="TableContents"/>
              <w:spacing w:before="0" w:after="0"/>
              <w:jc w:val="both"/>
              <w:rPr/>
            </w:pPr>
            <w:r>
              <w:rPr/>
              <w:t>I have reviewed this quarterly report on Form 10-Q of Independent Bank Corporation;</w:t>
            </w:r>
          </w:p>
        </w:tc>
      </w:tr>
    </w:tbl>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rPr/>
            </w:pPr>
            <w:r>
              <w:rPr/>
              <w:t>2.</w:t>
            </w:r>
          </w:p>
        </w:tc>
        <w:tc>
          <w:tcPr>
            <w:tcW w:w="10032" w:type="dxa"/>
            <w:tcBorders/>
            <w:shd w:fill="auto" w:val="clear"/>
            <w:vAlign w:val="center"/>
          </w:tcPr>
          <w:p>
            <w:pPr>
              <w:pStyle w:val="TableContents"/>
              <w:spacing w:before="0" w:after="0"/>
              <w:jc w:val="both"/>
              <w:rPr/>
            </w:pPr>
            <w:r>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bl>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283"/>
              <w:rPr/>
            </w:pPr>
            <w:r>
              <w:rPr/>
              <w:t>3.</w:t>
            </w:r>
          </w:p>
        </w:tc>
        <w:tc>
          <w:tcPr>
            <w:tcW w:w="10030" w:type="dxa"/>
            <w:tcBorders/>
            <w:shd w:fill="auto" w:val="clear"/>
            <w:vAlign w:val="center"/>
          </w:tcPr>
          <w:p>
            <w:pPr>
              <w:pStyle w:val="TableContents"/>
              <w:spacing w:before="0" w:after="0"/>
              <w:jc w:val="both"/>
              <w:rPr/>
            </w:pPr>
            <w:r>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tc>
      </w:tr>
    </w:tbl>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rPr/>
            </w:pPr>
            <w:r>
              <w:rPr/>
              <w:t>4.</w:t>
            </w:r>
          </w:p>
        </w:tc>
        <w:tc>
          <w:tcPr>
            <w:tcW w:w="10032" w:type="dxa"/>
            <w:tcBorders/>
            <w:shd w:fill="auto" w:val="clear"/>
            <w:vAlign w:val="center"/>
          </w:tcPr>
          <w:p>
            <w:pPr>
              <w:pStyle w:val="TableContents"/>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bl>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pPr>
            <w:r>
              <w:rPr/>
            </w:r>
          </w:p>
        </w:tc>
        <w:tc>
          <w:tcPr>
            <w:tcW w:w="144" w:type="dxa"/>
            <w:tcBorders/>
            <w:shd w:fill="auto" w:val="clear"/>
            <w:vAlign w:val="center"/>
          </w:tcPr>
          <w:p>
            <w:pPr>
              <w:pStyle w:val="TableContents"/>
              <w:spacing w:before="0" w:after="283"/>
              <w:rPr/>
            </w:pPr>
            <w:r>
              <w:rPr/>
              <w:t>a)</w:t>
            </w:r>
          </w:p>
        </w:tc>
        <w:tc>
          <w:tcPr>
            <w:tcW w:w="10023" w:type="dxa"/>
            <w:tcBorders/>
            <w:shd w:fill="auto" w:val="clear"/>
            <w:vAlign w:val="cente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tc>
      </w:tr>
    </w:tbl>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pPr>
            <w:r>
              <w:rPr/>
            </w:r>
          </w:p>
        </w:tc>
        <w:tc>
          <w:tcPr>
            <w:tcW w:w="160" w:type="dxa"/>
            <w:tcBorders/>
            <w:shd w:fill="auto" w:val="clear"/>
            <w:vAlign w:val="center"/>
          </w:tcPr>
          <w:p>
            <w:pPr>
              <w:pStyle w:val="TableContents"/>
              <w:spacing w:before="0" w:after="283"/>
              <w:rPr/>
            </w:pPr>
            <w:r>
              <w:rPr/>
              <w:t>b)</w:t>
            </w:r>
          </w:p>
        </w:tc>
        <w:tc>
          <w:tcPr>
            <w:tcW w:w="10007" w:type="dxa"/>
            <w:tcBorders/>
            <w:shd w:fill="auto" w:val="clear"/>
            <w:vAlign w:val="cente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38"/>
        <w:gridCol w:w="152"/>
        <w:gridCol w:w="10015"/>
      </w:tblGrid>
      <w:tr>
        <w:trPr/>
        <w:tc>
          <w:tcPr>
            <w:tcW w:w="38" w:type="dxa"/>
            <w:tcBorders/>
            <w:shd w:fill="auto" w:val="clear"/>
            <w:vAlign w:val="center"/>
          </w:tcPr>
          <w:p>
            <w:pPr>
              <w:pStyle w:val="TableContents"/>
              <w:spacing w:before="0" w:after="283"/>
              <w:rPr/>
            </w:pPr>
            <w:r>
              <w:rPr/>
            </w:r>
          </w:p>
        </w:tc>
        <w:tc>
          <w:tcPr>
            <w:tcW w:w="152" w:type="dxa"/>
            <w:tcBorders/>
            <w:shd w:fill="auto" w:val="clear"/>
            <w:vAlign w:val="center"/>
          </w:tcPr>
          <w:p>
            <w:pPr>
              <w:pStyle w:val="TableContents"/>
              <w:spacing w:before="0" w:after="283"/>
              <w:rPr/>
            </w:pPr>
            <w:r>
              <w:rPr/>
              <w:t>c)</w:t>
            </w:r>
          </w:p>
        </w:tc>
        <w:tc>
          <w:tcPr>
            <w:tcW w:w="10015" w:type="dxa"/>
            <w:tcBorders/>
            <w:shd w:fill="auto" w:val="clear"/>
            <w:vAlign w:val="cente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pPr>
            <w:r>
              <w:rPr/>
            </w:r>
          </w:p>
        </w:tc>
        <w:tc>
          <w:tcPr>
            <w:tcW w:w="160" w:type="dxa"/>
            <w:tcBorders/>
            <w:shd w:fill="auto" w:val="clear"/>
            <w:vAlign w:val="center"/>
          </w:tcPr>
          <w:p>
            <w:pPr>
              <w:pStyle w:val="TableContents"/>
              <w:spacing w:before="0" w:after="283"/>
              <w:rPr/>
            </w:pPr>
            <w:r>
              <w:rPr/>
              <w:t>d)</w:t>
            </w:r>
          </w:p>
        </w:tc>
        <w:tc>
          <w:tcPr>
            <w:tcW w:w="10007" w:type="dxa"/>
            <w:tcBorders/>
            <w:shd w:fill="auto" w:val="clear"/>
            <w:vAlign w:val="center"/>
          </w:tcPr>
          <w:p>
            <w:pPr>
              <w:pStyle w:val="TableContents"/>
              <w:spacing w:before="0" w:after="0"/>
              <w:jc w:val="both"/>
              <w:rPr/>
            </w:pPr>
            <w:r>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rPr/>
            </w:pPr>
            <w:r>
              <w:rPr/>
              <w:t>5.</w:t>
            </w:r>
          </w:p>
        </w:tc>
        <w:tc>
          <w:tcPr>
            <w:tcW w:w="10029" w:type="dxa"/>
            <w:tcBorders/>
            <w:shd w:fill="auto" w:val="clear"/>
            <w:vAlign w:val="center"/>
          </w:tcPr>
          <w:p>
            <w:pPr>
              <w:pStyle w:val="TableContents"/>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38"/>
        <w:gridCol w:w="153"/>
        <w:gridCol w:w="10014"/>
      </w:tblGrid>
      <w:tr>
        <w:trPr/>
        <w:tc>
          <w:tcPr>
            <w:tcW w:w="38" w:type="dxa"/>
            <w:tcBorders/>
            <w:shd w:fill="auto" w:val="clear"/>
            <w:vAlign w:val="center"/>
          </w:tcPr>
          <w:p>
            <w:pPr>
              <w:pStyle w:val="TableContents"/>
              <w:spacing w:before="0" w:after="283"/>
              <w:rPr/>
            </w:pPr>
            <w:r>
              <w:rPr/>
            </w:r>
          </w:p>
        </w:tc>
        <w:tc>
          <w:tcPr>
            <w:tcW w:w="153" w:type="dxa"/>
            <w:tcBorders/>
            <w:shd w:fill="auto" w:val="clear"/>
            <w:vAlign w:val="center"/>
          </w:tcPr>
          <w:p>
            <w:pPr>
              <w:pStyle w:val="TableContents"/>
              <w:spacing w:before="0" w:after="283"/>
              <w:rPr/>
            </w:pPr>
            <w:r>
              <w:rPr/>
              <w:t>a)</w:t>
            </w:r>
          </w:p>
        </w:tc>
        <w:tc>
          <w:tcPr>
            <w:tcW w:w="10014" w:type="dxa"/>
            <w:tcBorders/>
            <w:shd w:fill="auto" w:val="clear"/>
            <w:vAlign w:val="cente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38"/>
        <w:gridCol w:w="184"/>
        <w:gridCol w:w="9983"/>
      </w:tblGrid>
      <w:tr>
        <w:trPr/>
        <w:tc>
          <w:tcPr>
            <w:tcW w:w="38" w:type="dxa"/>
            <w:tcBorders/>
            <w:shd w:fill="auto" w:val="clear"/>
            <w:vAlign w:val="center"/>
          </w:tcPr>
          <w:p>
            <w:pPr>
              <w:pStyle w:val="TableContents"/>
              <w:spacing w:before="0" w:after="283"/>
              <w:rPr/>
            </w:pPr>
            <w:r>
              <w:rPr/>
            </w:r>
          </w:p>
        </w:tc>
        <w:tc>
          <w:tcPr>
            <w:tcW w:w="184" w:type="dxa"/>
            <w:tcBorders/>
            <w:shd w:fill="auto" w:val="clear"/>
            <w:vAlign w:val="center"/>
          </w:tcPr>
          <w:p>
            <w:pPr>
              <w:pStyle w:val="TableContents"/>
              <w:spacing w:before="0" w:after="283"/>
              <w:rPr/>
            </w:pPr>
            <w:r>
              <w:rPr/>
              <w:t>b)</w:t>
            </w:r>
          </w:p>
        </w:tc>
        <w:tc>
          <w:tcPr>
            <w:tcW w:w="9983" w:type="dxa"/>
            <w:tcBorders/>
            <w:shd w:fill="auto" w:val="clear"/>
            <w:vAlign w:val="center"/>
          </w:tcPr>
          <w:p>
            <w:pPr>
              <w:pStyle w:val="TableContents"/>
              <w:spacing w:before="0" w:after="0"/>
              <w:rPr/>
            </w:pPr>
            <w:r>
              <w:rPr/>
              <w:t>any fraud, whether or not material, that involves management or other employees who have a significant role in the registrant’s internal controls over financial reporting.</w:t>
            </w:r>
          </w:p>
        </w:tc>
      </w:tr>
    </w:tbl>
    <w:p>
      <w:pPr>
        <w:pStyle w:val="TextBody"/>
        <w:spacing w:before="0" w:after="0"/>
        <w:rPr/>
      </w:pPr>
      <w:r>
        <w:rPr/>
      </w:r>
    </w:p>
    <w:tbl>
      <w:tblPr>
        <w:tblW w:w="6460" w:type="dxa"/>
        <w:jc w:val="left"/>
        <w:tblInd w:w="0" w:type="dxa"/>
        <w:tblCellMar>
          <w:top w:w="0" w:type="dxa"/>
          <w:left w:w="0" w:type="dxa"/>
          <w:bottom w:w="0" w:type="dxa"/>
          <w:right w:w="0" w:type="dxa"/>
        </w:tblCellMar>
      </w:tblPr>
      <w:tblGrid>
        <w:gridCol w:w="2135"/>
        <w:gridCol w:w="4325"/>
      </w:tblGrid>
      <w:tr>
        <w:trPr/>
        <w:tc>
          <w:tcPr>
            <w:tcW w:w="2135"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rPr/>
            </w:pPr>
            <w:r>
              <w:rPr/>
              <w:t>INDEPENDENT BANK CORPORATION</w:t>
            </w:r>
          </w:p>
        </w:tc>
      </w:tr>
      <w:tr>
        <w:trPr/>
        <w:tc>
          <w:tcPr>
            <w:tcW w:w="2135"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0"/>
              <w:rPr/>
            </w:pPr>
            <w:r>
              <w:rPr/>
              <w:t>Date:  August 2, 2019</w:t>
            </w:r>
          </w:p>
        </w:tc>
        <w:tc>
          <w:tcPr>
            <w:tcW w:w="4325" w:type="dxa"/>
            <w:tcBorders/>
            <w:shd w:fill="auto" w:val="clear"/>
            <w:vAlign w:val="center"/>
          </w:tcPr>
          <w:p>
            <w:pPr>
              <w:pStyle w:val="TableContents"/>
              <w:spacing w:before="0" w:after="0"/>
              <w:rPr>
                <w:u w:val="single"/>
              </w:rPr>
            </w:pPr>
            <w:r>
              <w:rPr>
                <w:u w:val="single"/>
              </w:rPr>
              <w:t>  </w:t>
            </w:r>
            <w:r>
              <w:rPr>
                <w:u w:val="single"/>
              </w:rPr>
              <w:t>/s/ William B. Kessel</w:t>
            </w:r>
          </w:p>
        </w:tc>
      </w:tr>
      <w:tr>
        <w:trPr/>
        <w:tc>
          <w:tcPr>
            <w:tcW w:w="2135"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ind w:left="360" w:right="0" w:hanging="0"/>
              <w:rPr/>
            </w:pPr>
            <w:r>
              <w:rPr/>
              <w:t>William B. Kessel</w:t>
            </w:r>
          </w:p>
          <w:p>
            <w:pPr>
              <w:pStyle w:val="TableContents"/>
              <w:spacing w:before="0" w:after="0"/>
              <w:ind w:left="360" w:right="0" w:hanging="0"/>
              <w:rPr/>
            </w:pPr>
            <w:r>
              <w:rPr/>
              <w:t>President and Chief Executive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949" w:name="ex31_2.htm"/>
      <w:bookmarkStart w:id="950" w:name="ksex31_2"/>
      <w:bookmarkStart w:id="951" w:name="ex31_2.htm"/>
      <w:bookmarkStart w:id="952" w:name="ksex31_2"/>
      <w:bookmarkEnd w:id="951"/>
      <w:bookmarkEnd w:id="952"/>
    </w:p>
    <w:p>
      <w:pPr>
        <w:pStyle w:val="TextBody"/>
        <w:spacing w:before="0" w:after="0"/>
        <w:jc w:val="right"/>
        <w:rPr>
          <w:b w:val="false"/>
        </w:rPr>
      </w:pPr>
      <w:r>
        <w:rPr>
          <w:b w:val="false"/>
        </w:rPr>
        <w:t>EXHIBIT 31.2</w:t>
      </w:r>
    </w:p>
    <w:p>
      <w:pPr>
        <w:pStyle w:val="TextBody"/>
        <w:spacing w:before="0" w:after="0"/>
        <w:rPr/>
      </w:pPr>
      <w:r>
        <w:rPr/>
      </w:r>
    </w:p>
    <w:p>
      <w:pPr>
        <w:pStyle w:val="TextBody"/>
        <w:spacing w:before="0" w:after="0"/>
        <w:jc w:val="center"/>
        <w:rPr/>
      </w:pPr>
      <w:r>
        <w:rPr/>
        <w:t>CERTIFICATION</w:t>
      </w:r>
    </w:p>
    <w:p>
      <w:pPr>
        <w:pStyle w:val="TextBody"/>
        <w:spacing w:before="0" w:after="0"/>
        <w:rPr/>
      </w:pPr>
      <w:r>
        <w:rPr/>
      </w:r>
    </w:p>
    <w:p>
      <w:pPr>
        <w:pStyle w:val="TextBody"/>
        <w:spacing w:before="0" w:after="0"/>
        <w:jc w:val="both"/>
        <w:rPr/>
      </w:pPr>
      <w:r>
        <w:rPr/>
        <w:t>I, Robert N. Shuster, certify that:</w:t>
      </w:r>
    </w:p>
    <w:p>
      <w:pPr>
        <w:pStyle w:val="TextBody"/>
        <w:spacing w:before="0" w:after="0"/>
        <w:rPr/>
      </w:pPr>
      <w:r>
        <w:rPr/>
      </w:r>
    </w:p>
    <w:tbl>
      <w:tblPr>
        <w:tblW w:w="8410" w:type="dxa"/>
        <w:jc w:val="left"/>
        <w:tblInd w:w="0" w:type="dxa"/>
        <w:tblCellMar>
          <w:top w:w="0" w:type="dxa"/>
          <w:left w:w="0" w:type="dxa"/>
          <w:bottom w:w="0" w:type="dxa"/>
          <w:right w:w="0" w:type="dxa"/>
        </w:tblCellMar>
      </w:tblPr>
      <w:tblGrid>
        <w:gridCol w:w="215"/>
        <w:gridCol w:w="8195"/>
      </w:tblGrid>
      <w:tr>
        <w:trPr/>
        <w:tc>
          <w:tcPr>
            <w:tcW w:w="215" w:type="dxa"/>
            <w:tcBorders/>
            <w:shd w:fill="auto" w:val="clear"/>
            <w:vAlign w:val="center"/>
          </w:tcPr>
          <w:p>
            <w:pPr>
              <w:pStyle w:val="TableContents"/>
              <w:spacing w:before="0" w:after="283"/>
              <w:rPr/>
            </w:pPr>
            <w:r>
              <w:rPr/>
              <w:t>1.</w:t>
            </w:r>
          </w:p>
        </w:tc>
        <w:tc>
          <w:tcPr>
            <w:tcW w:w="8195" w:type="dxa"/>
            <w:tcBorders/>
            <w:shd w:fill="auto" w:val="clear"/>
            <w:vAlign w:val="center"/>
          </w:tcPr>
          <w:p>
            <w:pPr>
              <w:pStyle w:val="TableContents"/>
              <w:spacing w:before="0" w:after="0"/>
              <w:jc w:val="both"/>
              <w:rPr/>
            </w:pPr>
            <w:r>
              <w:rPr/>
              <w:t>I have reviewed this quarterly report on Form 10-Q of Independent Bank Corporation;</w:t>
            </w:r>
          </w:p>
        </w:tc>
      </w:tr>
    </w:tbl>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rPr/>
            </w:pPr>
            <w:r>
              <w:rPr/>
              <w:t>2.</w:t>
            </w:r>
          </w:p>
        </w:tc>
        <w:tc>
          <w:tcPr>
            <w:tcW w:w="10032" w:type="dxa"/>
            <w:tcBorders/>
            <w:shd w:fill="auto" w:val="clear"/>
            <w:vAlign w:val="center"/>
          </w:tcPr>
          <w:p>
            <w:pPr>
              <w:pStyle w:val="TableContents"/>
              <w:spacing w:before="0" w:after="0"/>
              <w:jc w:val="both"/>
              <w:rPr/>
            </w:pPr>
            <w:r>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bl>
    <w:tbl>
      <w:tblPr>
        <w:tblW w:w="10205" w:type="dxa"/>
        <w:jc w:val="left"/>
        <w:tblInd w:w="0" w:type="dxa"/>
        <w:tblCellMar>
          <w:top w:w="0" w:type="dxa"/>
          <w:left w:w="0" w:type="dxa"/>
          <w:bottom w:w="0" w:type="dxa"/>
          <w:right w:w="0" w:type="dxa"/>
        </w:tblCellMar>
      </w:tblPr>
      <w:tblGrid>
        <w:gridCol w:w="175"/>
        <w:gridCol w:w="10030"/>
      </w:tblGrid>
      <w:tr>
        <w:trPr/>
        <w:tc>
          <w:tcPr>
            <w:tcW w:w="175" w:type="dxa"/>
            <w:tcBorders/>
            <w:shd w:fill="auto" w:val="clear"/>
            <w:vAlign w:val="center"/>
          </w:tcPr>
          <w:p>
            <w:pPr>
              <w:pStyle w:val="TableContents"/>
              <w:spacing w:before="0" w:after="283"/>
              <w:rPr/>
            </w:pPr>
            <w:r>
              <w:rPr/>
              <w:t>3.</w:t>
            </w:r>
          </w:p>
        </w:tc>
        <w:tc>
          <w:tcPr>
            <w:tcW w:w="10030" w:type="dxa"/>
            <w:tcBorders/>
            <w:shd w:fill="auto" w:val="clear"/>
            <w:vAlign w:val="center"/>
          </w:tcPr>
          <w:p>
            <w:pPr>
              <w:pStyle w:val="TableContents"/>
              <w:spacing w:before="0" w:after="0"/>
              <w:jc w:val="both"/>
              <w:rPr/>
            </w:pPr>
            <w:r>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tc>
      </w:tr>
    </w:tbl>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rPr/>
            </w:pPr>
            <w:r>
              <w:rPr/>
              <w:t>4.</w:t>
            </w:r>
          </w:p>
        </w:tc>
        <w:tc>
          <w:tcPr>
            <w:tcW w:w="10032" w:type="dxa"/>
            <w:tcBorders/>
            <w:shd w:fill="auto" w:val="clear"/>
            <w:vAlign w:val="center"/>
          </w:tcPr>
          <w:p>
            <w:pPr>
              <w:pStyle w:val="TableContents"/>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tc>
      </w:tr>
    </w:tbl>
    <w:tbl>
      <w:tblPr>
        <w:tblW w:w="10205" w:type="dxa"/>
        <w:jc w:val="left"/>
        <w:tblInd w:w="0" w:type="dxa"/>
        <w:tblCellMar>
          <w:top w:w="0" w:type="dxa"/>
          <w:left w:w="0" w:type="dxa"/>
          <w:bottom w:w="0" w:type="dxa"/>
          <w:right w:w="0" w:type="dxa"/>
        </w:tblCellMar>
      </w:tblPr>
      <w:tblGrid>
        <w:gridCol w:w="38"/>
        <w:gridCol w:w="144"/>
        <w:gridCol w:w="10023"/>
      </w:tblGrid>
      <w:tr>
        <w:trPr/>
        <w:tc>
          <w:tcPr>
            <w:tcW w:w="38" w:type="dxa"/>
            <w:tcBorders/>
            <w:shd w:fill="auto" w:val="clear"/>
            <w:vAlign w:val="center"/>
          </w:tcPr>
          <w:p>
            <w:pPr>
              <w:pStyle w:val="TableContents"/>
              <w:spacing w:before="0" w:after="283"/>
              <w:rPr/>
            </w:pPr>
            <w:r>
              <w:rPr/>
            </w:r>
          </w:p>
        </w:tc>
        <w:tc>
          <w:tcPr>
            <w:tcW w:w="144" w:type="dxa"/>
            <w:tcBorders/>
            <w:shd w:fill="auto" w:val="clear"/>
            <w:vAlign w:val="center"/>
          </w:tcPr>
          <w:p>
            <w:pPr>
              <w:pStyle w:val="TableContents"/>
              <w:spacing w:before="0" w:after="283"/>
              <w:rPr/>
            </w:pPr>
            <w:r>
              <w:rPr/>
              <w:t>a)</w:t>
            </w:r>
          </w:p>
        </w:tc>
        <w:tc>
          <w:tcPr>
            <w:tcW w:w="10023" w:type="dxa"/>
            <w:tcBorders/>
            <w:shd w:fill="auto" w:val="clear"/>
            <w:vAlign w:val="cente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tc>
      </w:tr>
    </w:tbl>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pPr>
            <w:r>
              <w:rPr/>
            </w:r>
          </w:p>
        </w:tc>
        <w:tc>
          <w:tcPr>
            <w:tcW w:w="160" w:type="dxa"/>
            <w:tcBorders/>
            <w:shd w:fill="auto" w:val="clear"/>
            <w:vAlign w:val="center"/>
          </w:tcPr>
          <w:p>
            <w:pPr>
              <w:pStyle w:val="TableContents"/>
              <w:spacing w:before="0" w:after="283"/>
              <w:rPr/>
            </w:pPr>
            <w:r>
              <w:rPr/>
              <w:t>b)</w:t>
            </w:r>
          </w:p>
        </w:tc>
        <w:tc>
          <w:tcPr>
            <w:tcW w:w="10007" w:type="dxa"/>
            <w:tcBorders/>
            <w:shd w:fill="auto" w:val="clear"/>
            <w:vAlign w:val="cente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38"/>
        <w:gridCol w:w="152"/>
        <w:gridCol w:w="10015"/>
      </w:tblGrid>
      <w:tr>
        <w:trPr/>
        <w:tc>
          <w:tcPr>
            <w:tcW w:w="38" w:type="dxa"/>
            <w:tcBorders/>
            <w:shd w:fill="auto" w:val="clear"/>
            <w:vAlign w:val="center"/>
          </w:tcPr>
          <w:p>
            <w:pPr>
              <w:pStyle w:val="TableContents"/>
              <w:spacing w:before="0" w:after="283"/>
              <w:rPr/>
            </w:pPr>
            <w:r>
              <w:rPr/>
            </w:r>
          </w:p>
        </w:tc>
        <w:tc>
          <w:tcPr>
            <w:tcW w:w="152" w:type="dxa"/>
            <w:tcBorders/>
            <w:shd w:fill="auto" w:val="clear"/>
            <w:vAlign w:val="center"/>
          </w:tcPr>
          <w:p>
            <w:pPr>
              <w:pStyle w:val="TableContents"/>
              <w:spacing w:before="0" w:after="283"/>
              <w:rPr/>
            </w:pPr>
            <w:r>
              <w:rPr/>
              <w:t>c)</w:t>
            </w:r>
          </w:p>
        </w:tc>
        <w:tc>
          <w:tcPr>
            <w:tcW w:w="10015" w:type="dxa"/>
            <w:tcBorders/>
            <w:shd w:fill="auto" w:val="clear"/>
            <w:vAlign w:val="cente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38"/>
        <w:gridCol w:w="160"/>
        <w:gridCol w:w="10007"/>
      </w:tblGrid>
      <w:tr>
        <w:trPr/>
        <w:tc>
          <w:tcPr>
            <w:tcW w:w="38" w:type="dxa"/>
            <w:tcBorders/>
            <w:shd w:fill="auto" w:val="clear"/>
            <w:vAlign w:val="center"/>
          </w:tcPr>
          <w:p>
            <w:pPr>
              <w:pStyle w:val="TableContents"/>
              <w:spacing w:before="0" w:after="283"/>
              <w:rPr/>
            </w:pPr>
            <w:r>
              <w:rPr/>
            </w:r>
          </w:p>
        </w:tc>
        <w:tc>
          <w:tcPr>
            <w:tcW w:w="160" w:type="dxa"/>
            <w:tcBorders/>
            <w:shd w:fill="auto" w:val="clear"/>
            <w:vAlign w:val="center"/>
          </w:tcPr>
          <w:p>
            <w:pPr>
              <w:pStyle w:val="TableContents"/>
              <w:spacing w:before="0" w:after="283"/>
              <w:rPr/>
            </w:pPr>
            <w:r>
              <w:rPr/>
              <w:t>d)</w:t>
            </w:r>
          </w:p>
        </w:tc>
        <w:tc>
          <w:tcPr>
            <w:tcW w:w="10007" w:type="dxa"/>
            <w:tcBorders/>
            <w:shd w:fill="auto" w:val="clear"/>
            <w:vAlign w:val="center"/>
          </w:tcPr>
          <w:p>
            <w:pPr>
              <w:pStyle w:val="TableContents"/>
              <w:spacing w:before="0" w:after="0"/>
              <w:jc w:val="both"/>
              <w:rPr/>
            </w:pPr>
            <w:r>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rPr/>
            </w:pPr>
            <w:r>
              <w:rPr/>
              <w:t>5.</w:t>
            </w:r>
          </w:p>
        </w:tc>
        <w:tc>
          <w:tcPr>
            <w:tcW w:w="10029" w:type="dxa"/>
            <w:tcBorders/>
            <w:shd w:fill="auto" w:val="clear"/>
            <w:vAlign w:val="center"/>
          </w:tcPr>
          <w:p>
            <w:pPr>
              <w:pStyle w:val="TableContents"/>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38"/>
        <w:gridCol w:w="153"/>
        <w:gridCol w:w="10014"/>
      </w:tblGrid>
      <w:tr>
        <w:trPr/>
        <w:tc>
          <w:tcPr>
            <w:tcW w:w="38" w:type="dxa"/>
            <w:tcBorders/>
            <w:shd w:fill="auto" w:val="clear"/>
            <w:vAlign w:val="center"/>
          </w:tcPr>
          <w:p>
            <w:pPr>
              <w:pStyle w:val="TableContents"/>
              <w:spacing w:before="0" w:after="283"/>
              <w:rPr/>
            </w:pPr>
            <w:r>
              <w:rPr/>
            </w:r>
          </w:p>
        </w:tc>
        <w:tc>
          <w:tcPr>
            <w:tcW w:w="153" w:type="dxa"/>
            <w:tcBorders/>
            <w:shd w:fill="auto" w:val="clear"/>
            <w:vAlign w:val="center"/>
          </w:tcPr>
          <w:p>
            <w:pPr>
              <w:pStyle w:val="TableContents"/>
              <w:spacing w:before="0" w:after="283"/>
              <w:rPr/>
            </w:pPr>
            <w:r>
              <w:rPr/>
              <w:t>a)</w:t>
            </w:r>
          </w:p>
        </w:tc>
        <w:tc>
          <w:tcPr>
            <w:tcW w:w="10014" w:type="dxa"/>
            <w:tcBorders/>
            <w:shd w:fill="auto" w:val="clear"/>
            <w:vAlign w:val="cente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38"/>
        <w:gridCol w:w="184"/>
        <w:gridCol w:w="9983"/>
      </w:tblGrid>
      <w:tr>
        <w:trPr/>
        <w:tc>
          <w:tcPr>
            <w:tcW w:w="38" w:type="dxa"/>
            <w:tcBorders/>
            <w:shd w:fill="auto" w:val="clear"/>
            <w:vAlign w:val="center"/>
          </w:tcPr>
          <w:p>
            <w:pPr>
              <w:pStyle w:val="TableContents"/>
              <w:spacing w:before="0" w:after="283"/>
              <w:rPr/>
            </w:pPr>
            <w:r>
              <w:rPr/>
            </w:r>
          </w:p>
        </w:tc>
        <w:tc>
          <w:tcPr>
            <w:tcW w:w="184" w:type="dxa"/>
            <w:tcBorders/>
            <w:shd w:fill="auto" w:val="clear"/>
            <w:vAlign w:val="center"/>
          </w:tcPr>
          <w:p>
            <w:pPr>
              <w:pStyle w:val="TableContents"/>
              <w:spacing w:before="0" w:after="283"/>
              <w:rPr/>
            </w:pPr>
            <w:r>
              <w:rPr/>
              <w:t>b)</w:t>
            </w:r>
          </w:p>
        </w:tc>
        <w:tc>
          <w:tcPr>
            <w:tcW w:w="9983" w:type="dxa"/>
            <w:tcBorders/>
            <w:shd w:fill="auto" w:val="clear"/>
            <w:vAlign w:val="center"/>
          </w:tcPr>
          <w:p>
            <w:pPr>
              <w:pStyle w:val="TableContents"/>
              <w:spacing w:before="0" w:after="0"/>
              <w:rPr/>
            </w:pPr>
            <w:r>
              <w:rPr/>
              <w:t>any fraud, whether or not material, that involves management or other employees who have a significant role in the registrant’s internal controls over financial reporting.</w:t>
            </w:r>
          </w:p>
        </w:tc>
      </w:tr>
    </w:tbl>
    <w:p>
      <w:pPr>
        <w:pStyle w:val="TextBody"/>
        <w:spacing w:before="0" w:after="0"/>
        <w:rPr/>
      </w:pPr>
      <w:r>
        <w:rPr/>
      </w:r>
    </w:p>
    <w:tbl>
      <w:tblPr>
        <w:tblW w:w="6460" w:type="dxa"/>
        <w:jc w:val="left"/>
        <w:tblInd w:w="0" w:type="dxa"/>
        <w:tblCellMar>
          <w:top w:w="0" w:type="dxa"/>
          <w:left w:w="0" w:type="dxa"/>
          <w:bottom w:w="0" w:type="dxa"/>
          <w:right w:w="0" w:type="dxa"/>
        </w:tblCellMar>
      </w:tblPr>
      <w:tblGrid>
        <w:gridCol w:w="2135"/>
        <w:gridCol w:w="4325"/>
      </w:tblGrid>
      <w:tr>
        <w:trPr/>
        <w:tc>
          <w:tcPr>
            <w:tcW w:w="2135"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rPr/>
            </w:pPr>
            <w:r>
              <w:rPr/>
              <w:t>INDEPENDENT BANK CORPORATION</w:t>
            </w:r>
          </w:p>
        </w:tc>
      </w:tr>
      <w:tr>
        <w:trPr/>
        <w:tc>
          <w:tcPr>
            <w:tcW w:w="2135"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0"/>
              <w:rPr/>
            </w:pPr>
            <w:r>
              <w:rPr/>
              <w:t>Date:  August 2, 2019</w:t>
            </w:r>
          </w:p>
        </w:tc>
        <w:tc>
          <w:tcPr>
            <w:tcW w:w="4325" w:type="dxa"/>
            <w:tcBorders/>
            <w:shd w:fill="auto" w:val="clear"/>
            <w:vAlign w:val="center"/>
          </w:tcPr>
          <w:p>
            <w:pPr>
              <w:pStyle w:val="TableContents"/>
              <w:spacing w:before="0" w:after="0"/>
              <w:rPr>
                <w:u w:val="single"/>
              </w:rPr>
            </w:pPr>
            <w:r>
              <w:rPr>
                <w:u w:val="single"/>
              </w:rPr>
              <w:t>   </w:t>
            </w:r>
            <w:r>
              <w:rPr>
                <w:u w:val="single"/>
              </w:rPr>
              <w:t>/s/ Robert N. Shuster</w:t>
            </w:r>
          </w:p>
        </w:tc>
      </w:tr>
      <w:tr>
        <w:trPr/>
        <w:tc>
          <w:tcPr>
            <w:tcW w:w="2135"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ind w:left="360" w:right="0" w:hanging="0"/>
              <w:rPr/>
            </w:pPr>
            <w:r>
              <w:rPr/>
              <w:t>Robert N. Shuster</w:t>
            </w:r>
          </w:p>
          <w:p>
            <w:pPr>
              <w:pStyle w:val="TableContents"/>
              <w:spacing w:before="0" w:after="0"/>
              <w:ind w:left="360" w:right="0" w:hanging="0"/>
              <w:rPr/>
            </w:pPr>
            <w:r>
              <w:rPr/>
              <w:t>Chief Financial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953" w:name="ex32_1.htm"/>
      <w:bookmarkStart w:id="954" w:name="ksex32_1"/>
      <w:bookmarkStart w:id="955" w:name="ex32_1.htm"/>
      <w:bookmarkStart w:id="956" w:name="ksex32_1"/>
      <w:bookmarkEnd w:id="955"/>
      <w:bookmarkEnd w:id="956"/>
    </w:p>
    <w:p>
      <w:pPr>
        <w:pStyle w:val="TextBody"/>
        <w:spacing w:before="0" w:after="0"/>
        <w:jc w:val="right"/>
        <w:rPr>
          <w:b w:val="false"/>
        </w:rPr>
      </w:pPr>
      <w:r>
        <w:rPr>
          <w:b w:val="false"/>
        </w:rPr>
        <w:t>EXHIBIT 32.1</w:t>
      </w:r>
    </w:p>
    <w:p>
      <w:pPr>
        <w:pStyle w:val="TextBody"/>
        <w:spacing w:before="0" w:after="0"/>
        <w:rPr/>
      </w:pPr>
      <w:r>
        <w:rPr/>
      </w:r>
    </w:p>
    <w:p>
      <w:pPr>
        <w:pStyle w:val="TextBody"/>
        <w:spacing w:before="0" w:after="0"/>
        <w:jc w:val="center"/>
        <w:rPr/>
      </w:pPr>
      <w:r>
        <w:rPr/>
        <w:t>CERTIFICATE OF THE</w:t>
      </w:r>
    </w:p>
    <w:p>
      <w:pPr>
        <w:pStyle w:val="TextBody"/>
        <w:spacing w:before="0" w:after="0"/>
        <w:jc w:val="center"/>
        <w:rPr/>
      </w:pPr>
      <w:r>
        <w:rPr/>
        <w:t>CHIEF EXECUTIVE OFFICER OF</w:t>
      </w:r>
    </w:p>
    <w:p>
      <w:pPr>
        <w:pStyle w:val="TextBody"/>
        <w:spacing w:before="0" w:after="0"/>
        <w:jc w:val="center"/>
        <w:rPr/>
      </w:pPr>
      <w:r>
        <w:rPr/>
        <w:t>INDEPENDENT BANK CORPORATION</w:t>
      </w:r>
    </w:p>
    <w:p>
      <w:pPr>
        <w:pStyle w:val="TextBody"/>
        <w:spacing w:before="0" w:after="0"/>
        <w:rPr/>
      </w:pPr>
      <w:r>
        <w:rPr/>
      </w:r>
    </w:p>
    <w:p>
      <w:pPr>
        <w:pStyle w:val="TextBody"/>
        <w:spacing w:before="0" w:after="0"/>
        <w:ind w:left="0" w:right="0" w:firstLine="720"/>
        <w:rPr/>
      </w:pPr>
      <w:r>
        <w:rPr/>
        <w:t>Pursuant to Section 906 of the Sarbanes-Oxley Act of 2002 (18 U.S.C. 1350):</w:t>
      </w:r>
    </w:p>
    <w:p>
      <w:pPr>
        <w:pStyle w:val="TextBody"/>
        <w:spacing w:before="0" w:after="0"/>
        <w:rPr/>
      </w:pPr>
      <w:r>
        <w:rPr/>
      </w:r>
    </w:p>
    <w:p>
      <w:pPr>
        <w:pStyle w:val="TextBody"/>
        <w:spacing w:before="0" w:after="0"/>
        <w:ind w:left="0" w:right="0" w:firstLine="720"/>
        <w:jc w:val="both"/>
        <w:rPr/>
      </w:pPr>
      <w:r>
        <w:rPr/>
        <w:t>I, William B. Kessel, President and Chief Executive Officer of Independent Bank Corporation, certify, to the best of my knowledge and belief, pursuant to Section 906 of the Sarbanes-Oxley Act of 2002 (18 U.S.C. 1350) that:</w:t>
      </w:r>
    </w:p>
    <w:p>
      <w:pPr>
        <w:pStyle w:val="TextBody"/>
        <w:spacing w:before="0" w:after="0"/>
        <w:rPr/>
      </w:pPr>
      <w:r>
        <w:rPr/>
      </w:r>
    </w:p>
    <w:p>
      <w:pPr>
        <w:pStyle w:val="TextBody"/>
        <w:spacing w:before="0" w:after="0"/>
        <w:ind w:left="0" w:right="0" w:firstLine="720"/>
        <w:jc w:val="both"/>
        <w:rPr/>
      </w:pPr>
      <w:r>
        <w:rPr/>
        <w:t>(1)          The quarterly report on Form 10-Q for the quarterly period ended June 30, 2019, which this statement accompanies, fully complies with requirements of Section 13(a) or 15(d) of the Securities Exchange Act of 1934 and;</w:t>
      </w:r>
    </w:p>
    <w:p>
      <w:pPr>
        <w:pStyle w:val="TextBody"/>
        <w:spacing w:before="0" w:after="0"/>
        <w:rPr/>
      </w:pPr>
      <w:r>
        <w:rPr/>
      </w:r>
    </w:p>
    <w:p>
      <w:pPr>
        <w:pStyle w:val="TextBody"/>
        <w:spacing w:before="0" w:after="0"/>
        <w:ind w:left="0" w:right="0" w:firstLine="720"/>
        <w:jc w:val="both"/>
        <w:rPr/>
      </w:pPr>
      <w:r>
        <w:rPr/>
        <w:t>(2)          The information contained in this quarterly report on Form 10-Q for the quarterly period ended June 30, 2019, fairly presents, in all material respects, the financial condition and results of operations of Independent Bank Corporation.</w:t>
      </w:r>
    </w:p>
    <w:p>
      <w:pPr>
        <w:pStyle w:val="TextBody"/>
        <w:spacing w:before="0" w:after="0"/>
        <w:rPr/>
      </w:pPr>
      <w:r>
        <w:rPr/>
      </w:r>
    </w:p>
    <w:tbl>
      <w:tblPr>
        <w:tblW w:w="6430" w:type="dxa"/>
        <w:jc w:val="left"/>
        <w:tblInd w:w="0" w:type="dxa"/>
        <w:tblCellMar>
          <w:top w:w="0" w:type="dxa"/>
          <w:left w:w="0" w:type="dxa"/>
          <w:bottom w:w="0" w:type="dxa"/>
          <w:right w:w="0" w:type="dxa"/>
        </w:tblCellMar>
      </w:tblPr>
      <w:tblGrid>
        <w:gridCol w:w="2120"/>
        <w:gridCol w:w="4310"/>
      </w:tblGrid>
      <w:tr>
        <w:trPr/>
        <w:tc>
          <w:tcPr>
            <w:tcW w:w="212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0"/>
              <w:rPr/>
            </w:pPr>
            <w:r>
              <w:rPr/>
              <w:t>INDEPENDENT BANK CORPORATION</w:t>
            </w:r>
          </w:p>
        </w:tc>
      </w:tr>
      <w:tr>
        <w:trPr/>
        <w:tc>
          <w:tcPr>
            <w:tcW w:w="212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0"/>
              <w:rPr/>
            </w:pPr>
            <w:r>
              <w:rPr/>
              <w:t>Date:  August 2, 2019</w:t>
            </w:r>
          </w:p>
        </w:tc>
        <w:tc>
          <w:tcPr>
            <w:tcW w:w="4310" w:type="dxa"/>
            <w:tcBorders/>
            <w:shd w:fill="auto" w:val="clear"/>
            <w:vAlign w:val="center"/>
          </w:tcPr>
          <w:p>
            <w:pPr>
              <w:pStyle w:val="TableContents"/>
              <w:spacing w:before="0" w:after="0"/>
              <w:rPr>
                <w:u w:val="single"/>
              </w:rPr>
            </w:pPr>
            <w:r>
              <w:rPr>
                <w:u w:val="single"/>
              </w:rPr>
              <w:t>  </w:t>
            </w:r>
            <w:r>
              <w:rPr>
                <w:u w:val="single"/>
              </w:rPr>
              <w:t>/s/ William B. Kessel</w:t>
            </w:r>
          </w:p>
        </w:tc>
      </w:tr>
      <w:tr>
        <w:trPr/>
        <w:tc>
          <w:tcPr>
            <w:tcW w:w="212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0"/>
              <w:ind w:left="360" w:right="0" w:hanging="0"/>
              <w:rPr/>
            </w:pPr>
            <w:r>
              <w:rPr/>
              <w:t>William B. Kessel</w:t>
            </w:r>
          </w:p>
          <w:p>
            <w:pPr>
              <w:pStyle w:val="TableContents"/>
              <w:spacing w:before="0" w:after="0"/>
              <w:ind w:left="360" w:right="0" w:hanging="0"/>
              <w:rPr/>
            </w:pPr>
            <w:r>
              <w:rPr/>
              <w:t>President and Chief Executive Officer</w:t>
            </w:r>
          </w:p>
        </w:tc>
      </w:tr>
    </w:tbl>
    <w:p>
      <w:pPr>
        <w:pStyle w:val="TextBody"/>
        <w:spacing w:before="0" w:after="0"/>
        <w:rPr/>
      </w:pPr>
      <w:r>
        <w:rPr/>
      </w:r>
    </w:p>
    <w:p>
      <w:pPr>
        <w:pStyle w:val="TextBody"/>
        <w:spacing w:before="0" w:after="0"/>
        <w:jc w:val="both"/>
        <w:rPr/>
      </w:pPr>
      <w:r>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957" w:name="ex32_2.htm"/>
      <w:bookmarkStart w:id="958" w:name="ksex32_2"/>
      <w:bookmarkStart w:id="959" w:name="ex32_2.htm"/>
      <w:bookmarkStart w:id="960" w:name="ksex32_2"/>
      <w:bookmarkEnd w:id="959"/>
      <w:bookmarkEnd w:id="960"/>
    </w:p>
    <w:p>
      <w:pPr>
        <w:pStyle w:val="TextBody"/>
        <w:spacing w:before="0" w:after="0"/>
        <w:jc w:val="right"/>
        <w:rPr>
          <w:b w:val="false"/>
        </w:rPr>
      </w:pPr>
      <w:r>
        <w:rPr>
          <w:b w:val="false"/>
        </w:rPr>
        <w:t>EXHIBIT 32.2</w:t>
      </w:r>
    </w:p>
    <w:p>
      <w:pPr>
        <w:pStyle w:val="TextBody"/>
        <w:spacing w:before="0" w:after="0"/>
        <w:rPr/>
      </w:pPr>
      <w:r>
        <w:rPr/>
      </w:r>
    </w:p>
    <w:p>
      <w:pPr>
        <w:pStyle w:val="TextBody"/>
        <w:spacing w:before="0" w:after="0"/>
        <w:jc w:val="center"/>
        <w:rPr/>
      </w:pPr>
      <w:r>
        <w:rPr/>
        <w:t>CERTIFICATE OF THE</w:t>
      </w:r>
    </w:p>
    <w:p>
      <w:pPr>
        <w:pStyle w:val="TextBody"/>
        <w:spacing w:before="0" w:after="0"/>
        <w:jc w:val="center"/>
        <w:rPr/>
      </w:pPr>
      <w:r>
        <w:rPr/>
        <w:t>CHIEF FINANCIAL OFFICER OF</w:t>
      </w:r>
    </w:p>
    <w:p>
      <w:pPr>
        <w:pStyle w:val="TextBody"/>
        <w:spacing w:before="0" w:after="0"/>
        <w:jc w:val="center"/>
        <w:rPr/>
      </w:pPr>
      <w:r>
        <w:rPr/>
        <w:t>INDEPENDENT BANK CORPORATION</w:t>
      </w:r>
    </w:p>
    <w:p>
      <w:pPr>
        <w:pStyle w:val="TextBody"/>
        <w:spacing w:before="0" w:after="0"/>
        <w:rPr/>
      </w:pPr>
      <w:r>
        <w:rPr/>
      </w:r>
    </w:p>
    <w:p>
      <w:pPr>
        <w:pStyle w:val="TextBody"/>
        <w:spacing w:before="0" w:after="0"/>
        <w:ind w:left="0" w:right="0" w:firstLine="720"/>
        <w:rPr/>
      </w:pPr>
      <w:r>
        <w:rPr/>
        <w:t>Pursuant to Section 906 of the Sarbanes-Oxley Act of 2002 (18 U.S.C. 1350):</w:t>
      </w:r>
    </w:p>
    <w:p>
      <w:pPr>
        <w:pStyle w:val="TextBody"/>
        <w:spacing w:before="0" w:after="0"/>
        <w:rPr/>
      </w:pPr>
      <w:r>
        <w:rPr/>
      </w:r>
    </w:p>
    <w:p>
      <w:pPr>
        <w:pStyle w:val="TextBody"/>
        <w:spacing w:before="0" w:after="0"/>
        <w:ind w:left="0" w:right="0" w:firstLine="720"/>
        <w:jc w:val="both"/>
        <w:rPr/>
      </w:pPr>
      <w:r>
        <w:rPr/>
        <w:t>I, Robert N. Shuster, Chief Financial Officer of Independent Bank Corporation, certify, to the best of my knowledge and belief, pursuant to Section 906 of the Sarbanes-Oxley Act of 2002 (18 U.S.C. 1350) that:</w:t>
      </w:r>
    </w:p>
    <w:p>
      <w:pPr>
        <w:pStyle w:val="TextBody"/>
        <w:spacing w:before="0" w:after="0"/>
        <w:rPr/>
      </w:pPr>
      <w:r>
        <w:rPr/>
      </w:r>
    </w:p>
    <w:p>
      <w:pPr>
        <w:pStyle w:val="TextBody"/>
        <w:spacing w:before="0" w:after="0"/>
        <w:ind w:left="0" w:right="0" w:firstLine="720"/>
        <w:jc w:val="both"/>
        <w:rPr/>
      </w:pPr>
      <w:r>
        <w:rPr/>
        <w:t>(1)          The quarterly report on Form 10-Q for the quarterly period ended June 30, 2019, which this statement accompanies, fully complies with requirements of Section 13(a) or 15(d) of the Securities Exchange Act of 1934 and;</w:t>
      </w:r>
    </w:p>
    <w:p>
      <w:pPr>
        <w:pStyle w:val="TextBody"/>
        <w:spacing w:before="0" w:after="0"/>
        <w:rPr/>
      </w:pPr>
      <w:r>
        <w:rPr/>
      </w:r>
    </w:p>
    <w:p>
      <w:pPr>
        <w:pStyle w:val="TextBody"/>
        <w:spacing w:before="0" w:after="0"/>
        <w:ind w:left="0" w:right="0" w:firstLine="720"/>
        <w:jc w:val="both"/>
        <w:rPr/>
      </w:pPr>
      <w:r>
        <w:rPr/>
        <w:t>(2)          The information contained in this quarterly report on Form 10-Q for the quarterly period ended June 30, 2019, fairly presents, in all material respects, the financial condition and results of operations of Independent Bank Corporation.</w:t>
      </w:r>
    </w:p>
    <w:p>
      <w:pPr>
        <w:pStyle w:val="TextBody"/>
        <w:spacing w:before="0" w:after="0"/>
        <w:rPr/>
      </w:pPr>
      <w:r>
        <w:rPr/>
      </w:r>
    </w:p>
    <w:tbl>
      <w:tblPr>
        <w:tblW w:w="6460" w:type="dxa"/>
        <w:jc w:val="left"/>
        <w:tblInd w:w="0" w:type="dxa"/>
        <w:tblCellMar>
          <w:top w:w="0" w:type="dxa"/>
          <w:left w:w="0" w:type="dxa"/>
          <w:bottom w:w="0" w:type="dxa"/>
          <w:right w:w="0" w:type="dxa"/>
        </w:tblCellMar>
      </w:tblPr>
      <w:tblGrid>
        <w:gridCol w:w="2135"/>
        <w:gridCol w:w="4325"/>
      </w:tblGrid>
      <w:tr>
        <w:trPr/>
        <w:tc>
          <w:tcPr>
            <w:tcW w:w="2135"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rPr/>
            </w:pPr>
            <w:r>
              <w:rPr/>
              <w:t>INDEPENDENT BANK CORPORATION</w:t>
            </w:r>
          </w:p>
        </w:tc>
      </w:tr>
      <w:tr>
        <w:trPr/>
        <w:tc>
          <w:tcPr>
            <w:tcW w:w="2135"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283"/>
              <w:rPr/>
            </w:pPr>
            <w:r>
              <w:rPr/>
              <w:t> </w:t>
            </w:r>
          </w:p>
        </w:tc>
      </w:tr>
      <w:tr>
        <w:trPr/>
        <w:tc>
          <w:tcPr>
            <w:tcW w:w="2135" w:type="dxa"/>
            <w:tcBorders/>
            <w:shd w:fill="auto" w:val="clear"/>
            <w:vAlign w:val="center"/>
          </w:tcPr>
          <w:p>
            <w:pPr>
              <w:pStyle w:val="TableContents"/>
              <w:spacing w:before="0" w:after="0"/>
              <w:rPr/>
            </w:pPr>
            <w:r>
              <w:rPr/>
              <w:t>Date:  August 2, 2019</w:t>
            </w:r>
          </w:p>
        </w:tc>
        <w:tc>
          <w:tcPr>
            <w:tcW w:w="4325" w:type="dxa"/>
            <w:tcBorders/>
            <w:shd w:fill="auto" w:val="clear"/>
            <w:vAlign w:val="center"/>
          </w:tcPr>
          <w:p>
            <w:pPr>
              <w:pStyle w:val="TableContents"/>
              <w:spacing w:before="0" w:after="0"/>
              <w:rPr>
                <w:u w:val="single"/>
              </w:rPr>
            </w:pPr>
            <w:r>
              <w:rPr>
                <w:u w:val="single"/>
              </w:rPr>
              <w:t>   </w:t>
            </w:r>
            <w:r>
              <w:rPr>
                <w:u w:val="single"/>
              </w:rPr>
              <w:t>/s/ Robert N. Shuster</w:t>
            </w:r>
          </w:p>
        </w:tc>
      </w:tr>
      <w:tr>
        <w:trPr/>
        <w:tc>
          <w:tcPr>
            <w:tcW w:w="2135"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ind w:left="360" w:right="0" w:hanging="0"/>
              <w:rPr/>
            </w:pPr>
            <w:r>
              <w:rPr/>
              <w:t>Robert N. Shuster</w:t>
            </w:r>
          </w:p>
          <w:p>
            <w:pPr>
              <w:pStyle w:val="TableContents"/>
              <w:spacing w:before="0" w:after="0"/>
              <w:ind w:left="360" w:right="0" w:hanging="0"/>
              <w:rPr/>
            </w:pPr>
            <w:r>
              <w:rPr/>
              <w:t>Chief Financial Officer</w:t>
            </w:r>
          </w:p>
        </w:tc>
      </w:tr>
    </w:tbl>
    <w:p>
      <w:pPr>
        <w:pStyle w:val="TextBody"/>
        <w:spacing w:before="0" w:after="0"/>
        <w:rPr/>
      </w:pPr>
      <w:r>
        <w:rPr/>
      </w:r>
    </w:p>
    <w:p>
      <w:pPr>
        <w:pStyle w:val="TextBody"/>
        <w:spacing w:before="0" w:after="0"/>
        <w:jc w:val="both"/>
        <w:rPr/>
      </w:pPr>
      <w:r>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pStyle w:val="TextBody"/>
        <w:spacing w:before="0" w:after="0"/>
        <w:rPr/>
      </w:pPr>
      <w:r>
        <w:rPr/>
      </w:r>
    </w:p>
    <w:p>
      <w:pPr>
        <w:pStyle w:val="TextBody"/>
        <w:spacing w:before="0" w:after="0"/>
        <w:rPr/>
      </w:pPr>
      <w:r>
        <w:rPr/>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quot">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35463</Words>
  <CharactersWithSpaces>232660</CharactersWithSpaces>
  <Paragraphs>27032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