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274320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10-Q</w:t>
      </w:r>
    </w:p>
    <w:p>
      <w:pPr>
        <w:spacing w:after="0" w:line="222"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2021</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1118870</wp:posOffset>
            </wp:positionH>
            <wp:positionV relativeFrom="paragraph">
              <wp:posOffset>-13335</wp:posOffset>
            </wp:positionV>
            <wp:extent cx="401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1320" cy="825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42"/>
          <w:szCs w:val="42"/>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52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5720" w:type="dxa"/>
            <w:vAlign w:val="bottom"/>
            <w:gridSpan w:val="2"/>
          </w:tcPr>
          <w:p>
            <w:pPr>
              <w:jc w:val="right"/>
              <w:ind w:right="2232"/>
              <w:spacing w:after="0"/>
              <w:rPr>
                <w:sz w:val="20"/>
                <w:szCs w:val="20"/>
                <w:color w:val="auto"/>
              </w:rPr>
            </w:pPr>
            <w:r>
              <w:rPr>
                <w:rFonts w:ascii="Arial" w:cs="Arial" w:eastAsia="Arial" w:hAnsi="Arial"/>
                <w:sz w:val="18"/>
                <w:szCs w:val="18"/>
                <w:color w:val="auto"/>
              </w:rPr>
              <w:t>38-2032782</w:t>
            </w:r>
          </w:p>
        </w:tc>
      </w:tr>
      <w:tr>
        <w:trPr>
          <w:trHeight w:val="220"/>
        </w:trPr>
        <w:tc>
          <w:tcPr>
            <w:tcW w:w="5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223"/>
        </w:trPr>
        <w:tc>
          <w:tcPr>
            <w:tcW w:w="5520" w:type="dxa"/>
            <w:vAlign w:val="bottom"/>
          </w:tcPr>
          <w:p>
            <w:pPr>
              <w:jc w:val="center"/>
              <w:spacing w:after="0"/>
              <w:rPr>
                <w:sz w:val="20"/>
                <w:szCs w:val="20"/>
                <w:color w:val="auto"/>
              </w:rPr>
            </w:pPr>
            <w:r>
              <w:rPr>
                <w:rFonts w:ascii="Arial" w:cs="Arial" w:eastAsia="Arial" w:hAnsi="Arial"/>
                <w:sz w:val="18"/>
                <w:szCs w:val="18"/>
                <w:color w:val="auto"/>
                <w:w w:val="91"/>
              </w:rPr>
              <w:t>(State or jurisdiction of Incorporation or Organization)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Number)</w:t>
            </w:r>
          </w:p>
        </w:tc>
      </w:tr>
    </w:tbl>
    <w:p>
      <w:pPr>
        <w:spacing w:after="0" w:line="188"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(Address of principal executive offices)</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(616) 527-5820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address and fiscal year, if changed since last report.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31"/>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Title of each Class</w:t>
            </w:r>
          </w:p>
        </w:tc>
        <w:tc>
          <w:tcPr>
            <w:tcW w:w="120" w:type="dxa"/>
            <w:vAlign w:val="bottom"/>
          </w:tcPr>
          <w:p>
            <w:pPr>
              <w:spacing w:after="0"/>
              <w:rPr>
                <w:sz w:val="24"/>
                <w:szCs w:val="2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120" w:type="dxa"/>
            <w:vAlign w:val="bottom"/>
          </w:tcPr>
          <w:p>
            <w:pPr>
              <w:spacing w:after="0"/>
              <w:rPr>
                <w:sz w:val="24"/>
                <w:szCs w:val="24"/>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which registered</w:t>
            </w:r>
          </w:p>
        </w:tc>
      </w:tr>
      <w:tr>
        <w:trPr>
          <w:trHeight w:val="223"/>
        </w:trPr>
        <w:tc>
          <w:tcPr>
            <w:tcW w:w="4520" w:type="dxa"/>
            <w:vAlign w:val="bottom"/>
          </w:tcPr>
          <w:p>
            <w:pPr>
              <w:jc w:val="center"/>
              <w:spacing w:after="0"/>
              <w:rPr>
                <w:sz w:val="20"/>
                <w:szCs w:val="20"/>
                <w:color w:val="auto"/>
              </w:rPr>
            </w:pPr>
            <w:r>
              <w:rPr>
                <w:rFonts w:ascii="Arial" w:cs="Arial" w:eastAsia="Arial" w:hAnsi="Arial"/>
                <w:sz w:val="18"/>
                <w:szCs w:val="18"/>
                <w:color w:val="auto"/>
                <w:w w:val="89"/>
              </w:rPr>
              <w:t>Common stock, no par value</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IBCP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The Nasdaq Stock Market, LLC</w:t>
            </w:r>
          </w:p>
        </w:tc>
      </w:tr>
    </w:tbl>
    <w:p>
      <w:pPr>
        <w:spacing w:after="0" w:line="400" w:lineRule="exact"/>
        <w:rPr>
          <w:sz w:val="24"/>
          <w:szCs w:val="24"/>
          <w:color w:val="auto"/>
        </w:rPr>
      </w:pPr>
    </w:p>
    <w:p>
      <w:pPr>
        <w:jc w:val="both"/>
        <w:ind w:right="2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40"/>
        <w:spacing w:after="0" w:line="24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jc w:val="both"/>
        <w:ind w:right="20"/>
        <w:spacing w:after="0" w:line="250" w:lineRule="auto"/>
        <w:rPr>
          <w:sz w:val="20"/>
          <w:szCs w:val="20"/>
          <w:color w:val="auto"/>
        </w:rPr>
      </w:pPr>
      <w:r>
        <w:rPr>
          <w:rFonts w:ascii="Arial" w:cs="Arial" w:eastAsia="Arial" w:hAnsi="Arial"/>
          <w:sz w:val="18"/>
          <w:szCs w:val="18"/>
          <w:color w:val="auto"/>
        </w:rPr>
        <w:t>Indicate by check mark whether the Registrant is a large accelerated filer, an accelerated filer, non-accelerated filer, smaller reporting company or an emerging growth company.</w:t>
      </w: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10" w:lineRule="exact"/>
        <w:rPr>
          <w:sz w:val="24"/>
          <w:szCs w:val="24"/>
          <w:color w:val="auto"/>
        </w:rPr>
      </w:pPr>
    </w:p>
    <w:p>
      <w:pPr>
        <w:ind w:right="18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0" w:lineRule="exact"/>
        <w:rPr>
          <w:sz w:val="24"/>
          <w:szCs w:val="24"/>
          <w:color w:val="auto"/>
        </w:rPr>
      </w:pPr>
    </w:p>
    <w:p>
      <w:pPr>
        <w:ind w:right="520"/>
        <w:spacing w:after="0" w:line="264"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common stock, no par value, 21,276,999 as of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173355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265430</wp:posOffset>
            </wp:positionV>
            <wp:extent cx="713486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417195</wp:posOffset>
            </wp:positionV>
            <wp:extent cx="71348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vMerge w:val="restart"/>
          </w:tcPr>
          <w:p>
            <w:pPr>
              <w:spacing w:after="0"/>
              <w:rPr>
                <w:sz w:val="20"/>
                <w:szCs w:val="20"/>
                <w:color w:val="auto"/>
              </w:rPr>
            </w:pPr>
            <w:r>
              <w:rPr>
                <w:rFonts w:ascii="Arial" w:cs="Arial" w:eastAsia="Arial" w:hAnsi="Arial"/>
                <w:sz w:val="18"/>
                <w:szCs w:val="18"/>
                <w:color w:val="auto"/>
              </w:rPr>
              <w:t>PART I -</w:t>
            </w:r>
          </w:p>
        </w:tc>
        <w:tc>
          <w:tcPr>
            <w:tcW w:w="9040" w:type="dxa"/>
            <w:vAlign w:val="bottom"/>
            <w:gridSpan w:val="14"/>
            <w:vMerge w:val="restart"/>
          </w:tcPr>
          <w:p>
            <w:pPr>
              <w:spacing w:after="0"/>
              <w:rPr>
                <w:sz w:val="20"/>
                <w:szCs w:val="20"/>
                <w:color w:val="auto"/>
              </w:rPr>
            </w:pPr>
            <w:r>
              <w:rPr>
                <w:rFonts w:ascii="Arial" w:cs="Arial" w:eastAsia="Arial" w:hAnsi="Arial"/>
                <w:sz w:val="18"/>
                <w:szCs w:val="18"/>
                <w:color w:val="auto"/>
              </w:rPr>
              <w:t>Financial Information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Number(s)</w:t>
            </w:r>
          </w:p>
        </w:tc>
        <w:tc>
          <w:tcPr>
            <w:tcW w:w="0" w:type="dxa"/>
            <w:vAlign w:val="bottom"/>
          </w:tcPr>
          <w:p>
            <w:pPr>
              <w:spacing w:after="0"/>
              <w:rPr>
                <w:sz w:val="1"/>
                <w:szCs w:val="1"/>
                <w:color w:val="auto"/>
              </w:rPr>
            </w:pPr>
          </w:p>
        </w:tc>
      </w:tr>
      <w:tr>
        <w:trPr>
          <w:trHeight w:val="231"/>
        </w:trPr>
        <w:tc>
          <w:tcPr>
            <w:tcW w:w="1120" w:type="dxa"/>
            <w:vAlign w:val="bottom"/>
            <w:vMerge w:val="continue"/>
          </w:tcPr>
          <w:p>
            <w:pPr>
              <w:spacing w:after="0"/>
              <w:rPr>
                <w:sz w:val="20"/>
                <w:szCs w:val="20"/>
                <w:color w:val="auto"/>
              </w:rPr>
            </w:pPr>
          </w:p>
        </w:tc>
        <w:tc>
          <w:tcPr>
            <w:tcW w:w="9040" w:type="dxa"/>
            <w:vAlign w:val="bottom"/>
            <w:gridSpan w:val="14"/>
            <w:vMerge w:val="continue"/>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1120" w:type="dxa"/>
            <w:vAlign w:val="bottom"/>
            <w:tcBorders>
              <w:bottom w:val="single" w:sz="8" w:color="CCEEFF"/>
            </w:tcBorders>
            <w:shd w:val="clear" w:color="auto" w:fill="CCEEFF"/>
          </w:tcPr>
          <w:p>
            <w:pPr>
              <w:spacing w:after="0" w:line="173" w:lineRule="exact"/>
              <w:rPr>
                <w:sz w:val="20"/>
                <w:szCs w:val="20"/>
                <w:color w:val="auto"/>
              </w:rPr>
            </w:pPr>
            <w:r>
              <w:rPr>
                <w:rFonts w:ascii="Arial" w:cs="Arial" w:eastAsia="Arial" w:hAnsi="Arial"/>
                <w:sz w:val="18"/>
                <w:szCs w:val="18"/>
                <w:color w:val="auto"/>
              </w:rPr>
              <w:t>Item 1.</w:t>
            </w:r>
          </w:p>
        </w:tc>
        <w:tc>
          <w:tcPr>
            <w:tcW w:w="7420" w:type="dxa"/>
            <w:vAlign w:val="bottom"/>
            <w:tcBorders>
              <w:bottom w:val="single" w:sz="8" w:color="0000EE"/>
            </w:tcBorders>
            <w:gridSpan w:val="9"/>
            <w:shd w:val="clear" w:color="auto" w:fill="CCEEFF"/>
          </w:tcPr>
          <w:p>
            <w:pPr>
              <w:spacing w:after="0" w:line="173"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September 30, 2021 and December 31, 2020</w:t>
              </w:r>
            </w:hyperlink>
          </w:p>
        </w:tc>
        <w:tc>
          <w:tcPr>
            <w:tcW w:w="1620" w:type="dxa"/>
            <w:vAlign w:val="bottom"/>
            <w:tcBorders>
              <w:bottom w:val="single" w:sz="8" w:color="CCEEFF"/>
            </w:tcBorders>
            <w:gridSpan w:val="5"/>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spacing w:after="0" w:line="17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9040" w:type="dxa"/>
            <w:vAlign w:val="bottom"/>
            <w:gridSpan w:val="14"/>
          </w:tcPr>
          <w:p>
            <w:pPr>
              <w:spacing w:after="0" w:line="172"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Operations Three-and Nine-month periods ended September 30, 2021 and 2020</w:t>
              </w:r>
            </w:hyperlink>
          </w:p>
        </w:tc>
        <w:tc>
          <w:tcPr>
            <w:tcW w:w="1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20" w:type="dxa"/>
            <w:vAlign w:val="bottom"/>
            <w:tcBorders>
              <w:bottom w:val="single" w:sz="8" w:color="CCEEFF"/>
            </w:tcBorders>
            <w:shd w:val="clear" w:color="auto" w:fill="CCEEFF"/>
          </w:tcPr>
          <w:p>
            <w:pPr>
              <w:spacing w:after="0"/>
              <w:rPr>
                <w:sz w:val="16"/>
                <w:szCs w:val="16"/>
                <w:color w:val="auto"/>
              </w:rPr>
            </w:pPr>
          </w:p>
        </w:tc>
        <w:tc>
          <w:tcPr>
            <w:tcW w:w="8660" w:type="dxa"/>
            <w:vAlign w:val="bottom"/>
            <w:tcBorders>
              <w:bottom w:val="single" w:sz="8" w:color="0000EE"/>
            </w:tcBorders>
            <w:gridSpan w:val="12"/>
            <w:shd w:val="clear" w:color="auto" w:fill="CCEEFF"/>
          </w:tcPr>
          <w:p>
            <w:pPr>
              <w:spacing w:after="0" w:line="19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Comprehensive Income Three-and Nine-month periods ended September 30, 2021</w:t>
              </w:r>
            </w:hyperlink>
          </w:p>
        </w:tc>
        <w:tc>
          <w:tcPr>
            <w:tcW w:w="380" w:type="dxa"/>
            <w:vAlign w:val="bottom"/>
            <w:tcBorders>
              <w:bottom w:val="single" w:sz="8" w:color="CCEEFF"/>
            </w:tcBorders>
            <w:gridSpan w:val="2"/>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1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right w:val="single" w:sz="8" w:color="CCEEFF"/>
            </w:tcBorders>
            <w:gridSpan w:val="2"/>
            <w:shd w:val="clear" w:color="auto" w:fill="CCEEFF"/>
          </w:tcPr>
          <w:p>
            <w:pPr>
              <w:spacing w:after="0" w:line="192"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and 2020</w:t>
              </w:r>
            </w:hyperlink>
          </w:p>
        </w:tc>
        <w:tc>
          <w:tcPr>
            <w:tcW w:w="8160" w:type="dxa"/>
            <w:vAlign w:val="bottom"/>
            <w:tcBorders>
              <w:bottom w:val="single" w:sz="8" w:color="CCEEFF"/>
            </w:tcBorders>
            <w:gridSpan w:val="11"/>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9040" w:type="dxa"/>
            <w:vAlign w:val="bottom"/>
            <w:gridSpan w:val="14"/>
          </w:tcPr>
          <w:p>
            <w:pPr>
              <w:spacing w:after="0" w:line="17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Nine-month periods ended September 30, 2021 and 2020</w:t>
              </w:r>
            </w:hyperlink>
          </w:p>
        </w:tc>
        <w:tc>
          <w:tcPr>
            <w:tcW w:w="1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20" w:type="dxa"/>
            <w:vAlign w:val="bottom"/>
            <w:shd w:val="clear" w:color="auto" w:fill="CCEEFF"/>
          </w:tcPr>
          <w:p>
            <w:pPr>
              <w:spacing w:after="0"/>
              <w:rPr>
                <w:sz w:val="16"/>
                <w:szCs w:val="16"/>
                <w:color w:val="auto"/>
              </w:rPr>
            </w:pPr>
          </w:p>
        </w:tc>
        <w:tc>
          <w:tcPr>
            <w:tcW w:w="9040" w:type="dxa"/>
            <w:vAlign w:val="bottom"/>
            <w:gridSpan w:val="14"/>
            <w:shd w:val="clear" w:color="auto" w:fill="CCEEFF"/>
          </w:tcPr>
          <w:p>
            <w:pPr>
              <w:spacing w:after="0" w:line="19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Shareholders' Equity Three-and Nine-month periods ended September 30, 2021 and</w:t>
              </w:r>
            </w:hyperlink>
          </w:p>
        </w:tc>
        <w:tc>
          <w:tcPr>
            <w:tcW w:w="10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2"/>
        </w:trPr>
        <w:tc>
          <w:tcPr>
            <w:tcW w:w="1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0000EE"/>
              <w:right w:val="single" w:sz="8" w:color="CCEEFF"/>
            </w:tcBorders>
            <w:gridSpan w:val="2"/>
            <w:shd w:val="clear" w:color="auto" w:fill="CCEEFF"/>
          </w:tcPr>
          <w:p>
            <w:pPr>
              <w:ind w:left="160"/>
              <w:spacing w:after="0" w:line="192"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2020</w:t>
              </w:r>
            </w:hyperlink>
          </w:p>
        </w:tc>
        <w:tc>
          <w:tcPr>
            <w:tcW w:w="300" w:type="dxa"/>
            <w:vAlign w:val="bottom"/>
            <w:tcBorders>
              <w:top w:val="single" w:sz="8" w:color="0000EE"/>
              <w:right w:val="single" w:sz="8" w:color="CCEEFF"/>
            </w:tcBorders>
            <w:shd w:val="clear" w:color="auto" w:fill="CCEEFF"/>
          </w:tcPr>
          <w:p>
            <w:pPr>
              <w:spacing w:after="0"/>
              <w:rPr>
                <w:sz w:val="16"/>
                <w:szCs w:val="16"/>
                <w:color w:val="auto"/>
              </w:rPr>
            </w:pPr>
          </w:p>
        </w:tc>
        <w:tc>
          <w:tcPr>
            <w:tcW w:w="860" w:type="dxa"/>
            <w:vAlign w:val="bottom"/>
            <w:tcBorders>
              <w:top w:val="single" w:sz="8" w:color="0000EE"/>
            </w:tcBorders>
            <w:shd w:val="clear" w:color="auto" w:fill="CCEEFF"/>
          </w:tcPr>
          <w:p>
            <w:pPr>
              <w:spacing w:after="0"/>
              <w:rPr>
                <w:sz w:val="16"/>
                <w:szCs w:val="16"/>
                <w:color w:val="auto"/>
              </w:rPr>
            </w:pPr>
          </w:p>
        </w:tc>
        <w:tc>
          <w:tcPr>
            <w:tcW w:w="24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1840" w:type="dxa"/>
            <w:vAlign w:val="bottom"/>
            <w:tcBorders>
              <w:top w:val="single" w:sz="8" w:color="0000EE"/>
            </w:tcBorders>
            <w:shd w:val="clear" w:color="auto" w:fill="CCEEFF"/>
          </w:tcPr>
          <w:p>
            <w:pPr>
              <w:spacing w:after="0"/>
              <w:rPr>
                <w:sz w:val="16"/>
                <w:szCs w:val="16"/>
                <w:color w:val="auto"/>
              </w:rPr>
            </w:pPr>
          </w:p>
        </w:tc>
        <w:tc>
          <w:tcPr>
            <w:tcW w:w="1100" w:type="dxa"/>
            <w:vAlign w:val="bottom"/>
            <w:tcBorders>
              <w:top w:val="single" w:sz="8" w:color="0000EE"/>
            </w:tcBorders>
            <w:shd w:val="clear" w:color="auto" w:fill="CCEEFF"/>
          </w:tcPr>
          <w:p>
            <w:pPr>
              <w:spacing w:after="0"/>
              <w:rPr>
                <w:sz w:val="16"/>
                <w:szCs w:val="16"/>
                <w:color w:val="auto"/>
              </w:rPr>
            </w:pPr>
          </w:p>
        </w:tc>
        <w:tc>
          <w:tcPr>
            <w:tcW w:w="300" w:type="dxa"/>
            <w:vAlign w:val="bottom"/>
            <w:tcBorders>
              <w:top w:val="single" w:sz="8" w:color="0000EE"/>
            </w:tcBorders>
            <w:shd w:val="clear" w:color="auto" w:fill="CCEEFF"/>
          </w:tcPr>
          <w:p>
            <w:pPr>
              <w:spacing w:after="0"/>
              <w:rPr>
                <w:sz w:val="16"/>
                <w:szCs w:val="16"/>
                <w:color w:val="auto"/>
              </w:rPr>
            </w:pPr>
          </w:p>
        </w:tc>
        <w:tc>
          <w:tcPr>
            <w:tcW w:w="720" w:type="dxa"/>
            <w:vAlign w:val="bottom"/>
            <w:tcBorders>
              <w:top w:val="single" w:sz="8" w:color="0000EE"/>
            </w:tcBorders>
            <w:shd w:val="clear" w:color="auto" w:fill="CCEEFF"/>
          </w:tcPr>
          <w:p>
            <w:pPr>
              <w:spacing w:after="0"/>
              <w:rPr>
                <w:sz w:val="16"/>
                <w:szCs w:val="16"/>
                <w:color w:val="auto"/>
              </w:rPr>
            </w:pPr>
          </w:p>
        </w:tc>
        <w:tc>
          <w:tcPr>
            <w:tcW w:w="220" w:type="dxa"/>
            <w:vAlign w:val="bottom"/>
            <w:tcBorders>
              <w:top w:val="single" w:sz="8" w:color="0000EE"/>
            </w:tcBorders>
            <w:shd w:val="clear" w:color="auto" w:fill="CCEEFF"/>
          </w:tcPr>
          <w:p>
            <w:pPr>
              <w:spacing w:after="0"/>
              <w:rPr>
                <w:sz w:val="16"/>
                <w:szCs w:val="16"/>
                <w:color w:val="auto"/>
              </w:rPr>
            </w:pPr>
          </w:p>
        </w:tc>
        <w:tc>
          <w:tcPr>
            <w:tcW w:w="80" w:type="dxa"/>
            <w:vAlign w:val="bottom"/>
            <w:tcBorders>
              <w:top w:val="single" w:sz="8" w:color="0000EE"/>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0000EE"/>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120" w:type="dxa"/>
            <w:vAlign w:val="bottom"/>
          </w:tcPr>
          <w:p>
            <w:pPr>
              <w:spacing w:after="0"/>
              <w:rPr>
                <w:sz w:val="14"/>
                <w:szCs w:val="14"/>
                <w:color w:val="auto"/>
              </w:rPr>
            </w:pPr>
          </w:p>
        </w:tc>
        <w:tc>
          <w:tcPr>
            <w:tcW w:w="9040" w:type="dxa"/>
            <w:vAlign w:val="bottom"/>
            <w:gridSpan w:val="14"/>
          </w:tcPr>
          <w:p>
            <w:pPr>
              <w:spacing w:after="0" w:line="172" w:lineRule="exact"/>
              <w:rPr>
                <w:rFonts w:ascii="Arial" w:cs="Arial" w:eastAsia="Arial" w:hAnsi="Arial"/>
                <w:sz w:val="18"/>
                <w:szCs w:val="18"/>
                <w:color w:val="0000EE"/>
              </w:rPr>
            </w:pPr>
            <w:hyperlink w:anchor="page9">
              <w:r>
                <w:rPr>
                  <w:rFonts w:ascii="Arial" w:cs="Arial" w:eastAsia="Arial" w:hAnsi="Arial"/>
                  <w:sz w:val="18"/>
                  <w:szCs w:val="18"/>
                  <w:color w:val="0000EE"/>
                </w:rPr>
                <w:t>Notes to Interim Condensed Consolidated Financial Statements</w:t>
              </w:r>
            </w:hyperlink>
          </w:p>
        </w:tc>
        <w:tc>
          <w:tcPr>
            <w:tcW w:w="1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20" w:type="dxa"/>
            <w:vAlign w:val="bottom"/>
            <w:tcBorders>
              <w:bottom w:val="single" w:sz="8" w:color="CCEEFF"/>
            </w:tcBorders>
            <w:shd w:val="clear" w:color="auto" w:fill="CCEEFF"/>
          </w:tcPr>
          <w:p>
            <w:pPr>
              <w:spacing w:after="0" w:line="192"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8"/>
            <w:shd w:val="clear" w:color="auto" w:fill="CCEEFF"/>
          </w:tcPr>
          <w:p>
            <w:pPr>
              <w:spacing w:after="0" w:line="19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Management's Discussion and Analysis of Financial Condition and Results of Operations</w:t>
              </w:r>
            </w:hyperlink>
          </w:p>
        </w:tc>
        <w:tc>
          <w:tcPr>
            <w:tcW w:w="2720" w:type="dxa"/>
            <w:vAlign w:val="bottom"/>
            <w:tcBorders>
              <w:bottom w:val="single" w:sz="8" w:color="CCEEFF"/>
            </w:tcBorders>
            <w:gridSpan w:val="6"/>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172"/>
        </w:trPr>
        <w:tc>
          <w:tcPr>
            <w:tcW w:w="1120" w:type="dxa"/>
            <w:vAlign w:val="bottom"/>
          </w:tcPr>
          <w:p>
            <w:pPr>
              <w:spacing w:after="0" w:line="172" w:lineRule="exact"/>
              <w:rPr>
                <w:sz w:val="20"/>
                <w:szCs w:val="20"/>
                <w:color w:val="auto"/>
              </w:rPr>
            </w:pPr>
            <w:r>
              <w:rPr>
                <w:rFonts w:ascii="Arial" w:cs="Arial" w:eastAsia="Arial" w:hAnsi="Arial"/>
                <w:sz w:val="18"/>
                <w:szCs w:val="18"/>
                <w:color w:val="auto"/>
              </w:rPr>
              <w:t>Item 3.</w:t>
            </w:r>
          </w:p>
        </w:tc>
        <w:tc>
          <w:tcPr>
            <w:tcW w:w="9040" w:type="dxa"/>
            <w:vAlign w:val="bottom"/>
            <w:gridSpan w:val="14"/>
          </w:tcPr>
          <w:p>
            <w:pPr>
              <w:spacing w:after="0" w:line="172" w:lineRule="exact"/>
              <w:rPr>
                <w:rFonts w:ascii="Arial" w:cs="Arial" w:eastAsia="Arial" w:hAnsi="Arial"/>
                <w:sz w:val="18"/>
                <w:szCs w:val="18"/>
                <w:color w:val="0000EE"/>
              </w:rPr>
            </w:pPr>
            <w:hyperlink w:anchor="page98">
              <w:r>
                <w:rPr>
                  <w:rFonts w:ascii="Arial" w:cs="Arial" w:eastAsia="Arial" w:hAnsi="Arial"/>
                  <w:sz w:val="18"/>
                  <w:szCs w:val="18"/>
                  <w:color w:val="0000EE"/>
                </w:rPr>
                <w:t>Quantitative and Qualitative Disclosures about Market Risk</w:t>
              </w:r>
            </w:hyperlink>
          </w:p>
        </w:tc>
        <w:tc>
          <w:tcPr>
            <w:tcW w:w="1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Item 4.</w:t>
            </w:r>
          </w:p>
        </w:tc>
        <w:tc>
          <w:tcPr>
            <w:tcW w:w="4220" w:type="dxa"/>
            <w:vAlign w:val="bottom"/>
            <w:tcBorders>
              <w:top w:val="single" w:sz="8" w:color="0000EE"/>
            </w:tcBorders>
            <w:gridSpan w:val="5"/>
            <w:shd w:val="clear" w:color="auto" w:fill="CCEEFF"/>
          </w:tcPr>
          <w:p>
            <w:pPr>
              <w:spacing w:after="0" w:line="192"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4820" w:type="dxa"/>
            <w:vAlign w:val="bottom"/>
            <w:gridSpan w:val="9"/>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2"/>
        </w:trPr>
        <w:tc>
          <w:tcPr>
            <w:tcW w:w="11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PART II -</w:t>
            </w:r>
          </w:p>
        </w:tc>
        <w:tc>
          <w:tcPr>
            <w:tcW w:w="904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line="172" w:lineRule="exact"/>
              <w:rPr>
                <w:sz w:val="20"/>
                <w:szCs w:val="20"/>
                <w:color w:val="auto"/>
              </w:rPr>
            </w:pPr>
            <w:r>
              <w:rPr>
                <w:rFonts w:ascii="Arial" w:cs="Arial" w:eastAsia="Arial" w:hAnsi="Arial"/>
                <w:sz w:val="18"/>
                <w:szCs w:val="18"/>
                <w:color w:val="auto"/>
              </w:rPr>
              <w:t>Item 1A</w:t>
            </w:r>
          </w:p>
        </w:tc>
        <w:tc>
          <w:tcPr>
            <w:tcW w:w="9040" w:type="dxa"/>
            <w:vAlign w:val="bottom"/>
            <w:gridSpan w:val="14"/>
          </w:tcPr>
          <w:p>
            <w:pPr>
              <w:spacing w:after="0" w:line="172" w:lineRule="exact"/>
              <w:rPr>
                <w:rFonts w:ascii="Arial" w:cs="Arial" w:eastAsia="Arial" w:hAnsi="Arial"/>
                <w:sz w:val="18"/>
                <w:szCs w:val="18"/>
                <w:color w:val="0000EE"/>
              </w:rPr>
            </w:pPr>
            <w:hyperlink w:anchor="page99">
              <w:r>
                <w:rPr>
                  <w:rFonts w:ascii="Arial" w:cs="Arial" w:eastAsia="Arial" w:hAnsi="Arial"/>
                  <w:sz w:val="18"/>
                  <w:szCs w:val="18"/>
                  <w:color w:val="0000EE"/>
                </w:rPr>
                <w:t>Risk Factors</w:t>
              </w:r>
            </w:hyperlink>
          </w:p>
        </w:tc>
        <w:tc>
          <w:tcPr>
            <w:tcW w:w="1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98-100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Item 2.</w:t>
            </w:r>
          </w:p>
        </w:tc>
        <w:tc>
          <w:tcPr>
            <w:tcW w:w="9040" w:type="dxa"/>
            <w:vAlign w:val="bottom"/>
            <w:gridSpan w:val="14"/>
            <w:shd w:val="clear" w:color="auto" w:fill="CCEEFF"/>
          </w:tcPr>
          <w:p>
            <w:pPr>
              <w:spacing w:after="0" w:line="192" w:lineRule="exact"/>
              <w:rPr>
                <w:rFonts w:ascii="Arial" w:cs="Arial" w:eastAsia="Arial" w:hAnsi="Arial"/>
                <w:sz w:val="18"/>
                <w:szCs w:val="18"/>
                <w:color w:val="0000EE"/>
              </w:rPr>
            </w:pPr>
            <w:hyperlink w:anchor="page102">
              <w:r>
                <w:rPr>
                  <w:rFonts w:ascii="Arial" w:cs="Arial" w:eastAsia="Arial" w:hAnsi="Arial"/>
                  <w:sz w:val="18"/>
                  <w:szCs w:val="18"/>
                  <w:color w:val="0000EE"/>
                </w:rPr>
                <w:t>Unregistered Sales of Equity Securities and Use of Proceeds</w:t>
              </w:r>
            </w:hyperlink>
          </w:p>
        </w:tc>
        <w:tc>
          <w:tcPr>
            <w:tcW w:w="10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2"/>
        </w:trPr>
        <w:tc>
          <w:tcPr>
            <w:tcW w:w="1120" w:type="dxa"/>
            <w:vAlign w:val="bottom"/>
            <w:tcBorders>
              <w:top w:val="single" w:sz="8" w:color="CCEEFF"/>
            </w:tcBorders>
          </w:tcPr>
          <w:p>
            <w:pPr>
              <w:spacing w:after="0" w:line="172" w:lineRule="exact"/>
              <w:rPr>
                <w:sz w:val="20"/>
                <w:szCs w:val="20"/>
                <w:color w:val="auto"/>
              </w:rPr>
            </w:pPr>
            <w:r>
              <w:rPr>
                <w:rFonts w:ascii="Arial" w:cs="Arial" w:eastAsia="Arial" w:hAnsi="Arial"/>
                <w:sz w:val="18"/>
                <w:szCs w:val="18"/>
                <w:color w:val="auto"/>
              </w:rPr>
              <w:t>Item 6.</w:t>
            </w:r>
          </w:p>
        </w:tc>
        <w:tc>
          <w:tcPr>
            <w:tcW w:w="4260" w:type="dxa"/>
            <w:vAlign w:val="bottom"/>
            <w:tcBorders>
              <w:top w:val="single" w:sz="8" w:color="0000EE"/>
            </w:tcBorders>
            <w:gridSpan w:val="6"/>
          </w:tcPr>
          <w:p>
            <w:pPr>
              <w:spacing w:after="0" w:line="172" w:lineRule="exact"/>
              <w:rPr>
                <w:rFonts w:ascii="Arial" w:cs="Arial" w:eastAsia="Arial" w:hAnsi="Arial"/>
                <w:sz w:val="18"/>
                <w:szCs w:val="18"/>
                <w:color w:val="0000EE"/>
              </w:rPr>
            </w:pPr>
            <w:hyperlink w:anchor="page103">
              <w:r>
                <w:rPr>
                  <w:rFonts w:ascii="Arial" w:cs="Arial" w:eastAsia="Arial" w:hAnsi="Arial"/>
                  <w:sz w:val="18"/>
                  <w:szCs w:val="18"/>
                  <w:color w:val="0000EE"/>
                </w:rPr>
                <w:t>Exhibits</w:t>
              </w:r>
            </w:hyperlink>
          </w:p>
        </w:tc>
        <w:tc>
          <w:tcPr>
            <w:tcW w:w="4780" w:type="dxa"/>
            <w:vAlign w:val="bottom"/>
            <w:tcBorders>
              <w:top w:val="single" w:sz="8" w:color="CCEEFF"/>
            </w:tcBorders>
            <w:gridSpan w:val="8"/>
          </w:tcPr>
          <w:p>
            <w:pPr>
              <w:spacing w:after="0"/>
              <w:rPr>
                <w:sz w:val="14"/>
                <w:szCs w:val="14"/>
                <w:color w:val="auto"/>
              </w:rPr>
            </w:pPr>
          </w:p>
        </w:tc>
        <w:tc>
          <w:tcPr>
            <w:tcW w:w="1080" w:type="dxa"/>
            <w:vAlign w:val="bottom"/>
            <w:tcBorders>
              <w:top w:val="single" w:sz="8" w:color="CCEEFF"/>
            </w:tcBorders>
            <w:gridSpan w:val="2"/>
          </w:tcPr>
          <w:p>
            <w:pPr>
              <w:jc w:val="right"/>
              <w:spacing w:after="0" w:line="17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565"/>
        </w:trPr>
        <w:tc>
          <w:tcPr>
            <w:tcW w:w="1120" w:type="dxa"/>
            <w:vAlign w:val="bottom"/>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5740" w:type="dxa"/>
            <w:vAlign w:val="bottom"/>
            <w:gridSpan w:val="6"/>
          </w:tcPr>
          <w:p>
            <w:pPr>
              <w:jc w:val="right"/>
              <w:ind w:right="1780"/>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54" w:lineRule="exact"/>
        <w:rPr>
          <w:sz w:val="20"/>
          <w:szCs w:val="20"/>
          <w:color w:val="auto"/>
        </w:rPr>
      </w:pPr>
    </w:p>
    <w:p>
      <w:pPr>
        <w:ind w:left="640" w:hanging="316"/>
        <w:spacing w:after="0" w:line="252"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 including the impact of the ongoing COVID-19 pandemic on each of these items;</w:t>
      </w:r>
    </w:p>
    <w:p>
      <w:pPr>
        <w:ind w:left="640" w:hanging="316"/>
        <w:spacing w:after="0" w:line="294" w:lineRule="auto"/>
        <w:tabs>
          <w:tab w:leader="none" w:pos="6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economic conditions generally and in the financial services industry, particularly economic conditions within Michigan and the regional and local real estate markets in which our bank operates including the economic impact of the ongoing COVID-19 pandemic in each of these areas;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credit losses;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2020,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940" w:type="dxa"/>
            <w:vAlign w:val="bottom"/>
            <w:gridSpan w:val="2"/>
          </w:tcPr>
          <w:p>
            <w:pPr>
              <w:spacing w:after="0"/>
              <w:rPr>
                <w:sz w:val="20"/>
                <w:szCs w:val="20"/>
                <w:color w:val="auto"/>
              </w:rPr>
            </w:pPr>
            <w:r>
              <w:rPr>
                <w:rFonts w:ascii="Arial" w:cs="Arial" w:eastAsia="Arial" w:hAnsi="Arial"/>
                <w:sz w:val="18"/>
                <w:szCs w:val="18"/>
                <w:color w:val="auto"/>
              </w:rPr>
              <w:t>Part I - Item 1.</w:t>
            </w:r>
          </w:p>
        </w:tc>
        <w:tc>
          <w:tcPr>
            <w:tcW w:w="5680" w:type="dxa"/>
            <w:vAlign w:val="bottom"/>
            <w:gridSpan w:val="3"/>
          </w:tcPr>
          <w:p>
            <w:pPr>
              <w:jc w:val="right"/>
              <w:ind w:right="752"/>
              <w:spacing w:after="0"/>
              <w:rPr>
                <w:sz w:val="20"/>
                <w:szCs w:val="20"/>
                <w:color w:val="auto"/>
              </w:rPr>
            </w:pPr>
            <w:r>
              <w:rPr>
                <w:rFonts w:ascii="Arial" w:cs="Arial" w:eastAsia="Arial" w:hAnsi="Arial"/>
                <w:sz w:val="18"/>
                <w:szCs w:val="18"/>
                <w:color w:val="auto"/>
                <w:w w:val="97"/>
              </w:rPr>
              <w:t>INDEPENDENT BANK CORPORATION AND SUBSIDIARIES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680" w:type="dxa"/>
            <w:vAlign w:val="bottom"/>
            <w:gridSpan w:val="3"/>
          </w:tcPr>
          <w:p>
            <w:pPr>
              <w:jc w:val="right"/>
              <w:ind w:right="792"/>
              <w:spacing w:after="0" w:line="185" w:lineRule="exact"/>
              <w:rPr>
                <w:sz w:val="20"/>
                <w:szCs w:val="20"/>
                <w:color w:val="auto"/>
              </w:rPr>
            </w:pPr>
            <w:r>
              <w:rPr>
                <w:rFonts w:ascii="Arial" w:cs="Arial" w:eastAsia="Arial" w:hAnsi="Arial"/>
                <w:sz w:val="18"/>
                <w:szCs w:val="18"/>
                <w:color w:val="auto"/>
              </w:rPr>
              <w:t>Condensed Consolidated Statements of Financial Condition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2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4"/>
          </w:tcPr>
          <w:p>
            <w:pPr>
              <w:jc w:val="center"/>
              <w:ind w:right="112"/>
              <w:spacing w:after="0" w:line="200" w:lineRule="exact"/>
              <w:rPr>
                <w:sz w:val="20"/>
                <w:szCs w:val="20"/>
                <w:color w:val="auto"/>
              </w:rPr>
            </w:pPr>
            <w:r>
              <w:rPr>
                <w:rFonts w:ascii="Arial" w:cs="Arial" w:eastAsia="Arial" w:hAnsi="Arial"/>
                <w:sz w:val="18"/>
                <w:szCs w:val="18"/>
                <w:color w:val="auto"/>
                <w:w w:val="86"/>
              </w:rPr>
              <w:t>(In thousands, except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4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center"/>
              <w:ind w:left="512"/>
              <w:spacing w:after="0"/>
              <w:rPr>
                <w:sz w:val="20"/>
                <w:szCs w:val="20"/>
                <w:color w:val="auto"/>
              </w:rPr>
            </w:pPr>
            <w:r>
              <w:rPr>
                <w:rFonts w:ascii="Arial" w:cs="Arial" w:eastAsia="Arial" w:hAnsi="Arial"/>
                <w:sz w:val="18"/>
                <w:szCs w:val="18"/>
                <w:color w:val="auto"/>
                <w:w w:val="87"/>
              </w:rPr>
              <w:t>amounts)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49,946</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56,006</w:t>
            </w:r>
          </w:p>
        </w:tc>
        <w:tc>
          <w:tcPr>
            <w:tcW w:w="0" w:type="dxa"/>
            <w:vAlign w:val="bottom"/>
          </w:tcPr>
          <w:p>
            <w:pPr>
              <w:spacing w:after="0"/>
              <w:rPr>
                <w:sz w:val="1"/>
                <w:szCs w:val="1"/>
                <w:color w:val="auto"/>
              </w:rPr>
            </w:pPr>
          </w:p>
        </w:tc>
      </w:tr>
      <w:tr>
        <w:trPr>
          <w:trHeight w:val="218"/>
        </w:trPr>
        <w:tc>
          <w:tcPr>
            <w:tcW w:w="2940" w:type="dxa"/>
            <w:vAlign w:val="bottom"/>
            <w:gridSpan w:val="2"/>
          </w:tcPr>
          <w:p>
            <w:pPr>
              <w:spacing w:after="0"/>
              <w:rPr>
                <w:sz w:val="20"/>
                <w:szCs w:val="20"/>
                <w:color w:val="auto"/>
              </w:rPr>
            </w:pPr>
            <w:r>
              <w:rPr>
                <w:rFonts w:ascii="Arial" w:cs="Arial" w:eastAsia="Arial" w:hAnsi="Arial"/>
                <w:sz w:val="18"/>
                <w:szCs w:val="18"/>
                <w:color w:val="auto"/>
              </w:rPr>
              <w:t>Interest bearing deposits</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75,675</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62,699</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Cash and Cash Equivalents</w:t>
            </w: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125,621</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1,348,378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1,072,159</w:t>
            </w:r>
          </w:p>
        </w:tc>
        <w:tc>
          <w:tcPr>
            <w:tcW w:w="0" w:type="dxa"/>
            <w:vAlign w:val="bottom"/>
          </w:tcPr>
          <w:p>
            <w:pPr>
              <w:spacing w:after="0"/>
              <w:rPr>
                <w:sz w:val="1"/>
                <w:szCs w:val="1"/>
                <w:color w:val="auto"/>
              </w:rPr>
            </w:pPr>
          </w:p>
        </w:tc>
      </w:tr>
      <w:tr>
        <w:trPr>
          <w:trHeight w:val="212"/>
        </w:trPr>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18,427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18,427</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w w:val="92"/>
              </w:rPr>
              <w:t>Loans held for sale, carried at fair value</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78,731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92,434</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1,222,802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1,242,415</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1,100,992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1,015,926</w:t>
            </w:r>
          </w:p>
        </w:tc>
        <w:tc>
          <w:tcPr>
            <w:tcW w:w="0" w:type="dxa"/>
            <w:vAlign w:val="bottom"/>
          </w:tcPr>
          <w:p>
            <w:pPr>
              <w:spacing w:after="0"/>
              <w:rPr>
                <w:sz w:val="1"/>
                <w:szCs w:val="1"/>
                <w:color w:val="auto"/>
              </w:rPr>
            </w:pPr>
          </w:p>
        </w:tc>
      </w:tr>
      <w:tr>
        <w:trPr>
          <w:trHeight w:val="219"/>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Installment</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560,184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475,337</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Total Loans</w:t>
            </w: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2,883,978</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Allowance for credit losses (1)</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(46,799)</w:t>
            </w:r>
          </w:p>
        </w:tc>
        <w:tc>
          <w:tcPr>
            <w:tcW w:w="3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Net Loans</w:t>
            </w: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2,837,179</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2,698,249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20" w:type="dxa"/>
            <w:vAlign w:val="bottom"/>
            <w:gridSpan w:val="5"/>
          </w:tcPr>
          <w:p>
            <w:pPr>
              <w:spacing w:after="0"/>
              <w:rPr>
                <w:sz w:val="20"/>
                <w:szCs w:val="20"/>
                <w:color w:val="auto"/>
              </w:rPr>
            </w:pPr>
            <w:r>
              <w:rPr>
                <w:rFonts w:ascii="Arial" w:cs="Arial" w:eastAsia="Arial" w:hAnsi="Arial"/>
                <w:sz w:val="18"/>
                <w:szCs w:val="18"/>
                <w:color w:val="auto"/>
              </w:rPr>
              <w:t>Other real estate and repossessed assets, net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36,623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rPr>
              <w:t>Bank-owned life insurance</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55,124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55,180</w:t>
            </w:r>
          </w:p>
        </w:tc>
        <w:tc>
          <w:tcPr>
            <w:tcW w:w="0" w:type="dxa"/>
            <w:vAlign w:val="bottom"/>
          </w:tcPr>
          <w:p>
            <w:pPr>
              <w:spacing w:after="0"/>
              <w:rPr>
                <w:sz w:val="1"/>
                <w:szCs w:val="1"/>
                <w:color w:val="auto"/>
              </w:rPr>
            </w:pPr>
          </w:p>
        </w:tc>
      </w:tr>
      <w:tr>
        <w:trPr>
          <w:trHeight w:val="212"/>
        </w:trPr>
        <w:tc>
          <w:tcPr>
            <w:tcW w:w="8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Capitalized mortgage loan servicing rights, carried at fair value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24,208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rPr>
              <w:t>Other intangibles</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28,300</w:t>
            </w:r>
          </w:p>
        </w:tc>
        <w:tc>
          <w:tcPr>
            <w:tcW w:w="0" w:type="dxa"/>
            <w:vAlign w:val="bottom"/>
          </w:tcPr>
          <w:p>
            <w:pPr>
              <w:spacing w:after="0"/>
              <w:rPr>
                <w:sz w:val="1"/>
                <w:szCs w:val="1"/>
                <w:color w:val="auto"/>
              </w:rPr>
            </w:pPr>
          </w:p>
        </w:tc>
      </w:tr>
      <w:tr>
        <w:trPr>
          <w:trHeight w:val="218"/>
        </w:trPr>
        <w:tc>
          <w:tcPr>
            <w:tcW w:w="294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65,946</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62,456</w:t>
            </w:r>
          </w:p>
        </w:tc>
        <w:tc>
          <w:tcPr>
            <w:tcW w:w="0" w:type="dxa"/>
            <w:vAlign w:val="bottom"/>
          </w:tcPr>
          <w:p>
            <w:pPr>
              <w:spacing w:after="0"/>
              <w:rPr>
                <w:sz w:val="1"/>
                <w:szCs w:val="1"/>
                <w:color w:val="auto"/>
              </w:rPr>
            </w:pPr>
          </w:p>
        </w:tc>
      </w:tr>
      <w:tr>
        <w:trPr>
          <w:trHeight w:val="252"/>
        </w:trPr>
        <w:tc>
          <w:tcPr>
            <w:tcW w:w="3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4,622,340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4,204,013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1,297,096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1,153,473</w:t>
            </w:r>
          </w:p>
        </w:tc>
        <w:tc>
          <w:tcPr>
            <w:tcW w:w="0" w:type="dxa"/>
            <w:vAlign w:val="bottom"/>
          </w:tcPr>
          <w:p>
            <w:pPr>
              <w:spacing w:after="0"/>
              <w:rPr>
                <w:sz w:val="1"/>
                <w:szCs w:val="1"/>
                <w:color w:val="auto"/>
              </w:rPr>
            </w:pPr>
          </w:p>
        </w:tc>
      </w:tr>
      <w:tr>
        <w:trPr>
          <w:trHeight w:val="212"/>
        </w:trPr>
        <w:tc>
          <w:tcPr>
            <w:tcW w:w="2940" w:type="dxa"/>
            <w:vAlign w:val="bottom"/>
            <w:gridSpan w:val="2"/>
          </w:tcPr>
          <w:p>
            <w:pPr>
              <w:ind w:left="140"/>
              <w:spacing w:after="0"/>
              <w:rPr>
                <w:sz w:val="20"/>
                <w:szCs w:val="20"/>
                <w:color w:val="auto"/>
              </w:rPr>
            </w:pPr>
            <w:r>
              <w:rPr>
                <w:rFonts w:ascii="Arial" w:cs="Arial" w:eastAsia="Arial" w:hAnsi="Arial"/>
                <w:sz w:val="18"/>
                <w:szCs w:val="18"/>
                <w:color w:val="auto"/>
                <w:w w:val="91"/>
              </w:rPr>
              <w:t>Savings and interest-bearing checking</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1,803,763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1,526,465</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Reciprocal</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556,185</w:t>
            </w:r>
          </w:p>
        </w:tc>
        <w:tc>
          <w:tcPr>
            <w:tcW w:w="0" w:type="dxa"/>
            <w:vAlign w:val="bottom"/>
          </w:tcPr>
          <w:p>
            <w:pPr>
              <w:spacing w:after="0"/>
              <w:rPr>
                <w:sz w:val="1"/>
                <w:szCs w:val="1"/>
                <w:color w:val="auto"/>
              </w:rPr>
            </w:pPr>
          </w:p>
        </w:tc>
      </w:tr>
      <w:tr>
        <w:trPr>
          <w:trHeight w:val="212"/>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Time</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312,085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287,402</w:t>
            </w:r>
          </w:p>
        </w:tc>
        <w:tc>
          <w:tcPr>
            <w:tcW w:w="0" w:type="dxa"/>
            <w:vAlign w:val="bottom"/>
          </w:tcPr>
          <w:p>
            <w:pPr>
              <w:spacing w:after="0"/>
              <w:rPr>
                <w:sz w:val="1"/>
                <w:szCs w:val="1"/>
                <w:color w:val="auto"/>
              </w:rPr>
            </w:pPr>
          </w:p>
        </w:tc>
      </w:tr>
      <w:tr>
        <w:trPr>
          <w:trHeight w:val="219"/>
        </w:trPr>
        <w:tc>
          <w:tcPr>
            <w:tcW w:w="2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Brokered time</w:t>
            </w:r>
          </w:p>
        </w:tc>
        <w:tc>
          <w:tcPr>
            <w:tcW w:w="580" w:type="dxa"/>
            <w:vAlign w:val="bottom"/>
            <w:tcBorders>
              <w:bottom w:val="single" w:sz="8" w:color="CCEEFF"/>
            </w:tcBorders>
            <w:shd w:val="clear" w:color="auto" w:fill="CCEEFF"/>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113,830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Total Deposits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4,012,068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3,637,355</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39,338</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39,281</w:t>
            </w: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39,575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39,524</w:t>
            </w:r>
          </w:p>
        </w:tc>
        <w:tc>
          <w:tcPr>
            <w:tcW w:w="0" w:type="dxa"/>
            <w:vAlign w:val="bottom"/>
          </w:tcPr>
          <w:p>
            <w:pPr>
              <w:spacing w:after="0"/>
              <w:rPr>
                <w:sz w:val="1"/>
                <w:szCs w:val="1"/>
                <w:color w:val="auto"/>
              </w:rPr>
            </w:pPr>
          </w:p>
        </w:tc>
      </w:tr>
      <w:tr>
        <w:trPr>
          <w:trHeight w:val="218"/>
        </w:trPr>
        <w:tc>
          <w:tcPr>
            <w:tcW w:w="2940" w:type="dxa"/>
            <w:vAlign w:val="bottom"/>
            <w:gridSpan w:val="2"/>
          </w:tcPr>
          <w:p>
            <w:pPr>
              <w:spacing w:after="0"/>
              <w:rPr>
                <w:sz w:val="20"/>
                <w:szCs w:val="20"/>
                <w:color w:val="auto"/>
              </w:rPr>
            </w:pPr>
            <w:r>
              <w:rPr>
                <w:rFonts w:ascii="Arial" w:cs="Arial" w:eastAsia="Arial" w:hAnsi="Arial"/>
                <w:sz w:val="18"/>
                <w:szCs w:val="18"/>
                <w:color w:val="auto"/>
                <w:w w:val="96"/>
              </w:rPr>
              <w:t>Accrued expenses and other liabilities</w:t>
            </w:r>
          </w:p>
        </w:tc>
        <w:tc>
          <w:tcPr>
            <w:tcW w:w="5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68,319</w:t>
            </w:r>
          </w:p>
        </w:tc>
        <w:tc>
          <w:tcPr>
            <w:tcW w:w="0" w:type="dxa"/>
            <w:vAlign w:val="bottom"/>
          </w:tcPr>
          <w:p>
            <w:pPr>
              <w:spacing w:after="0"/>
              <w:rPr>
                <w:sz w:val="1"/>
                <w:szCs w:val="1"/>
                <w:color w:val="auto"/>
              </w:rPr>
            </w:pPr>
          </w:p>
        </w:tc>
      </w:tr>
      <w:tr>
        <w:trPr>
          <w:trHeight w:val="219"/>
        </w:trPr>
        <w:tc>
          <w:tcPr>
            <w:tcW w:w="32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5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4,222,309</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3,814,491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940" w:type="dxa"/>
            <w:vAlign w:val="bottom"/>
            <w:gridSpan w:val="2"/>
          </w:tcPr>
          <w:p>
            <w:pPr>
              <w:spacing w:after="0"/>
              <w:rPr>
                <w:sz w:val="20"/>
                <w:szCs w:val="20"/>
                <w:color w:val="auto"/>
              </w:rPr>
            </w:pPr>
            <w:r>
              <w:rPr>
                <w:rFonts w:ascii="Arial" w:cs="Arial" w:eastAsia="Arial" w:hAnsi="Arial"/>
                <w:sz w:val="18"/>
                <w:szCs w:val="18"/>
                <w:color w:val="auto"/>
                <w:w w:val="95"/>
              </w:rPr>
              <w:t>Commitments and contingent liabilities</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20" w:type="dxa"/>
            <w:vAlign w:val="bottom"/>
            <w:gridSpan w:val="5"/>
          </w:tcPr>
          <w:p>
            <w:pPr>
              <w:ind w:left="140"/>
              <w:spacing w:after="0"/>
              <w:rPr>
                <w:sz w:val="20"/>
                <w:szCs w:val="20"/>
                <w:color w:val="auto"/>
              </w:rPr>
            </w:pPr>
            <w:r>
              <w:rPr>
                <w:rFonts w:ascii="Arial" w:cs="Arial" w:eastAsia="Arial" w:hAnsi="Arial"/>
                <w:sz w:val="18"/>
                <w:szCs w:val="18"/>
                <w:color w:val="auto"/>
              </w:rPr>
              <w:t>Preferred stock, no par value, 200,000 shares authorized; none issued or outstanding</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8620" w:type="dxa"/>
            <w:vAlign w:val="bottom"/>
            <w:gridSpan w:val="5"/>
            <w:shd w:val="clear" w:color="auto" w:fill="CCEEFF"/>
          </w:tcPr>
          <w:p>
            <w:pPr>
              <w:ind w:left="140"/>
              <w:spacing w:after="0" w:line="200" w:lineRule="exact"/>
              <w:rPr>
                <w:sz w:val="20"/>
                <w:szCs w:val="20"/>
                <w:color w:val="auto"/>
              </w:rPr>
            </w:pPr>
            <w:r>
              <w:rPr>
                <w:rFonts w:ascii="Arial" w:cs="Arial" w:eastAsia="Arial" w:hAnsi="Arial"/>
                <w:sz w:val="18"/>
                <w:szCs w:val="18"/>
                <w:color w:val="auto"/>
                <w:w w:val="88"/>
              </w:rPr>
              <w:t>Common stock, no par value, 500,000,000 shares authorized; issued and outstanding: 21,321,092 shares at September</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62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30, 2021 and 21,853,800 shares at December 31, 2020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326,390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339,353</w:t>
            </w:r>
          </w:p>
        </w:tc>
        <w:tc>
          <w:tcPr>
            <w:tcW w:w="0" w:type="dxa"/>
            <w:vAlign w:val="bottom"/>
          </w:tcPr>
          <w:p>
            <w:pPr>
              <w:spacing w:after="0"/>
              <w:rPr>
                <w:sz w:val="1"/>
                <w:szCs w:val="1"/>
                <w:color w:val="auto"/>
              </w:rPr>
            </w:pPr>
          </w:p>
        </w:tc>
      </w:tr>
      <w:tr>
        <w:trPr>
          <w:trHeight w:val="212"/>
        </w:trPr>
        <w:tc>
          <w:tcPr>
            <w:tcW w:w="294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66,543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40,145</w:t>
            </w:r>
          </w:p>
        </w:tc>
        <w:tc>
          <w:tcPr>
            <w:tcW w:w="0" w:type="dxa"/>
            <w:vAlign w:val="bottom"/>
          </w:tcPr>
          <w:p>
            <w:pPr>
              <w:spacing w:after="0"/>
              <w:rPr>
                <w:sz w:val="1"/>
                <w:szCs w:val="1"/>
                <w:color w:val="auto"/>
              </w:rPr>
            </w:pPr>
          </w:p>
        </w:tc>
      </w:tr>
      <w:tr>
        <w:trPr>
          <w:trHeight w:val="219"/>
        </w:trPr>
        <w:tc>
          <w:tcPr>
            <w:tcW w:w="8620" w:type="dxa"/>
            <w:vAlign w:val="bottom"/>
            <w:tcBorders>
              <w:bottom w:val="single" w:sz="8" w:color="CCEEFF"/>
            </w:tcBorders>
            <w:gridSpan w:val="5"/>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Total Shareholders’ Equity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400,031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389,522</w:t>
            </w:r>
          </w:p>
        </w:tc>
        <w:tc>
          <w:tcPr>
            <w:tcW w:w="0" w:type="dxa"/>
            <w:vAlign w:val="bottom"/>
          </w:tcPr>
          <w:p>
            <w:pPr>
              <w:spacing w:after="0"/>
              <w:rPr>
                <w:sz w:val="1"/>
                <w:szCs w:val="1"/>
                <w:color w:val="auto"/>
              </w:rPr>
            </w:pPr>
          </w:p>
        </w:tc>
      </w:tr>
      <w:tr>
        <w:trPr>
          <w:trHeight w:val="252"/>
        </w:trPr>
        <w:tc>
          <w:tcPr>
            <w:tcW w:w="3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Total Liabilities and Shareholders’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4,622,340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4,204,013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1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6"/>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7"/>
              </w:rPr>
              <w:t>Nine months ended</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32"/>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32"/>
              <w:spacing w:after="0"/>
              <w:rPr>
                <w:sz w:val="20"/>
                <w:szCs w:val="20"/>
                <w:color w:val="auto"/>
              </w:rPr>
            </w:pPr>
            <w:r>
              <w:rPr>
                <w:rFonts w:ascii="Arial" w:cs="Arial" w:eastAsia="Arial" w:hAnsi="Arial"/>
                <w:sz w:val="18"/>
                <w:szCs w:val="18"/>
                <w:color w:val="auto"/>
                <w:w w:val="91"/>
              </w:rPr>
              <w:t>(Unaudited)</w:t>
            </w:r>
          </w:p>
        </w:tc>
        <w:tc>
          <w:tcPr>
            <w:tcW w:w="7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8"/>
                <w:szCs w:val="18"/>
                <w:color w:val="auto"/>
                <w:w w:val="89"/>
              </w:rPr>
              <w:t>(Unaudited)</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3820" w:type="dxa"/>
            <w:vAlign w:val="bottom"/>
            <w:gridSpan w:val="9"/>
          </w:tcPr>
          <w:p>
            <w:pPr>
              <w:jc w:val="right"/>
              <w:ind w:right="20"/>
              <w:spacing w:after="0"/>
              <w:rPr>
                <w:sz w:val="20"/>
                <w:szCs w:val="20"/>
                <w:color w:val="auto"/>
              </w:rPr>
            </w:pPr>
            <w:r>
              <w:rPr>
                <w:rFonts w:ascii="Arial" w:cs="Arial" w:eastAsia="Arial" w:hAnsi="Arial"/>
                <w:sz w:val="18"/>
                <w:szCs w:val="18"/>
                <w:color w:val="auto"/>
              </w:rPr>
              <w:t>(In thousands, except per share amounts)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fees on loans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86,328</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Interest on securities available for sale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Tax-exempt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6"/>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tcPr>
          <w:p>
            <w:pPr>
              <w:jc w:val="right"/>
              <w:ind w:right="32"/>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35,034</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101,856</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104,367</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2,062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3,488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9,150</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borrowings and subordinated debt and debentures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6"/>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tcPr>
          <w:p>
            <w:pPr>
              <w:jc w:val="right"/>
              <w:ind w:right="32"/>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3,068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6,376</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11,748</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95,480</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tcPr>
          <w:p>
            <w:pPr>
              <w:spacing w:after="0"/>
              <w:rPr>
                <w:sz w:val="20"/>
                <w:szCs w:val="20"/>
                <w:color w:val="auto"/>
              </w:rPr>
            </w:pPr>
            <w:r>
              <w:rPr>
                <w:rFonts w:ascii="Arial" w:cs="Arial" w:eastAsia="Arial" w:hAnsi="Arial"/>
                <w:sz w:val="18"/>
                <w:szCs w:val="18"/>
                <w:color w:val="auto"/>
              </w:rPr>
              <w:t>Provision for credit losses (1)</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(2,558)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218"/>
        </w:trPr>
        <w:tc>
          <w:tcPr>
            <w:tcW w:w="5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Net Interest Income After Provision for Credit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98,038</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7,178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20,205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30,280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46,687</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4,476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5,698</w:t>
            </w:r>
          </w:p>
        </w:tc>
        <w:tc>
          <w:tcPr>
            <w:tcW w:w="0" w:type="dxa"/>
            <w:vAlign w:val="bottom"/>
          </w:tcPr>
          <w:p>
            <w:pPr>
              <w:spacing w:after="0"/>
              <w:rPr>
                <w:sz w:val="1"/>
                <w:szCs w:val="1"/>
                <w:color w:val="auto"/>
              </w:rPr>
            </w:pPr>
          </w:p>
        </w:tc>
      </w:tr>
      <w:tr>
        <w:trPr>
          <w:trHeight w:val="26"/>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tcPr>
          <w:p>
            <w:pPr>
              <w:jc w:val="right"/>
              <w:ind w:right="32"/>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19,695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27,011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60,872</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58,382</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Compensation and employee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60,064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Data processing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Occupancy,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6,578</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Interchange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3,112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 and collection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2,341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related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Legal and professional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1,534</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FDIC deposit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5,826</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6"/>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60" w:type="dxa"/>
            <w:vAlign w:val="bottom"/>
          </w:tcPr>
          <w:p>
            <w:pPr>
              <w:jc w:val="right"/>
              <w:ind w:right="32"/>
              <w:spacing w:after="0"/>
              <w:rPr>
                <w:sz w:val="20"/>
                <w:szCs w:val="20"/>
                <w:color w:val="auto"/>
              </w:rPr>
            </w:pPr>
            <w:r>
              <w:rPr>
                <w:rFonts w:ascii="Arial" w:cs="Arial" w:eastAsia="Arial" w:hAnsi="Arial"/>
                <w:sz w:val="18"/>
                <w:szCs w:val="18"/>
                <w:color w:val="auto"/>
              </w:rPr>
              <w:t>Total Non-interest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33,641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97,069</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89,706</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Income Before Income Tax</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61,841</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11,454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50,387</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tcPr>
          <w:p>
            <w:pPr>
              <w:ind w:left="140"/>
              <w:spacing w:after="0" w:line="205" w:lineRule="exact"/>
              <w:rPr>
                <w:sz w:val="20"/>
                <w:szCs w:val="20"/>
                <w:color w:val="auto"/>
              </w:rPr>
            </w:pPr>
            <w:r>
              <w:rPr>
                <w:rFonts w:ascii="Arial" w:cs="Arial" w:eastAsia="Arial" w:hAnsi="Arial"/>
                <w:sz w:val="18"/>
                <w:szCs w:val="18"/>
                <w:color w:val="auto"/>
              </w:rPr>
              <w:t>Diluted</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0.73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ind w:right="212"/>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0.89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2.30</w:t>
            </w:r>
          </w:p>
        </w:tc>
        <w:tc>
          <w:tcPr>
            <w:tcW w:w="360" w:type="dxa"/>
            <w:vAlign w:val="bottom"/>
          </w:tcPr>
          <w:p>
            <w:pPr>
              <w:jc w:val="right"/>
              <w:ind w:right="172"/>
              <w:spacing w:after="0" w:line="205"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Comprehensive Income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72"/>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40"/>
              <w:spacing w:after="0"/>
              <w:rPr>
                <w:sz w:val="20"/>
                <w:szCs w:val="20"/>
                <w:color w:val="auto"/>
              </w:rPr>
            </w:pPr>
            <w:r>
              <w:rPr>
                <w:rFonts w:ascii="Arial" w:cs="Arial" w:eastAsia="Arial" w:hAnsi="Arial"/>
                <w:sz w:val="18"/>
                <w:szCs w:val="18"/>
                <w:color w:val="auto"/>
              </w:rPr>
              <w:t>Nine months ended</w:t>
            </w: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72"/>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8"/>
                <w:szCs w:val="18"/>
                <w:color w:val="auto"/>
              </w:rPr>
            </w:pPr>
          </w:p>
        </w:tc>
        <w:tc>
          <w:tcPr>
            <w:tcW w:w="2300" w:type="dxa"/>
            <w:vAlign w:val="bottom"/>
            <w:gridSpan w:val="5"/>
          </w:tcPr>
          <w:p>
            <w:pPr>
              <w:jc w:val="right"/>
              <w:ind w:right="820"/>
              <w:spacing w:after="0"/>
              <w:rPr>
                <w:sz w:val="20"/>
                <w:szCs w:val="20"/>
                <w:color w:val="auto"/>
              </w:rPr>
            </w:pPr>
            <w:r>
              <w:rPr>
                <w:rFonts w:ascii="Arial" w:cs="Arial" w:eastAsia="Arial" w:hAnsi="Arial"/>
                <w:sz w:val="18"/>
                <w:szCs w:val="18"/>
                <w:color w:val="auto"/>
              </w:rPr>
              <w:t>September 30,</w:t>
            </w: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4"/>
              </w:rPr>
              <w:t>(Unaudited -</w:t>
            </w:r>
          </w:p>
        </w:tc>
        <w:tc>
          <w:tcPr>
            <w:tcW w:w="220" w:type="dxa"/>
            <w:vAlign w:val="bottom"/>
          </w:tcPr>
          <w:p>
            <w:pPr>
              <w:jc w:val="right"/>
              <w:spacing w:after="0"/>
              <w:rPr>
                <w:sz w:val="20"/>
                <w:szCs w:val="20"/>
                <w:color w:val="auto"/>
              </w:rPr>
            </w:pPr>
            <w:r>
              <w:rPr>
                <w:rFonts w:ascii="Arial" w:cs="Arial" w:eastAsia="Arial" w:hAnsi="Arial"/>
                <w:sz w:val="18"/>
                <w:szCs w:val="18"/>
                <w:color w:val="auto"/>
              </w:rPr>
              <w:t>In</w:t>
            </w:r>
          </w:p>
        </w:tc>
        <w:tc>
          <w:tcPr>
            <w:tcW w:w="1120" w:type="dxa"/>
            <w:vAlign w:val="bottom"/>
            <w:gridSpan w:val="2"/>
          </w:tcPr>
          <w:p>
            <w:pPr>
              <w:jc w:val="right"/>
              <w:ind w:right="232"/>
              <w:spacing w:after="0"/>
              <w:rPr>
                <w:sz w:val="20"/>
                <w:szCs w:val="20"/>
                <w:color w:val="auto"/>
              </w:rPr>
            </w:pPr>
            <w:r>
              <w:rPr>
                <w:rFonts w:ascii="Arial" w:cs="Arial" w:eastAsia="Arial" w:hAnsi="Arial"/>
                <w:sz w:val="18"/>
                <w:szCs w:val="18"/>
                <w:color w:val="auto"/>
                <w:w w:val="87"/>
              </w:rPr>
              <w:t>thousands)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19,584</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50,387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39,166</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9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Unrealized gains (losses) arising during period</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2,675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12,599</w:t>
            </w:r>
          </w:p>
        </w:tc>
      </w:tr>
      <w:tr>
        <w:trPr>
          <w:trHeight w:val="200"/>
        </w:trPr>
        <w:tc>
          <w:tcPr>
            <w:tcW w:w="5960" w:type="dxa"/>
            <w:vAlign w:val="bottom"/>
            <w:tcBorders>
              <w:right w:val="single" w:sz="8" w:color="CCEEFF"/>
            </w:tcBorders>
            <w:shd w:val="clear" w:color="auto" w:fill="CCEEFF"/>
          </w:tcPr>
          <w:p>
            <w:pPr>
              <w:ind w:left="320"/>
              <w:spacing w:after="0" w:line="200" w:lineRule="exact"/>
              <w:rPr>
                <w:sz w:val="20"/>
                <w:szCs w:val="20"/>
                <w:color w:val="auto"/>
              </w:rPr>
            </w:pPr>
            <w:r>
              <w:rPr>
                <w:rFonts w:ascii="Arial" w:cs="Arial" w:eastAsia="Arial" w:hAnsi="Arial"/>
                <w:sz w:val="18"/>
                <w:szCs w:val="18"/>
                <w:color w:val="auto"/>
                <w:w w:val="98"/>
              </w:rPr>
              <w:t>Change in unrealized gains and losses for which a portion of other than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96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temporary impairment has been recognized in earnings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8"/>
        </w:trPr>
        <w:tc>
          <w:tcPr>
            <w:tcW w:w="5960" w:type="dxa"/>
            <w:vAlign w:val="bottom"/>
          </w:tcPr>
          <w:p>
            <w:pPr>
              <w:ind w:left="320"/>
              <w:spacing w:after="0"/>
              <w:rPr>
                <w:sz w:val="20"/>
                <w:szCs w:val="20"/>
                <w:color w:val="auto"/>
              </w:rPr>
            </w:pPr>
            <w:r>
              <w:rPr>
                <w:rFonts w:ascii="Arial" w:cs="Arial" w:eastAsia="Arial" w:hAnsi="Arial"/>
                <w:sz w:val="18"/>
                <w:szCs w:val="18"/>
                <w:color w:val="auto"/>
              </w:rPr>
              <w:t>Reclassification adjustments for gains included in earnings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00"/>
        </w:trPr>
        <w:tc>
          <w:tcPr>
            <w:tcW w:w="5960" w:type="dxa"/>
            <w:vAlign w:val="bottom"/>
            <w:tcBorders>
              <w:right w:val="single" w:sz="8" w:color="CCEEFF"/>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w w:val="97"/>
              </w:rPr>
              <w:t>Unrealized gains (losses) recognized in other comprehensive income (loss)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9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on securities available for sale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2,690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12,280</w:t>
            </w:r>
          </w:p>
        </w:tc>
      </w:tr>
      <w:tr>
        <w:trPr>
          <w:trHeight w:val="218"/>
        </w:trPr>
        <w:tc>
          <w:tcPr>
            <w:tcW w:w="5960" w:type="dxa"/>
            <w:vAlign w:val="bottom"/>
          </w:tcPr>
          <w:p>
            <w:pPr>
              <w:ind w:left="48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565</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r>
      <w:tr>
        <w:trPr>
          <w:trHeight w:val="200"/>
        </w:trPr>
        <w:tc>
          <w:tcPr>
            <w:tcW w:w="5960" w:type="dxa"/>
            <w:vAlign w:val="bottom"/>
            <w:tcBorders>
              <w:right w:val="single" w:sz="8" w:color="CCEEFF"/>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w w:val="93"/>
              </w:rPr>
              <w:t>Unrealized gains (losses)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1"/>
        </w:trPr>
        <w:tc>
          <w:tcPr>
            <w:tcW w:w="59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securities available for sale, net of tax</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2,125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w:t>
            </w:r>
          </w:p>
        </w:tc>
      </w:tr>
      <w:tr>
        <w:trPr>
          <w:trHeight w:val="212"/>
        </w:trPr>
        <w:tc>
          <w:tcPr>
            <w:tcW w:w="59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59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Unrealized losses arising during period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19"/>
        </w:trPr>
        <w:tc>
          <w:tcPr>
            <w:tcW w:w="5960" w:type="dxa"/>
            <w:vAlign w:val="bottom"/>
          </w:tcPr>
          <w:p>
            <w:pPr>
              <w:ind w:left="320"/>
              <w:spacing w:after="0"/>
              <w:rPr>
                <w:sz w:val="20"/>
                <w:szCs w:val="20"/>
                <w:color w:val="auto"/>
              </w:rPr>
            </w:pPr>
            <w:r>
              <w:rPr>
                <w:rFonts w:ascii="Arial" w:cs="Arial" w:eastAsia="Arial" w:hAnsi="Arial"/>
                <w:sz w:val="18"/>
                <w:szCs w:val="18"/>
                <w:color w:val="auto"/>
              </w:rPr>
              <w:t>Reclassification adjustment for expense recognized in earnings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00"/>
        </w:trPr>
        <w:tc>
          <w:tcPr>
            <w:tcW w:w="5960" w:type="dxa"/>
            <w:vAlign w:val="bottom"/>
            <w:tcBorders>
              <w:right w:val="single" w:sz="8" w:color="CCEEFF"/>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Unrealized gains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9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18"/>
        </w:trPr>
        <w:tc>
          <w:tcPr>
            <w:tcW w:w="5960" w:type="dxa"/>
            <w:vAlign w:val="bottom"/>
          </w:tcPr>
          <w:p>
            <w:pPr>
              <w:ind w:left="48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00"/>
        </w:trPr>
        <w:tc>
          <w:tcPr>
            <w:tcW w:w="5960" w:type="dxa"/>
            <w:vAlign w:val="bottom"/>
            <w:tcBorders>
              <w:right w:val="single" w:sz="8" w:color="CCEEFF"/>
            </w:tcBorders>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Unrealized gains recognized in other comprehensive income (loss) on</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9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derivative instruments, net of tax</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r>
      <w:tr>
        <w:trPr>
          <w:trHeight w:val="27"/>
        </w:trPr>
        <w:tc>
          <w:tcPr>
            <w:tcW w:w="59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8"/>
        </w:trPr>
        <w:tc>
          <w:tcPr>
            <w:tcW w:w="5960" w:type="dxa"/>
            <w:vAlign w:val="bottom"/>
          </w:tcPr>
          <w:p>
            <w:pPr>
              <w:jc w:val="right"/>
              <w:ind w:right="32"/>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2,350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9,932</w:t>
            </w:r>
          </w:p>
        </w:tc>
      </w:tr>
      <w:tr>
        <w:trPr>
          <w:trHeight w:val="252"/>
        </w:trPr>
        <w:tc>
          <w:tcPr>
            <w:tcW w:w="5960" w:type="dxa"/>
            <w:vAlign w:val="bottom"/>
            <w:tcBorders>
              <w:bottom w:val="single" w:sz="8" w:color="CCEEFF"/>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14,644</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20" w:type="dxa"/>
            <w:vAlign w:val="bottom"/>
            <w:gridSpan w:val="4"/>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5"/>
        </w:trPr>
        <w:tc>
          <w:tcPr>
            <w:tcW w:w="320" w:type="dxa"/>
            <w:vAlign w:val="bottom"/>
            <w:tcBorders>
              <w:top w:val="single" w:sz="8" w:color="0000EE"/>
            </w:tcBorders>
          </w:tcPr>
          <w:p>
            <w:pPr>
              <w:spacing w:after="0"/>
              <w:rPr>
                <w:sz w:val="24"/>
                <w:szCs w:val="24"/>
                <w:color w:val="auto"/>
              </w:rPr>
            </w:pPr>
          </w:p>
        </w:tc>
        <w:tc>
          <w:tcPr>
            <w:tcW w:w="8300" w:type="dxa"/>
            <w:vAlign w:val="bottom"/>
            <w:gridSpan w:val="3"/>
          </w:tcPr>
          <w:p>
            <w:pPr>
              <w:jc w:val="right"/>
              <w:ind w:right="640"/>
              <w:spacing w:after="0"/>
              <w:rPr>
                <w:sz w:val="20"/>
                <w:szCs w:val="20"/>
                <w:color w:val="auto"/>
              </w:rPr>
            </w:pPr>
            <w:r>
              <w:rPr>
                <w:rFonts w:ascii="Arial" w:cs="Arial" w:eastAsia="Arial" w:hAnsi="Arial"/>
                <w:sz w:val="18"/>
                <w:szCs w:val="18"/>
                <w:color w:val="auto"/>
              </w:rPr>
              <w:t>INDEPENDENT BANK CORPORATION AND SUBSIDIARIES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3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20" w:type="dxa"/>
            <w:vAlign w:val="bottom"/>
            <w:gridSpan w:val="2"/>
          </w:tcPr>
          <w:p>
            <w:pPr>
              <w:jc w:val="right"/>
              <w:ind w:right="1180"/>
              <w:spacing w:after="0" w:line="185" w:lineRule="exact"/>
              <w:rPr>
                <w:sz w:val="20"/>
                <w:szCs w:val="20"/>
                <w:color w:val="auto"/>
              </w:rPr>
            </w:pPr>
            <w:r>
              <w:rPr>
                <w:rFonts w:ascii="Arial" w:cs="Arial" w:eastAsia="Arial" w:hAnsi="Arial"/>
                <w:sz w:val="18"/>
                <w:szCs w:val="18"/>
                <w:color w:val="auto"/>
                <w:w w:val="86"/>
              </w:rPr>
              <w:t>Condensed Consolidated Statements of Cash Flows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50"/>
        </w:trPr>
        <w:tc>
          <w:tcPr>
            <w:tcW w:w="3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7"/>
          </w:tcPr>
          <w:p>
            <w:pPr>
              <w:jc w:val="right"/>
              <w:ind w:right="120"/>
              <w:spacing w:after="0"/>
              <w:rPr>
                <w:sz w:val="20"/>
                <w:szCs w:val="20"/>
                <w:color w:val="auto"/>
              </w:rPr>
            </w:pPr>
            <w:r>
              <w:rPr>
                <w:rFonts w:ascii="Arial" w:cs="Arial" w:eastAsia="Arial" w:hAnsi="Arial"/>
                <w:sz w:val="18"/>
                <w:szCs w:val="18"/>
                <w:color w:val="auto"/>
                <w:w w:val="86"/>
              </w:rPr>
              <w:t>Nine months ended September 30,</w:t>
            </w:r>
          </w:p>
        </w:tc>
      </w:tr>
      <w:tr>
        <w:trPr>
          <w:trHeight w:val="218"/>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jc w:val="right"/>
              <w:ind w:right="380"/>
              <w:spacing w:after="0"/>
              <w:rPr>
                <w:sz w:val="20"/>
                <w:szCs w:val="20"/>
                <w:color w:val="auto"/>
              </w:rPr>
            </w:pPr>
            <w:r>
              <w:rPr>
                <w:rFonts w:ascii="Arial" w:cs="Arial" w:eastAsia="Arial" w:hAnsi="Arial"/>
                <w:sz w:val="18"/>
                <w:szCs w:val="18"/>
                <w:color w:val="auto"/>
                <w:w w:val="92"/>
              </w:rPr>
              <w:t>(Unaudited - In thousands)</w:t>
            </w:r>
          </w:p>
        </w:tc>
      </w:tr>
      <w:tr>
        <w:trPr>
          <w:trHeight w:val="218"/>
        </w:trPr>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50,387</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39,166</w:t>
            </w:r>
          </w:p>
        </w:tc>
      </w:tr>
      <w:tr>
        <w:trPr>
          <w:trHeight w:val="212"/>
        </w:trPr>
        <w:tc>
          <w:tcPr>
            <w:tcW w:w="862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sales of loans held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986,440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1,074,284</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Disbursements for loans held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(952,038)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(1,057,544)</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Provision for credit losses (1)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12,884</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Deferred income tax expense (benefit)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820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(2,140)</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deferred loan fees (costs)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w w:val="91"/>
              </w:rPr>
              <w:t>Net depreciation, amortization of intangible assets and premiums and accretion of discounts on securities and loans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9,276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5,962</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gains on mortgage loans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(30,280)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(46,687)</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Net gains on securities available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Share based compensation</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Increase in accrued income and other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(10,537)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(1,564)</w:t>
            </w:r>
          </w:p>
        </w:tc>
      </w:tr>
      <w:tr>
        <w:trPr>
          <w:trHeight w:val="218"/>
        </w:trPr>
        <w:tc>
          <w:tcPr>
            <w:tcW w:w="86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Increase in accrued expenses and other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3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820" w:type="dxa"/>
            <w:vAlign w:val="bottom"/>
            <w:gridSpan w:val="2"/>
          </w:tcPr>
          <w:p>
            <w:pPr>
              <w:jc w:val="right"/>
              <w:ind w:right="60"/>
              <w:spacing w:after="0"/>
              <w:rPr>
                <w:sz w:val="20"/>
                <w:szCs w:val="20"/>
                <w:color w:val="auto"/>
              </w:rPr>
            </w:pPr>
            <w:r>
              <w:rPr>
                <w:rFonts w:ascii="Arial" w:cs="Arial" w:eastAsia="Arial" w:hAnsi="Arial"/>
                <w:sz w:val="18"/>
                <w:szCs w:val="18"/>
                <w:color w:val="auto"/>
              </w:rPr>
              <w:t>Total Adjustments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5,525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r>
      <w:tr>
        <w:trPr>
          <w:trHeight w:val="218"/>
        </w:trPr>
        <w:tc>
          <w:tcPr>
            <w:tcW w:w="32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Cash From Operating Activities</w:t>
            </w:r>
          </w:p>
        </w:tc>
        <w:tc>
          <w:tcPr>
            <w:tcW w:w="6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55,912</w:t>
            </w:r>
          </w:p>
        </w:tc>
        <w:tc>
          <w:tcPr>
            <w:tcW w:w="1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38,238</w:t>
            </w:r>
          </w:p>
        </w:tc>
        <w:tc>
          <w:tcPr>
            <w:tcW w:w="100" w:type="dxa"/>
            <w:vAlign w:val="bottom"/>
            <w:shd w:val="clear" w:color="auto" w:fill="CCEEFF"/>
          </w:tcPr>
          <w:p>
            <w:pPr>
              <w:spacing w:after="0"/>
              <w:rPr>
                <w:sz w:val="19"/>
                <w:szCs w:val="19"/>
                <w:color w:val="auto"/>
              </w:rPr>
            </w:pPr>
          </w:p>
        </w:tc>
      </w:tr>
      <w:tr>
        <w:trPr>
          <w:trHeight w:val="212"/>
        </w:trPr>
        <w:tc>
          <w:tcPr>
            <w:tcW w:w="862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Cash Flow Used in Investing Activities</w:t>
            </w: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the sale of securities available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36,593</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Proceeds from maturities, prepayments and calls of securities available for sale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306,515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197,098</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Purchases of securities available for sale</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(648,113)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(639,166)</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Proceeds from the maturity of interest bearing deposits - time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Purchase of Federal Home Loan Bank stock</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Net increase in portfolio loans (loans originated, net of principal payments)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(142,164)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(167,506)</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the sale of portfolio loans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Proceeds from bank-owned life insurance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1,441</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the sale of other real estate and repossessed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r>
      <w:tr>
        <w:trPr>
          <w:trHeight w:val="219"/>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Capital expenditures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(4,538)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(2,603)</w:t>
            </w:r>
          </w:p>
        </w:tc>
      </w:tr>
      <w:tr>
        <w:trPr>
          <w:trHeight w:val="218"/>
        </w:trPr>
        <w:tc>
          <w:tcPr>
            <w:tcW w:w="32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Cash Used in Investing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(395,609)</w:t>
            </w: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20" w:type="dxa"/>
            <w:vAlign w:val="bottom"/>
            <w:gridSpan w:val="4"/>
          </w:tcPr>
          <w:p>
            <w:pPr>
              <w:spacing w:after="0"/>
              <w:rPr>
                <w:sz w:val="20"/>
                <w:szCs w:val="20"/>
                <w:color w:val="auto"/>
              </w:rPr>
            </w:pPr>
            <w:r>
              <w:rPr>
                <w:rFonts w:ascii="Arial" w:cs="Arial" w:eastAsia="Arial" w:hAnsi="Arial"/>
                <w:sz w:val="18"/>
                <w:szCs w:val="18"/>
                <w:color w:val="auto"/>
              </w:rPr>
              <w:t>Cash Flow From Financing Activities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Net increase in total deposits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374,713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561,018</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Net decrease in other borrowings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(25,001)</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Federal Home Loan Bank Advances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239,254</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Payments of Federal Home Loan Bank Advances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(272,910)</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issuance of subordinated debt, net of issuance costs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39,236</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Dividends paid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(13,686)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(13,239)</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Repurchase of common stock</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(13,773)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18"/>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Share based compensation withholding obligation</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r>
      <w:tr>
        <w:trPr>
          <w:trHeight w:val="219"/>
        </w:trPr>
        <w:tc>
          <w:tcPr>
            <w:tcW w:w="320" w:type="dxa"/>
            <w:vAlign w:val="bottom"/>
            <w:tcBorders>
              <w:top w:val="single" w:sz="8" w:color="CCEEFF"/>
            </w:tcBorders>
          </w:tcPr>
          <w:p>
            <w:pPr>
              <w:spacing w:after="0"/>
              <w:rPr>
                <w:sz w:val="19"/>
                <w:szCs w:val="19"/>
                <w:color w:val="auto"/>
              </w:rPr>
            </w:pPr>
          </w:p>
        </w:tc>
        <w:tc>
          <w:tcPr>
            <w:tcW w:w="3480" w:type="dxa"/>
            <w:vAlign w:val="bottom"/>
            <w:tcBorders>
              <w:top w:val="single" w:sz="8" w:color="CCEEFF"/>
            </w:tcBorders>
          </w:tcPr>
          <w:p>
            <w:pPr>
              <w:spacing w:after="0"/>
              <w:rPr>
                <w:sz w:val="19"/>
                <w:szCs w:val="19"/>
                <w:color w:val="auto"/>
              </w:rPr>
            </w:pPr>
          </w:p>
        </w:tc>
        <w:tc>
          <w:tcPr>
            <w:tcW w:w="48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Net Cash From Financing Activities</w:t>
            </w:r>
          </w:p>
        </w:tc>
        <w:tc>
          <w:tcPr>
            <w:tcW w:w="6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346,613</w:t>
            </w:r>
          </w:p>
        </w:tc>
        <w:tc>
          <w:tcPr>
            <w:tcW w:w="20" w:type="dxa"/>
            <w:vAlign w:val="bottom"/>
            <w:tcBorders>
              <w:top w:val="single" w:sz="8" w:color="CCEEFF"/>
              <w:bottom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513,916</w:t>
            </w:r>
          </w:p>
        </w:tc>
        <w:tc>
          <w:tcPr>
            <w:tcW w:w="100" w:type="dxa"/>
            <w:vAlign w:val="bottom"/>
            <w:tcBorders>
              <w:top w:val="single" w:sz="8" w:color="CCEEFF"/>
            </w:tcBorders>
          </w:tcPr>
          <w:p>
            <w:pPr>
              <w:spacing w:after="0"/>
              <w:rPr>
                <w:sz w:val="19"/>
                <w:szCs w:val="19"/>
                <w:color w:val="auto"/>
              </w:rPr>
            </w:pPr>
          </w:p>
        </w:tc>
      </w:tr>
      <w:tr>
        <w:trPr>
          <w:trHeight w:val="212"/>
        </w:trPr>
        <w:tc>
          <w:tcPr>
            <w:tcW w:w="3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Net Increase (Decrease) in Cash and Cash Equivalents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spacing w:after="0"/>
              <w:rPr>
                <w:sz w:val="18"/>
                <w:szCs w:val="18"/>
                <w:color w:val="auto"/>
              </w:rPr>
            </w:pPr>
          </w:p>
        </w:tc>
      </w:tr>
      <w:tr>
        <w:trPr>
          <w:trHeight w:val="219"/>
        </w:trPr>
        <w:tc>
          <w:tcPr>
            <w:tcW w:w="862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Period</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118,705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65,304</w:t>
            </w:r>
          </w:p>
        </w:tc>
      </w:tr>
      <w:tr>
        <w:trPr>
          <w:trHeight w:val="252"/>
        </w:trPr>
        <w:tc>
          <w:tcPr>
            <w:tcW w:w="32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4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Cash and Cash Equivalents at End of Period</w:t>
            </w:r>
          </w:p>
        </w:tc>
        <w:tc>
          <w:tcPr>
            <w:tcW w:w="6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125,621</w:t>
            </w:r>
          </w:p>
        </w:tc>
        <w:tc>
          <w:tcPr>
            <w:tcW w:w="18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46,556</w:t>
            </w:r>
          </w:p>
        </w:tc>
        <w:tc>
          <w:tcPr>
            <w:tcW w:w="100" w:type="dxa"/>
            <w:vAlign w:val="bottom"/>
            <w:shd w:val="clear" w:color="auto" w:fill="CCEEFF"/>
          </w:tcPr>
          <w:p>
            <w:pPr>
              <w:spacing w:after="0"/>
              <w:rPr>
                <w:sz w:val="21"/>
                <w:szCs w:val="21"/>
                <w:color w:val="auto"/>
              </w:rPr>
            </w:pPr>
          </w:p>
        </w:tc>
      </w:tr>
      <w:tr>
        <w:trPr>
          <w:trHeight w:val="205"/>
        </w:trPr>
        <w:tc>
          <w:tcPr>
            <w:tcW w:w="8620" w:type="dxa"/>
            <w:vAlign w:val="bottom"/>
            <w:tcBorders>
              <w:top w:val="single" w:sz="8" w:color="CCEEFF"/>
            </w:tcBorders>
            <w:gridSpan w:val="4"/>
          </w:tcPr>
          <w:p>
            <w:pPr>
              <w:spacing w:after="0" w:line="205" w:lineRule="exact"/>
              <w:rPr>
                <w:sz w:val="20"/>
                <w:szCs w:val="20"/>
                <w:color w:val="auto"/>
              </w:rPr>
            </w:pPr>
            <w:r>
              <w:rPr>
                <w:rFonts w:ascii="Arial" w:cs="Arial" w:eastAsia="Arial" w:hAnsi="Arial"/>
                <w:sz w:val="18"/>
                <w:szCs w:val="18"/>
                <w:color w:val="auto"/>
              </w:rPr>
              <w:t>Cash paid during the period for</w:t>
            </w: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Interest</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11,636</w:t>
            </w:r>
          </w:p>
        </w:tc>
      </w:tr>
      <w:tr>
        <w:trPr>
          <w:trHeight w:val="212"/>
        </w:trPr>
        <w:tc>
          <w:tcPr>
            <w:tcW w:w="8620" w:type="dxa"/>
            <w:vAlign w:val="bottom"/>
            <w:gridSpan w:val="4"/>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12,059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10,500</w:t>
            </w:r>
          </w:p>
        </w:tc>
      </w:tr>
      <w:tr>
        <w:trPr>
          <w:trHeight w:val="212"/>
        </w:trPr>
        <w:tc>
          <w:tcPr>
            <w:tcW w:w="86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12"/>
        </w:trPr>
        <w:tc>
          <w:tcPr>
            <w:tcW w:w="8620" w:type="dxa"/>
            <w:vAlign w:val="bottom"/>
            <w:gridSpan w:val="4"/>
          </w:tcPr>
          <w:p>
            <w:pPr>
              <w:spacing w:after="0"/>
              <w:rPr>
                <w:sz w:val="20"/>
                <w:szCs w:val="20"/>
                <w:color w:val="auto"/>
              </w:rPr>
            </w:pPr>
            <w:r>
              <w:rPr>
                <w:rFonts w:ascii="Arial" w:cs="Arial" w:eastAsia="Arial" w:hAnsi="Arial"/>
                <w:sz w:val="18"/>
                <w:szCs w:val="18"/>
                <w:color w:val="auto"/>
              </w:rPr>
              <w:t>Transfers to other real estate and repossessed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12"/>
        </w:trPr>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of securities available for sale not yet settled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28,078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23,844</w:t>
            </w:r>
          </w:p>
        </w:tc>
      </w:tr>
      <w:tr>
        <w:trPr>
          <w:trHeight w:val="212"/>
        </w:trPr>
        <w:tc>
          <w:tcPr>
            <w:tcW w:w="8620" w:type="dxa"/>
            <w:vAlign w:val="bottom"/>
            <w:gridSpan w:val="4"/>
          </w:tcPr>
          <w:p>
            <w:pPr>
              <w:spacing w:after="0"/>
              <w:rPr>
                <w:sz w:val="20"/>
                <w:szCs w:val="20"/>
                <w:color w:val="auto"/>
              </w:rPr>
            </w:pPr>
            <w:r>
              <w:rPr>
                <w:rFonts w:ascii="Arial" w:cs="Arial" w:eastAsia="Arial" w:hAnsi="Arial"/>
                <w:sz w:val="18"/>
                <w:szCs w:val="18"/>
                <w:color w:val="auto"/>
              </w:rPr>
              <w:t>Securitization of portfolio loans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26,325</w:t>
            </w:r>
          </w:p>
        </w:tc>
      </w:tr>
      <w:tr>
        <w:trPr>
          <w:trHeight w:val="212"/>
        </w:trPr>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ectPr>
          <w:pgSz w:w="11900" w:h="16838" w:orient="portrait"/>
          <w:cols w:equalWidth="0" w:num="1">
            <w:col w:w="11240"/>
          </w:cols>
          <w:pgMar w:left="320" w:top="11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Condensed Consolidated Statements of Shareholders’ Equity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Other</w:t>
            </w:r>
          </w:p>
        </w:tc>
        <w:tc>
          <w:tcPr>
            <w:tcW w:w="300" w:type="dxa"/>
            <w:vAlign w:val="bottom"/>
          </w:tcPr>
          <w:p>
            <w:pPr>
              <w:spacing w:after="0"/>
              <w:rPr>
                <w:sz w:val="18"/>
                <w:szCs w:val="18"/>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Total</w:t>
            </w:r>
          </w:p>
        </w:tc>
      </w:tr>
      <w:tr>
        <w:trPr>
          <w:trHeight w:val="212"/>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Shareholders’</w:t>
            </w:r>
          </w:p>
        </w:tc>
      </w:tr>
      <w:tr>
        <w:trPr>
          <w:trHeight w:val="231"/>
        </w:trPr>
        <w:tc>
          <w:tcPr>
            <w:tcW w:w="5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8"/>
              </w:rPr>
              <w:t>Earnings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20"/>
                <w:szCs w:val="20"/>
                <w:color w:val="auto"/>
              </w:rPr>
            </w:pPr>
          </w:p>
        </w:tc>
      </w:tr>
      <w:tr>
        <w:trPr>
          <w:trHeight w:val="212"/>
        </w:trPr>
        <w:tc>
          <w:tcPr>
            <w:tcW w:w="5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gridSpan w:val="10"/>
          </w:tcPr>
          <w:p>
            <w:pPr>
              <w:jc w:val="right"/>
              <w:spacing w:after="0"/>
              <w:rPr>
                <w:sz w:val="20"/>
                <w:szCs w:val="20"/>
                <w:color w:val="auto"/>
              </w:rPr>
            </w:pPr>
            <w:r>
              <w:rPr>
                <w:rFonts w:ascii="Arial" w:cs="Arial" w:eastAsia="Arial" w:hAnsi="Arial"/>
                <w:sz w:val="18"/>
                <w:szCs w:val="18"/>
                <w:color w:val="auto"/>
              </w:rPr>
              <w:t>(Dollars in thousands, except per share amounts)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1,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332,457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395,974</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Net income, three months ended 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15,962</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15,962</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$0.21 per share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(4,520)</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Repurchase of 315,345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(6,488)</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1,200 shares of common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Share based compensation (issuance of 6,268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00"/>
        </w:trPr>
        <w:tc>
          <w:tcPr>
            <w:tcW w:w="5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Share based compensation withholding obligation (withholding of 3,943 shares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r>
      <w:tr>
        <w:trPr>
          <w:trHeight w:val="218"/>
        </w:trPr>
        <w:tc>
          <w:tcPr>
            <w:tcW w:w="5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(1,318)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r>
      <w:tr>
        <w:trPr>
          <w:trHeight w:val="25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326,390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58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338,989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355,123</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Net income, three months ended September 30, 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19,584</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19,584</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$0.20 per share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(4,384)</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w w:val="99"/>
              </w:rPr>
              <w:t>Share based compensation (issuance of 10,583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r>
        <w:trPr>
          <w:trHeight w:val="200"/>
        </w:trPr>
        <w:tc>
          <w:tcPr>
            <w:tcW w:w="5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0"/>
              </w:rPr>
              <w:t>Share based compensation withholding obligation (withholding of 5,398 shares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18"/>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2,350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r>
      <w:tr>
        <w:trPr>
          <w:trHeight w:val="25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339,408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58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40,145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10,024</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389,522</w:t>
            </w:r>
          </w:p>
        </w:tc>
      </w:tr>
      <w:tr>
        <w:trPr>
          <w:trHeight w:val="218"/>
        </w:trPr>
        <w:tc>
          <w:tcPr>
            <w:tcW w:w="5880" w:type="dxa"/>
            <w:vAlign w:val="bottom"/>
          </w:tcPr>
          <w:p>
            <w:pPr>
              <w:spacing w:after="0"/>
              <w:rPr>
                <w:sz w:val="20"/>
                <w:szCs w:val="20"/>
                <w:color w:val="auto"/>
              </w:rPr>
            </w:pPr>
            <w:r>
              <w:rPr>
                <w:rFonts w:ascii="Arial" w:cs="Arial" w:eastAsia="Arial" w:hAnsi="Arial"/>
                <w:sz w:val="18"/>
                <w:szCs w:val="18"/>
                <w:color w:val="auto"/>
              </w:rPr>
              <w:t>Adoption of ASU 2016-13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(10,303)</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(10,303)</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2021, as adjusted</w:t>
            </w: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379,219</w:t>
            </w:r>
          </w:p>
        </w:tc>
        <w:tc>
          <w:tcPr>
            <w:tcW w:w="100" w:type="dxa"/>
            <w:vAlign w:val="bottom"/>
            <w:shd w:val="clear" w:color="auto" w:fill="CCEEFF"/>
          </w:tcPr>
          <w:p>
            <w:pPr>
              <w:spacing w:after="0"/>
              <w:rPr>
                <w:sz w:val="18"/>
                <w:szCs w:val="18"/>
                <w:color w:val="auto"/>
              </w:rPr>
            </w:pP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Net income, nine months ended September 30, 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50,387</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50,387</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$0.63 per share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(13,686)</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Repurchase of 659,350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(13,773)</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38,650 shares of common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w w:val="98"/>
              </w:rPr>
              <w:t>Share based compensation (issuance of 124,214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r>
      <w:tr>
        <w:trPr>
          <w:trHeight w:val="200"/>
        </w:trPr>
        <w:tc>
          <w:tcPr>
            <w:tcW w:w="5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Share based compensation withholding obligation (withholding of 36,222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common stock)</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r>
      <w:tr>
        <w:trPr>
          <w:trHeight w:val="218"/>
        </w:trPr>
        <w:tc>
          <w:tcPr>
            <w:tcW w:w="58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(2,926)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(2,926)</w:t>
            </w:r>
          </w:p>
        </w:tc>
      </w:tr>
      <w:tr>
        <w:trPr>
          <w:trHeight w:val="25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2021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326,390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400,031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58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352,344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(3,786)</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350,169</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Net income, nine months ended September 30, 2020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39,166</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39,166</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$0.60 per share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(13,239)</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rPr>
              <w:t>Repurchase of 678,929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(13,784)</w:t>
            </w:r>
          </w:p>
        </w:tc>
      </w:tr>
      <w:tr>
        <w:trPr>
          <w:trHeight w:val="212"/>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Issuance of 11,917 shares of common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2"/>
        </w:trPr>
        <w:tc>
          <w:tcPr>
            <w:tcW w:w="5880" w:type="dxa"/>
            <w:vAlign w:val="bottom"/>
          </w:tcPr>
          <w:p>
            <w:pPr>
              <w:spacing w:after="0"/>
              <w:rPr>
                <w:sz w:val="20"/>
                <w:szCs w:val="20"/>
                <w:color w:val="auto"/>
              </w:rPr>
            </w:pPr>
            <w:r>
              <w:rPr>
                <w:rFonts w:ascii="Arial" w:cs="Arial" w:eastAsia="Arial" w:hAnsi="Arial"/>
                <w:sz w:val="18"/>
                <w:szCs w:val="18"/>
                <w:color w:val="auto"/>
                <w:w w:val="98"/>
              </w:rPr>
              <w:t>Share based compensation (issuance of 104,465 shares of common stock)</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1,506</w:t>
            </w:r>
          </w:p>
        </w:tc>
      </w:tr>
      <w:tr>
        <w:trPr>
          <w:trHeight w:val="200"/>
        </w:trPr>
        <w:tc>
          <w:tcPr>
            <w:tcW w:w="58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Share based compensation withholding obligation (withholding of 33,728 shares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common stock)</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w:t>
            </w:r>
          </w:p>
        </w:tc>
      </w:tr>
      <w:tr>
        <w:trPr>
          <w:trHeight w:val="219"/>
        </w:trPr>
        <w:tc>
          <w:tcPr>
            <w:tcW w:w="58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9,932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9,932</w:t>
            </w:r>
          </w:p>
        </w:tc>
      </w:tr>
      <w:tr>
        <w:trPr>
          <w:trHeight w:val="252"/>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September 30, 2020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339,408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373,092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interim condensed consolidated financial statements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Preparation of Financial Statements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2020 included in our Annual Report on Form 10-K.</w:t>
      </w:r>
    </w:p>
    <w:p>
      <w:pPr>
        <w:spacing w:after="0" w:line="15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our opinion, the accompanying unaudited condensed consolidated financial statements contain all the adjustments necessary to present fairly our consolidated financial condition as of September 30, 2021 and December 31, 2020, and the results of operations for the three and nine-month periods ended September 30, 2021 and 2020. The results of operations for the three and nine-month periods ended September 30, 2021,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2020 Annual Report on Form 10-K for a disclosure of our accounting policies.</w:t>
      </w:r>
    </w:p>
    <w:p>
      <w:pPr>
        <w:spacing w:after="0" w:line="152"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ASU:</w:t>
      </w:r>
    </w:p>
    <w:p>
      <w:pPr>
        <w:spacing w:after="0" w:line="217" w:lineRule="exact"/>
        <w:rPr>
          <w:sz w:val="20"/>
          <w:szCs w:val="20"/>
          <w:color w:val="auto"/>
        </w:rPr>
      </w:pPr>
    </w:p>
    <w:p>
      <w:pPr>
        <w:jc w:val="both"/>
        <w:ind w:left="640" w:hanging="31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Replaces the existing incurred loss impairment guidance and establishes a single allowance framework for financial assets carried at amortized cost, which will reflect our estimate of credit losses over the full remaining expected life of the financial assets and will consider expected future changes in macroeconomic conditions.</w:t>
      </w:r>
    </w:p>
    <w:p>
      <w:pPr>
        <w:jc w:val="both"/>
        <w:ind w:left="640" w:hanging="316"/>
        <w:spacing w:after="0" w:line="24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Eliminates existing guidance for purchase credit impaired (‘‘PCI’’) loans, and requires recognition of the nonaccretable difference as an increase to the allowance for expected credit losses on financial assets purchased with more than insignificant credit deterioration since origination, which will be offset by an increase in the recorded investment of the related loans.</w:t>
      </w:r>
    </w:p>
    <w:p>
      <w:pPr>
        <w:spacing w:after="0" w:line="2" w:lineRule="exact"/>
        <w:rPr>
          <w:rFonts w:ascii="Arial" w:cs="Arial" w:eastAsia="Arial" w:hAnsi="Arial"/>
          <w:sz w:val="18"/>
          <w:szCs w:val="18"/>
          <w:color w:val="auto"/>
        </w:rPr>
      </w:pPr>
    </w:p>
    <w:p>
      <w:pPr>
        <w:ind w:left="640" w:hanging="316"/>
        <w:spacing w:after="0" w:line="24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Requires inclusion of expected recoveries, limited to the cumulative amount of prior write-offs, when estimating the ACL for in scope financial assets (including collateral dependent assets).</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Amends existing impairment guidance for securities available for sale to incorporate an allowance, which will allow for reversals of credit impairments in the event that the credit of an issuer improves. Credit losses on securities available for sale are limited to the amount of the decline in fair value regardless of what the credit loss model would show for impairment.</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Generally requires a cumulative-effect adjustment to retained earnings as of the beginning of the reporting period of adoption.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began evaluating this ASU in 2016 and established a company-wide, cross-discipline governance structure, which provides implementation oversight. We continued to test and refine our current expected credit loss (“CECL”) models that satisfied the requirements of this ASU. Oversight and testing, as well as efforts to meet expanded disclosure requirements, extended through the end of 2020. We currently estimate losses over approximately a one year forecast period using external economic forecast sources, including the Federal Open Market Committee median economic projections, and then revert to longer term historical loss experience to estimate losses over more extended periods. We were originally required to adopt this ASU on January 1, 2020 but section 4014 of the Coronavirus Aid, Relief, and Economic Security (‘‘CARES’’) Act allowed for temporary relief from applying this ASU. Under the amended CARES Act we were allowed to delay the adoption of this ASU until the earlier of the termination of the national emergency that was declared on March 13, 2020, or January 1, 2022. Early adoption was also allowed on either January 1, 2020 or January 1, 2021. As such, we chose to delay the adoption of this ASU during 2020 and adopted this ASU on January 1, 2021. Results for the reporting periods after January 1, 2021 are presented under this new ASU while prior period amounts continue to be reported in accordance with previously applicable accounting guidance.</w:t>
      </w:r>
    </w:p>
    <w:p>
      <w:pPr>
        <w:spacing w:after="0" w:line="37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adopted this ASU using the modified retrospective method for all financial assets measured at amortized cost and unfunded lending commitments. As of January 1, 2021 we increased the ACL by $11.7 million which was primarily driven by the longer contractual maturities of our mortgage and consumer installment loan portfolio segments. In addition, we increased the allowance for losses related to unfunded loan commitments by $1.5 million. The ultimate impact of adopting this ASU, and at each subsequent reporting period, is highly dependent on credit quality, economic forecasts and conditions, composition of our loan portfolios and securities available for sale, along with other management judgments. As of January 1, 2021, we recorded a cumulative-effect adjustment of $10.3 million to decrease retained earnings.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Based on our evaluation of securities available for sale, we did not record an ACL on these securities under this ASU.</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adopted this ASU using the prospective transition approach for financial assets purchased with credit deterioration (“PCD”) that were previously classified as PCI and accounted for under accounting standards codification (“ASC”) 310-30. In accordance with this ASU, we did not reassess whether PCI assets met the definition of PCD assets as of the date of adoption. On January 1, 2021, the amortized cost basis of the PCD assets were adjusted to reflect the addition of $0.13 million to the ACL for loans. The remaining noncredit discount in the amount of $0.34 million (based on the adjusted amortized cost basis) will be accreted into interest income at the effective interest rate as of January 1, 2021.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The impact of the adoption of this ASU follows: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As Reported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Under</w:t>
            </w:r>
          </w:p>
        </w:tc>
        <w:tc>
          <w:tcPr>
            <w:tcW w:w="1480" w:type="dxa"/>
            <w:vAlign w:val="bottom"/>
            <w:gridSpan w:val="3"/>
          </w:tcPr>
          <w:p>
            <w:pPr>
              <w:spacing w:after="0"/>
              <w:rPr>
                <w:sz w:val="20"/>
                <w:szCs w:val="20"/>
                <w:color w:val="auto"/>
              </w:rPr>
            </w:pPr>
            <w:r>
              <w:rPr>
                <w:rFonts w:ascii="Arial" w:cs="Arial" w:eastAsia="Arial" w:hAnsi="Arial"/>
                <w:sz w:val="18"/>
                <w:szCs w:val="18"/>
                <w:color w:val="auto"/>
              </w:rPr>
              <w:t>Pre-ASU 2016-13</w:t>
            </w: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Impact of</w:t>
            </w:r>
          </w:p>
        </w:tc>
      </w:tr>
      <w:tr>
        <w:trPr>
          <w:trHeight w:val="231"/>
        </w:trPr>
        <w:tc>
          <w:tcPr>
            <w:tcW w:w="722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ASU 2016-13</w:t>
            </w:r>
          </w:p>
        </w:tc>
        <w:tc>
          <w:tcPr>
            <w:tcW w:w="2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Adoption</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ASU 2016-13</w:t>
            </w:r>
          </w:p>
        </w:tc>
      </w:tr>
      <w:tr>
        <w:trPr>
          <w:trHeight w:val="200"/>
        </w:trPr>
        <w:tc>
          <w:tcPr>
            <w:tcW w:w="7220" w:type="dxa"/>
            <w:vAlign w:val="bottom"/>
          </w:tcPr>
          <w:p>
            <w:pPr>
              <w:spacing w:after="0" w:line="200"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220" w:type="dxa"/>
            <w:vAlign w:val="bottom"/>
          </w:tcPr>
          <w:p>
            <w:pPr>
              <w:ind w:left="14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7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1,242,510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1,242,415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2"/>
        </w:trPr>
        <w:tc>
          <w:tcPr>
            <w:tcW w:w="7220" w:type="dxa"/>
            <w:vAlign w:val="bottom"/>
          </w:tcPr>
          <w:p>
            <w:pPr>
              <w:ind w:left="260"/>
              <w:spacing w:after="0"/>
              <w:rPr>
                <w:sz w:val="20"/>
                <w:szCs w:val="20"/>
                <w:color w:val="auto"/>
              </w:rPr>
            </w:pPr>
            <w:r>
              <w:rPr>
                <w:rFonts w:ascii="Arial" w:cs="Arial" w:eastAsia="Arial" w:hAnsi="Arial"/>
                <w:sz w:val="18"/>
                <w:szCs w:val="18"/>
                <w:color w:val="auto"/>
              </w:rPr>
              <w:t>Mortgage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1,015,944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1,015,926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9"/>
        </w:trPr>
        <w:tc>
          <w:tcPr>
            <w:tcW w:w="7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Installment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475,358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475,337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722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2,733,812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2,733,678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(47,137)</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(11,708)</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7220" w:type="dxa"/>
            <w:vAlign w:val="bottom"/>
          </w:tcPr>
          <w:p>
            <w:pPr>
              <w:ind w:left="380"/>
              <w:spacing w:after="0"/>
              <w:rPr>
                <w:sz w:val="20"/>
                <w:szCs w:val="20"/>
                <w:color w:val="auto"/>
              </w:rPr>
            </w:pPr>
            <w:r>
              <w:rPr>
                <w:rFonts w:ascii="Arial" w:cs="Arial" w:eastAsia="Arial" w:hAnsi="Arial"/>
                <w:sz w:val="18"/>
                <w:szCs w:val="18"/>
                <w:color w:val="auto"/>
              </w:rPr>
              <w:t>Net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2,686,675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2,698,249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(11,574)</w:t>
            </w: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72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Deferred tax assets (1)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65,196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62,456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7220" w:type="dxa"/>
            <w:vAlign w:val="bottom"/>
          </w:tcPr>
          <w:p>
            <w:pPr>
              <w:ind w:left="140"/>
              <w:spacing w:after="0" w:line="205" w:lineRule="exact"/>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4,195,179</w:t>
            </w:r>
          </w:p>
        </w:tc>
        <w:tc>
          <w:tcPr>
            <w:tcW w:w="200" w:type="dxa"/>
            <w:vAlign w:val="bottom"/>
          </w:tcPr>
          <w:p>
            <w:pPr>
              <w:spacing w:after="0"/>
              <w:rPr>
                <w:sz w:val="17"/>
                <w:szCs w:val="17"/>
                <w:color w:val="auto"/>
              </w:rPr>
            </w:pPr>
          </w:p>
        </w:tc>
        <w:tc>
          <w:tcPr>
            <w:tcW w:w="20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4,204,013</w:t>
            </w:r>
          </w:p>
        </w:tc>
        <w:tc>
          <w:tcPr>
            <w:tcW w:w="16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(8,834)</w:t>
            </w: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220" w:type="dxa"/>
            <w:vAlign w:val="bottom"/>
          </w:tcPr>
          <w:p>
            <w:pPr>
              <w:spacing w:after="0"/>
              <w:rPr>
                <w:sz w:val="20"/>
                <w:szCs w:val="20"/>
                <w:color w:val="auto"/>
              </w:rPr>
            </w:pPr>
            <w:r>
              <w:rPr>
                <w:rFonts w:ascii="Arial" w:cs="Arial" w:eastAsia="Arial" w:hAnsi="Arial"/>
                <w:sz w:val="18"/>
                <w:szCs w:val="18"/>
                <w:color w:val="auto"/>
              </w:rPr>
              <w:t>Liabilities and shareholders's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7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Allowance for credit losses on unfunded lending commitments (2)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7220" w:type="dxa"/>
            <w:vAlign w:val="bottom"/>
          </w:tcPr>
          <w:p>
            <w:pPr>
              <w:ind w:left="140"/>
              <w:spacing w:after="0" w:line="205" w:lineRule="exact"/>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3,815,960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3,814,491</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1,469</w:t>
            </w:r>
          </w:p>
        </w:tc>
        <w:tc>
          <w:tcPr>
            <w:tcW w:w="100" w:type="dxa"/>
            <w:vAlign w:val="bottom"/>
          </w:tcPr>
          <w:p>
            <w:pPr>
              <w:spacing w:after="0"/>
              <w:rPr>
                <w:sz w:val="17"/>
                <w:szCs w:val="17"/>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45"/>
        </w:trPr>
        <w:tc>
          <w:tcPr>
            <w:tcW w:w="72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Retained earnings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29,842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40,145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7220" w:type="dxa"/>
            <w:vAlign w:val="bottom"/>
          </w:tcPr>
          <w:p>
            <w:pPr>
              <w:ind w:left="140"/>
              <w:spacing w:after="0" w:line="205" w:lineRule="exact"/>
              <w:rPr>
                <w:sz w:val="20"/>
                <w:szCs w:val="20"/>
                <w:color w:val="auto"/>
              </w:rPr>
            </w:pPr>
            <w:r>
              <w:rPr>
                <w:rFonts w:ascii="Arial" w:cs="Arial" w:eastAsia="Arial" w:hAnsi="Arial"/>
                <w:sz w:val="18"/>
                <w:szCs w:val="18"/>
                <w:color w:val="auto"/>
              </w:rPr>
              <w:t>Total shareholders'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379,219</w:t>
            </w:r>
          </w:p>
        </w:tc>
        <w:tc>
          <w:tcPr>
            <w:tcW w:w="200" w:type="dxa"/>
            <w:vAlign w:val="bottom"/>
          </w:tcPr>
          <w:p>
            <w:pPr>
              <w:spacing w:after="0"/>
              <w:rPr>
                <w:sz w:val="17"/>
                <w:szCs w:val="17"/>
                <w:color w:val="auto"/>
              </w:rPr>
            </w:pPr>
          </w:p>
        </w:tc>
        <w:tc>
          <w:tcPr>
            <w:tcW w:w="20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5" w:lineRule="exact"/>
              <w:rPr>
                <w:sz w:val="20"/>
                <w:szCs w:val="20"/>
                <w:color w:val="auto"/>
              </w:rPr>
            </w:pPr>
            <w:r>
              <w:rPr>
                <w:rFonts w:ascii="Arial" w:cs="Arial" w:eastAsia="Arial" w:hAnsi="Arial"/>
                <w:sz w:val="18"/>
                <w:szCs w:val="18"/>
                <w:color w:val="auto"/>
              </w:rPr>
              <w:t>389,522</w:t>
            </w:r>
          </w:p>
        </w:tc>
        <w:tc>
          <w:tcPr>
            <w:tcW w:w="200" w:type="dxa"/>
            <w:vAlign w:val="bottom"/>
          </w:tcPr>
          <w:p>
            <w:pPr>
              <w:spacing w:after="0"/>
              <w:rPr>
                <w:sz w:val="17"/>
                <w:szCs w:val="17"/>
                <w:color w:val="auto"/>
              </w:rPr>
            </w:pPr>
          </w:p>
        </w:tc>
        <w:tc>
          <w:tcPr>
            <w:tcW w:w="16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(10,303)</w:t>
            </w: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722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4,195,179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4,204,013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(8,834)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new ASU provides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9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have formed a cross-functional project team to lead this transition from LIBOR to a planned adoption of reference rates which could include Secured Overnight Financing Rate (“SOFR”), amongst others. We are utilizing the timeline guidance published by the Alternative Reference Rates Committee to develop and achieve internal milestones during this transitional period. We will discontinue the use of new LIBOR-based loans no later than December 31, 2021, according to regulatory guidelines, and are operationally preparing for this change during the fourth quarter of 2021. We will also discontinue the use of LIBOR based interest rate derivatives no later than December 31, 2021. The amended guidance under Topic 848 and our ability to elect its temporary optional expedients and exceptions are effective for us through December 31, 2022. We expect to adopt the LIBOR transition relief allowed under this standard.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8"/>
                <w:szCs w:val="18"/>
                <w:color w:val="auto"/>
              </w:rPr>
              <w:t>3.  Securities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available for sale consist of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6"/>
              </w:rPr>
              <w:t>Cost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Gains</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2"/>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September 30, 2021</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4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gridSpan w:val="3"/>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13,418</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337,140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2,810</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2,090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337,860</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81,154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82,311</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176,121</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555,155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9,983</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564,222</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149,893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153,503</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1,332,054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19,811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3,487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1,348,378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gridSpan w:val="3"/>
          </w:tcPr>
          <w:p>
            <w:pPr>
              <w:spacing w:after="0"/>
              <w:rPr>
                <w:sz w:val="20"/>
                <w:szCs w:val="20"/>
                <w:color w:val="auto"/>
              </w:rPr>
            </w:pPr>
            <w:r>
              <w:rPr>
                <w:rFonts w:ascii="Arial" w:cs="Arial" w:eastAsia="Arial" w:hAnsi="Arial"/>
                <w:sz w:val="18"/>
                <w:szCs w:val="18"/>
                <w:color w:val="auto"/>
              </w:rPr>
              <w:t>December 31, 2020</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10,456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U.S. agency residential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340,224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344,582</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agency commercial mortgage-backed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Private label mortgage-backed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41,429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1,539</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42,829</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252,596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254,181</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315,780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8,691</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324,293</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86,017</w:t>
            </w:r>
          </w:p>
        </w:tc>
        <w:tc>
          <w:tcPr>
            <w:tcW w:w="0" w:type="dxa"/>
            <w:vAlign w:val="bottom"/>
          </w:tcPr>
          <w:p>
            <w:pPr>
              <w:spacing w:after="0"/>
              <w:rPr>
                <w:sz w:val="1"/>
                <w:szCs w:val="1"/>
                <w:color w:val="auto"/>
              </w:rPr>
            </w:pPr>
          </w:p>
        </w:tc>
      </w:tr>
      <w:tr>
        <w:trPr>
          <w:trHeight w:val="212"/>
        </w:trPr>
        <w:tc>
          <w:tcPr>
            <w:tcW w:w="4640" w:type="dxa"/>
            <w:vAlign w:val="bottom"/>
            <w:gridSpan w:val="3"/>
          </w:tcPr>
          <w:p>
            <w:pPr>
              <w:ind w:left="140"/>
              <w:spacing w:after="0"/>
              <w:rPr>
                <w:sz w:val="20"/>
                <w:szCs w:val="20"/>
                <w:color w:val="auto"/>
              </w:rPr>
            </w:pPr>
            <w:r>
              <w:rPr>
                <w:rFonts w:ascii="Arial" w:cs="Arial" w:eastAsia="Arial" w:hAnsi="Arial"/>
                <w:sz w:val="18"/>
                <w:szCs w:val="18"/>
                <w:color w:val="auto"/>
              </w:rPr>
              <w:t>Trust preferred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2"/>
        </w:trPr>
        <w:tc>
          <w:tcPr>
            <w:tcW w:w="4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Foreign government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6"/>
        </w:trPr>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1,052,132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21,431</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1,072,159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vMerge w:val="restart"/>
          </w:tcPr>
          <w:p>
            <w:pPr>
              <w:jc w:val="right"/>
              <w:ind w:right="178"/>
              <w:spacing w:after="0"/>
              <w:rPr>
                <w:sz w:val="20"/>
                <w:szCs w:val="20"/>
                <w:color w:val="auto"/>
              </w:rPr>
            </w:pPr>
            <w:r>
              <w:rPr>
                <w:rFonts w:ascii="Arial" w:cs="Arial" w:eastAsia="Arial" w:hAnsi="Arial"/>
                <w:sz w:val="14"/>
                <w:szCs w:val="14"/>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5"/>
          </w:tcPr>
          <w:p>
            <w:pPr>
              <w:ind w:left="180"/>
              <w:spacing w:after="0"/>
              <w:rPr>
                <w:sz w:val="20"/>
                <w:szCs w:val="20"/>
                <w:color w:val="auto"/>
              </w:rPr>
            </w:pPr>
            <w:r>
              <w:rPr>
                <w:rFonts w:ascii="Arial" w:cs="Arial" w:eastAsia="Arial" w:hAnsi="Arial"/>
                <w:sz w:val="18"/>
                <w:szCs w:val="18"/>
                <w:color w:val="auto"/>
              </w:rPr>
              <w:t>Less Than Twelve Months</w:t>
            </w:r>
          </w:p>
        </w:tc>
        <w:tc>
          <w:tcPr>
            <w:tcW w:w="140" w:type="dxa"/>
            <w:vAlign w:val="bottom"/>
          </w:tcPr>
          <w:p>
            <w:pPr>
              <w:spacing w:after="0"/>
              <w:rPr>
                <w:sz w:val="20"/>
                <w:szCs w:val="20"/>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8"/>
                <w:szCs w:val="18"/>
                <w:color w:val="auto"/>
              </w:rPr>
              <w:t>Twelve Months or More</w:t>
            </w: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Total</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3"/>
              <w:spacing w:after="0" w:line="200" w:lineRule="exact"/>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2"/>
              <w:spacing w:after="0" w:line="200" w:lineRule="exact"/>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92"/>
              <w:spacing w:after="0" w:line="200"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Fair 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Losses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2"/>
              </w:rPr>
              <w:t>Fair 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2"/>
              </w:rPr>
              <w:t>Fair 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vMerge w:val="restart"/>
          </w:tcPr>
          <w:p>
            <w:pPr>
              <w:jc w:val="center"/>
              <w:ind w:right="1772"/>
              <w:spacing w:after="0"/>
              <w:rPr>
                <w:sz w:val="20"/>
                <w:szCs w:val="20"/>
                <w:color w:val="auto"/>
              </w:rPr>
            </w:pPr>
            <w:r>
              <w:rPr>
                <w:rFonts w:ascii="Arial" w:cs="Arial" w:eastAsia="Arial" w:hAnsi="Arial"/>
                <w:sz w:val="18"/>
                <w:szCs w:val="18"/>
                <w:color w:val="auto"/>
                <w:w w:val="87"/>
              </w:rPr>
              <w:t>September 30, 2021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2"/>
        </w:trPr>
        <w:tc>
          <w:tcPr>
            <w:tcW w:w="3280" w:type="dxa"/>
            <w:vAlign w:val="bottom"/>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135,320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1,923</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154,617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U.S. agency commercial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18,628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20,738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0"/>
        </w:trPr>
        <w:tc>
          <w:tcPr>
            <w:tcW w:w="3280" w:type="dxa"/>
            <w:vAlign w:val="bottom"/>
          </w:tcPr>
          <w:p>
            <w:pPr>
              <w:ind w:left="140"/>
              <w:spacing w:after="0" w:line="200"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ind w:right="1792"/>
              <w:spacing w:after="0"/>
              <w:rPr>
                <w:sz w:val="20"/>
                <w:szCs w:val="20"/>
                <w:color w:val="auto"/>
              </w:rPr>
            </w:pPr>
            <w:r>
              <w:rPr>
                <w:rFonts w:ascii="Arial" w:cs="Arial" w:eastAsia="Arial" w:hAnsi="Arial"/>
                <w:sz w:val="18"/>
                <w:szCs w:val="18"/>
                <w:color w:val="auto"/>
                <w:w w:val="89"/>
              </w:rPr>
              <w:t>subdivisions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88,064</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871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88,631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27,380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27,470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2"/>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287,991</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314,252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jc w:val="center"/>
              <w:ind w:right="1792"/>
              <w:spacing w:after="0"/>
              <w:rPr>
                <w:sz w:val="20"/>
                <w:szCs w:val="20"/>
                <w:color w:val="auto"/>
              </w:rPr>
            </w:pPr>
            <w:r>
              <w:rPr>
                <w:rFonts w:ascii="Arial" w:cs="Arial" w:eastAsia="Arial" w:hAnsi="Arial"/>
                <w:sz w:val="18"/>
                <w:szCs w:val="18"/>
                <w:color w:val="auto"/>
                <w:w w:val="88"/>
              </w:rPr>
              <w:t>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14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U.S. agency residential mortgage-backed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96,839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96,922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2"/>
        </w:trPr>
        <w:tc>
          <w:tcPr>
            <w:tcW w:w="3280" w:type="dxa"/>
            <w:vAlign w:val="bottom"/>
          </w:tcPr>
          <w:p>
            <w:pPr>
              <w:ind w:left="140"/>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13,888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 backed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7,142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0"/>
        </w:trPr>
        <w:tc>
          <w:tcPr>
            <w:tcW w:w="3280" w:type="dxa"/>
            <w:vAlign w:val="bottom"/>
          </w:tcPr>
          <w:p>
            <w:pPr>
              <w:ind w:left="140"/>
              <w:spacing w:after="0" w:line="200" w:lineRule="exact"/>
              <w:rPr>
                <w:sz w:val="20"/>
                <w:szCs w:val="20"/>
                <w:color w:val="auto"/>
              </w:rPr>
            </w:pPr>
            <w:r>
              <w:rPr>
                <w:rFonts w:ascii="Arial" w:cs="Arial" w:eastAsia="Arial" w:hAnsi="Arial"/>
                <w:sz w:val="18"/>
                <w:szCs w:val="18"/>
                <w:color w:val="auto"/>
              </w:rPr>
              <w:t>Obligations of states and political</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280" w:type="dxa"/>
            <w:vAlign w:val="bottom"/>
          </w:tcPr>
          <w:p>
            <w:pPr>
              <w:jc w:val="center"/>
              <w:ind w:right="1792"/>
              <w:spacing w:after="0"/>
              <w:rPr>
                <w:sz w:val="20"/>
                <w:szCs w:val="20"/>
                <w:color w:val="auto"/>
              </w:rPr>
            </w:pPr>
            <w:r>
              <w:rPr>
                <w:rFonts w:ascii="Arial" w:cs="Arial" w:eastAsia="Arial" w:hAnsi="Arial"/>
                <w:sz w:val="18"/>
                <w:szCs w:val="18"/>
                <w:color w:val="auto"/>
                <w:w w:val="89"/>
              </w:rPr>
              <w:t>subdivisions</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28,957</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29,757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1,924</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8"/>
        </w:trPr>
        <w:tc>
          <w:tcPr>
            <w:tcW w:w="3280" w:type="dxa"/>
            <w:vAlign w:val="bottom"/>
          </w:tcPr>
          <w:p>
            <w:pPr>
              <w:ind w:left="140"/>
              <w:spacing w:after="0"/>
              <w:rPr>
                <w:sz w:val="20"/>
                <w:szCs w:val="20"/>
                <w:color w:val="auto"/>
              </w:rPr>
            </w:pPr>
            <w:r>
              <w:rPr>
                <w:rFonts w:ascii="Arial" w:cs="Arial" w:eastAsia="Arial" w:hAnsi="Arial"/>
                <w:sz w:val="18"/>
                <w:szCs w:val="18"/>
                <w:color w:val="auto"/>
              </w:rPr>
              <w:t>Trust preferred</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2"/>
        </w:trPr>
        <w:tc>
          <w:tcPr>
            <w:tcW w:w="3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176,426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September 30, 2021. Accrued interest receivable on securities available for sale totaled $5.7 million at September 30, 2021 and is excluded from the estimate of credit losses.</w:t>
      </w:r>
    </w:p>
    <w:p>
      <w:pPr>
        <w:spacing w:after="0" w:line="15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U.S. agency, U.S. agency residential mortgage-backed and U.S. agency commercial mortgage-backed securities — at September 30, 2021, we had 14 U.S. agency, 57 U.S. agency residential mortgage-backed and 13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Private label mortgage backed, other asset backed and corporate securities — at September 30, 2021, we had 21 private label mortgage backed, 10 other asset backed and 22 corporate securities whose fair value is less than amortized cost. The unrealized losses are primarily due to credit spread widening and/or an increase in interest rates since acquisition.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Obligations of states and political subdivisions — at September 30, 2021, we had 193 municipal securities whose fair value is less than amortized cost. The unrealized losses are primarily due to an increase in interest rates since acquisition.</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Trust preferred securities — at September 30, 2021, we had two trust preferred securities whose fair value is less than amortized cost. Both of our trust preferred securities are single issue securities issued by a trust subsidiary of a bank holding company. The pricing of trust preferred securities has suffered from credit spread widening. One of the securities is rated by a major rating agency as investment grade while the other one is non-rated. The non-rated issue is a relatively small bank and was never rated. The issuer of this non-rated trust preferred security, which had a total amortized cost of $1.0 million and total fair value of $0.86 million as of September 30, 2021, continues to have satisfactory credit metrics and make interest payments.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2021 management does not intend to liquidate any of the securities discussed above and it is more likely than not that we will not be required to sell these securities prior to recovery of these unrealized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no credit related charges in our Condensed Consolidated Statements of Operations related to securities available for sale during the nine month periods ended September 30, 2021 and 2020, respectively.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tcPr>
          <w:p>
            <w:pPr>
              <w:spacing w:after="0"/>
              <w:rPr>
                <w:sz w:val="20"/>
                <w:szCs w:val="20"/>
                <w:color w:val="auto"/>
              </w:rPr>
            </w:pPr>
            <w:r>
              <w:rPr>
                <w:rFonts w:ascii="Arial" w:cs="Arial" w:eastAsia="Arial" w:hAnsi="Arial"/>
                <w:sz w:val="18"/>
                <w:szCs w:val="18"/>
                <w:color w:val="auto"/>
                <w:w w:val="91"/>
              </w:rPr>
              <w:t>The amortized cost and fair value of securities available for sale at September 30, 2021, by contractual maturity, follow:</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color w:val="auto"/>
              </w:rPr>
              <w:t>Amortized</w:t>
            </w:r>
          </w:p>
        </w:tc>
        <w:tc>
          <w:tcPr>
            <w:tcW w:w="2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31"/>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Cost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12"/>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15,701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15,849</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128,338</w:t>
            </w: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234,100</w:t>
            </w:r>
          </w:p>
        </w:tc>
      </w:tr>
      <w:tr>
        <w:trPr>
          <w:trHeight w:val="218"/>
        </w:trPr>
        <w:tc>
          <w:tcPr>
            <w:tcW w:w="86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348,801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355,191</w:t>
            </w:r>
          </w:p>
        </w:tc>
      </w:tr>
      <w:tr>
        <w:trPr>
          <w:trHeight w:val="212"/>
        </w:trPr>
        <w:tc>
          <w:tcPr>
            <w:tcW w:w="8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720,799</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733,478</w:t>
            </w:r>
          </w:p>
        </w:tc>
        <w:tc>
          <w:tcPr>
            <w:tcW w:w="100" w:type="dxa"/>
            <w:vAlign w:val="bottom"/>
            <w:shd w:val="clear" w:color="auto" w:fill="CCEEFF"/>
          </w:tcPr>
          <w:p>
            <w:pPr>
              <w:spacing w:after="0"/>
              <w:rPr>
                <w:sz w:val="18"/>
                <w:szCs w:val="18"/>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337,140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337,860</w:t>
            </w: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18,473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18,608</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140" w:type="dxa"/>
            <w:vAlign w:val="bottom"/>
          </w:tcPr>
          <w:p>
            <w:pPr>
              <w:spacing w:after="0"/>
              <w:rPr>
                <w:sz w:val="18"/>
                <w:szCs w:val="18"/>
                <w:color w:val="auto"/>
              </w:rPr>
            </w:pPr>
          </w:p>
        </w:tc>
        <w:tc>
          <w:tcPr>
            <w:tcW w:w="1200" w:type="dxa"/>
            <w:vAlign w:val="bottom"/>
            <w:gridSpan w:val="2"/>
          </w:tcPr>
          <w:p>
            <w:pPr>
              <w:jc w:val="right"/>
              <w:ind w:right="123"/>
              <w:spacing w:after="0"/>
              <w:rPr>
                <w:sz w:val="20"/>
                <w:szCs w:val="20"/>
                <w:color w:val="auto"/>
              </w:rPr>
            </w:pPr>
            <w:r>
              <w:rPr>
                <w:rFonts w:ascii="Arial" w:cs="Arial" w:eastAsia="Arial" w:hAnsi="Arial"/>
                <w:sz w:val="18"/>
                <w:szCs w:val="18"/>
                <w:color w:val="auto"/>
              </w:rPr>
              <w:t>81,154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82,311</w:t>
            </w:r>
          </w:p>
        </w:tc>
      </w:tr>
      <w:tr>
        <w:trPr>
          <w:trHeight w:val="21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174,488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8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1,332,054</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1,348,378</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18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Gains and losses realized on the sale of securities available for sale are determined using the specific identification method and are recognized on a trade-date basis. A summary of proceeds from the sale of securities available for sale and gains and losses for the nine month periods ending September 30,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Realized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Proceeds</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Gains</w:t>
            </w:r>
          </w:p>
        </w:tc>
        <w:tc>
          <w:tcPr>
            <w:tcW w:w="260" w:type="dxa"/>
            <w:vAlign w:val="bottom"/>
          </w:tcPr>
          <w:p>
            <w:pPr>
              <w:spacing w:after="0"/>
              <w:rPr>
                <w:sz w:val="19"/>
                <w:szCs w:val="19"/>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color w:val="auto"/>
                <w:w w:val="91"/>
              </w:rPr>
              <w:t>Losses</w:t>
            </w:r>
          </w:p>
        </w:tc>
        <w:tc>
          <w:tcPr>
            <w:tcW w:w="100" w:type="dxa"/>
            <w:vAlign w:val="bottom"/>
          </w:tcPr>
          <w:p>
            <w:pPr>
              <w:spacing w:after="0"/>
              <w:rPr>
                <w:sz w:val="19"/>
                <w:szCs w:val="19"/>
                <w:color w:val="auto"/>
              </w:rPr>
            </w:pPr>
          </w:p>
        </w:tc>
      </w:tr>
      <w:tr>
        <w:trPr>
          <w:trHeight w:val="212"/>
        </w:trPr>
        <w:tc>
          <w:tcPr>
            <w:tcW w:w="7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(In thousands)</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jc w:val="right"/>
              <w:ind w:right="6872"/>
              <w:spacing w:after="0"/>
              <w:rPr>
                <w:sz w:val="20"/>
                <w:szCs w:val="20"/>
                <w:color w:val="auto"/>
              </w:rPr>
            </w:pPr>
            <w:r>
              <w:rPr>
                <w:rFonts w:ascii="Arial" w:cs="Arial" w:eastAsia="Arial" w:hAnsi="Arial"/>
                <w:sz w:val="18"/>
                <w:szCs w:val="18"/>
                <w:color w:val="auto"/>
                <w:w w:val="84"/>
              </w:rPr>
              <w:t>2021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81,683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23"/>
        </w:trPr>
        <w:tc>
          <w:tcPr>
            <w:tcW w:w="7320" w:type="dxa"/>
            <w:vAlign w:val="bottom"/>
          </w:tcPr>
          <w:p>
            <w:pPr>
              <w:jc w:val="right"/>
              <w:ind w:right="6872"/>
              <w:spacing w:after="0"/>
              <w:rPr>
                <w:sz w:val="20"/>
                <w:szCs w:val="20"/>
                <w:color w:val="auto"/>
              </w:rPr>
            </w:pPr>
            <w:r>
              <w:rPr>
                <w:rFonts w:ascii="Arial" w:cs="Arial" w:eastAsia="Arial" w:hAnsi="Arial"/>
                <w:sz w:val="18"/>
                <w:szCs w:val="18"/>
                <w:color w:val="auto"/>
                <w:w w:val="84"/>
              </w:rPr>
              <w:t>2020</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36,593</w:t>
            </w:r>
          </w:p>
        </w:tc>
        <w:tc>
          <w:tcPr>
            <w:tcW w:w="2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Loans</w:t>
      </w:r>
    </w:p>
    <w:p>
      <w:pPr>
        <w:spacing w:after="0" w:line="217"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estimate the ACL based on relevant available information from both internal and external sources, including historical loss trends, current conditions and forecasts, specific analysis of individual loans, and a review of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first ACL element (specific allocations) includes loans that do not share similar risk characteristics and are evaluated on an individual basis. We will typically evaluate on an individual basis loans that are on nonaccrual, commercial loans designated as a TDR, or mortgage and installment TDR loans with a rate concession.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96"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the entity is able to make or obtain R&amp;S forecasts of expected credit losses, we revert to the long term average on a straight line or immediate basis, as determined by the CECL Forecast Committee, and which may vary depending on the economic outlook and uncertainty.</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the Bloomberg composite forecast of approximately 50 analysts as well as the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the two year average rates per segment as calculated through the Bank’s Asset and Liability Management program.</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 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 The current period’s ACL further recognizes inherent risk related to the ongoing COVID-19 pandemic; specifically to the volume of loans on forbearance, commercial loans in high risk industries, and mortgage and installment borrowers with occupations in those high risk industries. Identified high risk industries include: food service, hospitality, entertainment, retail, investment real estate, assisted living, and non-owner occupied office.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three months ended September 30, follows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Commercial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Mortgage</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Installment</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64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14,198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45,926</w:t>
            </w:r>
          </w:p>
        </w:tc>
        <w:tc>
          <w:tcPr>
            <w:tcW w:w="0" w:type="dxa"/>
            <w:vAlign w:val="bottom"/>
          </w:tcPr>
          <w:p>
            <w:pPr>
              <w:spacing w:after="0"/>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19,175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13,687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46,799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34,500</w:t>
            </w:r>
          </w:p>
        </w:tc>
        <w:tc>
          <w:tcPr>
            <w:tcW w:w="0" w:type="dxa"/>
            <w:vAlign w:val="bottom"/>
          </w:tcPr>
          <w:p>
            <w:pPr>
              <w:spacing w:after="0"/>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 (1)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2"/>
        </w:trPr>
        <w:tc>
          <w:tcPr>
            <w:tcW w:w="4640" w:type="dxa"/>
            <w:vAlign w:val="bottom"/>
          </w:tcPr>
          <w:p>
            <w:pPr>
              <w:ind w:left="36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6"/>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19,380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allowance for credit losses by portfolio segment for the nine months ended September 30, follows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Commercial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Mortgage</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Installment</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Allocation</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64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19,918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adoption of ASC 326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11,574</w:t>
            </w:r>
          </w:p>
        </w:tc>
        <w:tc>
          <w:tcPr>
            <w:tcW w:w="0" w:type="dxa"/>
            <w:vAlign w:val="bottom"/>
          </w:tcPr>
          <w:p>
            <w:pPr>
              <w:spacing w:after="0"/>
              <w:rPr>
                <w:sz w:val="1"/>
                <w:szCs w:val="1"/>
                <w:color w:val="auto"/>
              </w:rPr>
            </w:pPr>
          </w:p>
        </w:tc>
      </w:tr>
      <w:tr>
        <w:trPr>
          <w:trHeight w:val="212"/>
        </w:trPr>
        <w:tc>
          <w:tcPr>
            <w:tcW w:w="4640" w:type="dxa"/>
            <w:vAlign w:val="bottom"/>
          </w:tcPr>
          <w:p>
            <w:pPr>
              <w:ind w:left="320"/>
              <w:spacing w:after="0"/>
              <w:rPr>
                <w:sz w:val="20"/>
                <w:szCs w:val="20"/>
                <w:color w:val="auto"/>
              </w:rPr>
            </w:pPr>
            <w:r>
              <w:rPr>
                <w:rFonts w:ascii="Arial" w:cs="Arial" w:eastAsia="Arial" w:hAnsi="Arial"/>
                <w:sz w:val="18"/>
                <w:szCs w:val="18"/>
                <w:color w:val="auto"/>
              </w:rPr>
              <w:t>Provision for credit losses</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Initial allowance on loans purchased with credit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deterioration</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2"/>
        </w:trPr>
        <w:tc>
          <w:tcPr>
            <w:tcW w:w="464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3,918</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6"/>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19,175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13,687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46,799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26,148</w:t>
            </w:r>
          </w:p>
        </w:tc>
        <w:tc>
          <w:tcPr>
            <w:tcW w:w="0" w:type="dxa"/>
            <w:vAlign w:val="bottom"/>
          </w:tcPr>
          <w:p>
            <w:pPr>
              <w:spacing w:after="0"/>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Additions (deductions)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credit losses (1)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12,884</w:t>
            </w:r>
          </w:p>
        </w:tc>
        <w:tc>
          <w:tcPr>
            <w:tcW w:w="0" w:type="dxa"/>
            <w:vAlign w:val="bottom"/>
          </w:tcPr>
          <w:p>
            <w:pPr>
              <w:spacing w:after="0"/>
              <w:rPr>
                <w:sz w:val="1"/>
                <w:szCs w:val="1"/>
                <w:color w:val="auto"/>
              </w:rPr>
            </w:pPr>
          </w:p>
        </w:tc>
      </w:tr>
      <w:tr>
        <w:trPr>
          <w:trHeight w:val="212"/>
        </w:trPr>
        <w:tc>
          <w:tcPr>
            <w:tcW w:w="4640" w:type="dxa"/>
            <w:vAlign w:val="bottom"/>
          </w:tcPr>
          <w:p>
            <w:pPr>
              <w:ind w:left="320"/>
              <w:spacing w:after="0"/>
              <w:rPr>
                <w:sz w:val="20"/>
                <w:szCs w:val="20"/>
                <w:color w:val="auto"/>
              </w:rPr>
            </w:pPr>
            <w:r>
              <w:rPr>
                <w:rFonts w:ascii="Arial" w:cs="Arial" w:eastAsia="Arial" w:hAnsi="Arial"/>
                <w:sz w:val="18"/>
                <w:szCs w:val="18"/>
                <w:color w:val="auto"/>
              </w:rPr>
              <w:t>Recoveries credited to the allowance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charged against the allowance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19,380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35,771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ACL and recorded investment in loans by portfolio segment at December 31, 2020 follows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Subjective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Mortgage</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Installment</w:t>
            </w: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Allocation</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64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40" w:type="dxa"/>
            <w:vAlign w:val="bottom"/>
          </w:tcPr>
          <w:p>
            <w:pPr>
              <w:ind w:left="140"/>
              <w:spacing w:after="0"/>
              <w:rPr>
                <w:sz w:val="20"/>
                <w:szCs w:val="20"/>
                <w:color w:val="auto"/>
              </w:rPr>
            </w:pPr>
            <w:r>
              <w:rPr>
                <w:rFonts w:ascii="Arial" w:cs="Arial" w:eastAsia="Arial" w:hAnsi="Arial"/>
                <w:sz w:val="18"/>
                <w:szCs w:val="18"/>
                <w:color w:val="auto"/>
              </w:rPr>
              <w:t>ACL:</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2"/>
        </w:trPr>
        <w:tc>
          <w:tcPr>
            <w:tcW w:w="464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19,918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29,848</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Total ending ACL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7,401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19,918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35,429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50,672</w:t>
            </w:r>
          </w:p>
        </w:tc>
        <w:tc>
          <w:tcPr>
            <w:tcW w:w="0" w:type="dxa"/>
            <w:vAlign w:val="bottom"/>
          </w:tcPr>
          <w:p>
            <w:pPr>
              <w:spacing w:after="0"/>
              <w:rPr>
                <w:sz w:val="1"/>
                <w:szCs w:val="1"/>
                <w:color w:val="auto"/>
              </w:rPr>
            </w:pPr>
          </w:p>
        </w:tc>
      </w:tr>
      <w:tr>
        <w:trPr>
          <w:trHeight w:val="212"/>
        </w:trPr>
        <w:tc>
          <w:tcPr>
            <w:tcW w:w="4640" w:type="dxa"/>
            <w:vAlign w:val="bottom"/>
          </w:tcPr>
          <w:p>
            <w:pPr>
              <w:ind w:left="320"/>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1,236,052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980,449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474,379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2,690,880</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acquired with deteriorated credit quality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Total loans recorded investment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1,245,951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1,020,104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476,522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2,742,577</w:t>
            </w:r>
          </w:p>
        </w:tc>
        <w:tc>
          <w:tcPr>
            <w:tcW w:w="0" w:type="dxa"/>
            <w:vAlign w:val="bottom"/>
          </w:tcPr>
          <w:p>
            <w:pPr>
              <w:spacing w:after="0"/>
              <w:rPr>
                <w:sz w:val="1"/>
                <w:szCs w:val="1"/>
                <w:color w:val="auto"/>
              </w:rPr>
            </w:pPr>
          </w:p>
        </w:tc>
      </w:tr>
      <w:tr>
        <w:trPr>
          <w:trHeight w:val="212"/>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1,242,415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1,015,926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475,337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2,733,678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right="340" w:hanging="314"/>
        <w:spacing w:after="0" w:line="264"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Loans on non-accrual status and past due more than 90 days (“Non-performing Loans”)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7"/>
              </w:rPr>
              <w:t>September 30, 2021</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Non- Accrual</w:t>
            </w:r>
          </w:p>
        </w:tc>
        <w:tc>
          <w:tcPr>
            <w:tcW w:w="100" w:type="dxa"/>
            <w:vAlign w:val="bottom"/>
          </w:tcPr>
          <w:p>
            <w:pPr>
              <w:spacing w:after="0"/>
              <w:rPr>
                <w:sz w:val="20"/>
                <w:szCs w:val="20"/>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2"/>
              </w:rPr>
              <w:t>Non-Accrual</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Total</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with no</w:t>
            </w: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91"/>
              </w:rPr>
              <w:t>with an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Total Non-</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Allowance for</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Allowance for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1020" w:type="dxa"/>
            <w:vAlign w:val="bottom"/>
          </w:tcPr>
          <w:p>
            <w:pPr>
              <w:jc w:val="right"/>
              <w:spacing w:after="0"/>
              <w:rPr>
                <w:sz w:val="20"/>
                <w:szCs w:val="20"/>
                <w:color w:val="auto"/>
              </w:rPr>
            </w:pPr>
            <w:r>
              <w:rPr>
                <w:rFonts w:ascii="Arial" w:cs="Arial" w:eastAsia="Arial" w:hAnsi="Arial"/>
                <w:sz w:val="18"/>
                <w:szCs w:val="18"/>
                <w:color w:val="auto"/>
                <w:w w:val="98"/>
              </w:rPr>
              <w:t>90+ and Still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Performing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Performing</w:t>
            </w:r>
          </w:p>
        </w:tc>
        <w:tc>
          <w:tcPr>
            <w:tcW w:w="0" w:type="dxa"/>
            <w:vAlign w:val="bottom"/>
          </w:tcPr>
          <w:p>
            <w:pPr>
              <w:spacing w:after="0"/>
              <w:rPr>
                <w:sz w:val="1"/>
                <w:szCs w:val="1"/>
                <w:color w:val="auto"/>
              </w:rPr>
            </w:pPr>
          </w:p>
        </w:tc>
      </w:tr>
      <w:tr>
        <w:trPr>
          <w:trHeight w:val="231"/>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Credit Loss</w:t>
            </w:r>
          </w:p>
        </w:tc>
        <w:tc>
          <w:tcPr>
            <w:tcW w:w="100" w:type="dxa"/>
            <w:vAlign w:val="bottom"/>
          </w:tcPr>
          <w:p>
            <w:pPr>
              <w:spacing w:after="0"/>
              <w:rPr>
                <w:sz w:val="20"/>
                <w:szCs w:val="20"/>
                <w:color w:val="auto"/>
              </w:rPr>
            </w:pPr>
          </w:p>
        </w:tc>
        <w:tc>
          <w:tcPr>
            <w:tcW w:w="1040" w:type="dxa"/>
            <w:vAlign w:val="bottom"/>
          </w:tcPr>
          <w:p>
            <w:pPr>
              <w:jc w:val="center"/>
              <w:ind w:right="32"/>
              <w:spacing w:after="0"/>
              <w:rPr>
                <w:sz w:val="20"/>
                <w:szCs w:val="20"/>
                <w:color w:val="auto"/>
              </w:rPr>
            </w:pPr>
            <w:r>
              <w:rPr>
                <w:rFonts w:ascii="Arial" w:cs="Arial" w:eastAsia="Arial" w:hAnsi="Arial"/>
                <w:sz w:val="18"/>
                <w:szCs w:val="18"/>
                <w:color w:val="auto"/>
                <w:w w:val="87"/>
              </w:rPr>
              <w:t>Credit Loss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Non-Accrual</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Accruing</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Loans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 (1)</w:t>
            </w:r>
          </w:p>
        </w:tc>
        <w:tc>
          <w:tcPr>
            <w:tcW w:w="0" w:type="dxa"/>
            <w:vAlign w:val="bottom"/>
          </w:tcPr>
          <w:p>
            <w:pPr>
              <w:spacing w:after="0"/>
              <w:rPr>
                <w:sz w:val="1"/>
                <w:szCs w:val="1"/>
                <w:color w:val="auto"/>
              </w:rPr>
            </w:pPr>
          </w:p>
        </w:tc>
      </w:tr>
      <w:tr>
        <w:trPr>
          <w:trHeight w:val="223"/>
        </w:trPr>
        <w:tc>
          <w:tcPr>
            <w:tcW w:w="340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industrial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8"/>
                <w:szCs w:val="18"/>
                <w:color w:val="auto"/>
              </w:rPr>
              <w:t>1-4 family owner occupied - jumbo</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1-4 family owner occupied - non-jumbo (3)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8"/>
                <w:szCs w:val="18"/>
                <w:color w:val="auto"/>
              </w:rPr>
              <w:t>1-4 family non-owner occupied</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966</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1-4 family - 2nd lien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200"/>
              <w:spacing w:after="0"/>
              <w:rPr>
                <w:sz w:val="20"/>
                <w:szCs w:val="20"/>
                <w:color w:val="auto"/>
              </w:rPr>
            </w:pPr>
            <w:r>
              <w:rPr>
                <w:rFonts w:ascii="Arial" w:cs="Arial" w:eastAsia="Arial" w:hAnsi="Arial"/>
                <w:sz w:val="18"/>
                <w:szCs w:val="18"/>
                <w:color w:val="auto"/>
              </w:rPr>
              <w:t>Boat lending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020" w:type="dxa"/>
            <w:vAlign w:val="bottom"/>
          </w:tcPr>
          <w:p>
            <w:pPr>
              <w:spacing w:after="0"/>
              <w:rPr>
                <w:sz w:val="18"/>
                <w:szCs w:val="18"/>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Recreational vehicle lending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8"/>
        </w:trPr>
        <w:tc>
          <w:tcPr>
            <w:tcW w:w="340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020" w:type="dxa"/>
            <w:vAlign w:val="bottom"/>
          </w:tcPr>
          <w:p>
            <w:pPr>
              <w:spacing w:after="0"/>
              <w:rPr>
                <w:sz w:val="19"/>
                <w:szCs w:val="19"/>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52"/>
        </w:trPr>
        <w:tc>
          <w:tcPr>
            <w:tcW w:w="3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loans at December 31, 2020 exclude PCI loans.</w:t>
      </w:r>
    </w:p>
    <w:p>
      <w:pPr>
        <w:spacing w:after="0" w:line="16" w:lineRule="exact"/>
        <w:rPr>
          <w:rFonts w:ascii="Arial" w:cs="Arial" w:eastAsia="Arial" w:hAnsi="Arial"/>
          <w:sz w:val="18"/>
          <w:szCs w:val="18"/>
          <w:color w:val="auto"/>
        </w:rPr>
      </w:pPr>
    </w:p>
    <w:p>
      <w:pPr>
        <w:ind w:left="320" w:hanging="314"/>
        <w:spacing w:after="0" w:line="245"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commercial and industrial loans exclude $0.053 million of government guaranteed loans at both September 30, 2021 and December 31, 2020.</w:t>
      </w:r>
    </w:p>
    <w:p>
      <w:pPr>
        <w:spacing w:after="0" w:line="1" w:lineRule="exact"/>
        <w:rPr>
          <w:rFonts w:ascii="Arial" w:cs="Arial" w:eastAsia="Arial" w:hAnsi="Arial"/>
          <w:sz w:val="18"/>
          <w:szCs w:val="18"/>
          <w:color w:val="auto"/>
        </w:rPr>
      </w:pPr>
    </w:p>
    <w:p>
      <w:pPr>
        <w:ind w:left="320" w:hanging="314"/>
        <w:spacing w:after="0" w:line="251"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1-4 family owner occupied – non jumbo loans exclude $0.274 million and $0.386 million of government guaranteed loans at September 30, 2021 and December 31, 2020, respectively.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Arial" w:cs="Arial" w:eastAsia="Arial" w:hAnsi="Arial"/>
                <w:sz w:val="18"/>
                <w:szCs w:val="18"/>
                <w:color w:val="auto"/>
                <w:w w:val="97"/>
              </w:rPr>
              <w:t>The amortized cost of collateral-dependent loans by class follows:</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Collateral Type</w:t>
            </w: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Real</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60"/>
              <w:spacing w:after="0" w:line="200" w:lineRule="exact"/>
              <w:rPr>
                <w:sz w:val="20"/>
                <w:szCs w:val="20"/>
                <w:color w:val="auto"/>
              </w:rPr>
            </w:pPr>
            <w:r>
              <w:rPr>
                <w:rFonts w:ascii="Arial" w:cs="Arial" w:eastAsia="Arial" w:hAnsi="Arial"/>
                <w:sz w:val="18"/>
                <w:szCs w:val="18"/>
                <w:color w:val="auto"/>
              </w:rPr>
              <w:t>Allowance for</w:t>
            </w: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Credit 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(In</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2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60"/>
              <w:spacing w:after="0"/>
              <w:rPr>
                <w:sz w:val="20"/>
                <w:szCs w:val="20"/>
                <w:color w:val="auto"/>
              </w:rPr>
            </w:pPr>
            <w:r>
              <w:rPr>
                <w:rFonts w:ascii="Arial" w:cs="Arial" w:eastAsia="Arial" w:hAnsi="Arial"/>
                <w:sz w:val="18"/>
                <w:szCs w:val="18"/>
                <w:color w:val="auto"/>
              </w:rPr>
              <w:t>Commercial</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559</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Mortgage</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8"/>
                <w:szCs w:val="18"/>
                <w:color w:val="auto"/>
              </w:rPr>
              <w:t>1-4 family owner occupied - jumbo</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1-4 family owner occupied - non-jumbo</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8"/>
                <w:szCs w:val="18"/>
                <w:color w:val="auto"/>
              </w:rPr>
              <w:t>1-4 family non-owner occupied</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1-4 family - 2nd lien</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8"/>
                <w:szCs w:val="18"/>
                <w:color w:val="auto"/>
              </w:rPr>
              <w:t>Resort lending</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Installment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260"/>
              <w:spacing w:after="0"/>
              <w:rPr>
                <w:sz w:val="20"/>
                <w:szCs w:val="20"/>
                <w:color w:val="auto"/>
              </w:rPr>
            </w:pPr>
            <w:r>
              <w:rPr>
                <w:rFonts w:ascii="Arial" w:cs="Arial" w:eastAsia="Arial" w:hAnsi="Arial"/>
                <w:sz w:val="18"/>
                <w:szCs w:val="18"/>
                <w:color w:val="auto"/>
              </w:rPr>
              <w:t>Boat lending</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Recreational vehicle lending</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9"/>
        </w:trPr>
        <w:tc>
          <w:tcPr>
            <w:tcW w:w="5120" w:type="dxa"/>
            <w:vAlign w:val="bottom"/>
          </w:tcPr>
          <w:p>
            <w:pPr>
              <w:ind w:left="260"/>
              <w:spacing w:after="0"/>
              <w:rPr>
                <w:sz w:val="20"/>
                <w:szCs w:val="20"/>
                <w:color w:val="auto"/>
              </w:rPr>
            </w:pPr>
            <w:r>
              <w:rPr>
                <w:rFonts w:ascii="Arial" w:cs="Arial" w:eastAsia="Arial" w:hAnsi="Arial"/>
                <w:sz w:val="18"/>
                <w:szCs w:val="18"/>
                <w:color w:val="auto"/>
              </w:rPr>
              <w:t>Other</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180</w:t>
            </w:r>
          </w:p>
        </w:tc>
        <w:tc>
          <w:tcPr>
            <w:tcW w:w="4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2"/>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847</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24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excluded from total</w:t>
            </w:r>
          </w:p>
        </w:tc>
        <w:tc>
          <w:tcPr>
            <w:tcW w:w="24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4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51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1538"/>
              <w:spacing w:after="0"/>
              <w:rPr>
                <w:sz w:val="20"/>
                <w:szCs w:val="20"/>
                <w:color w:val="auto"/>
              </w:rPr>
            </w:pPr>
            <w:r>
              <w:rPr>
                <w:rFonts w:ascii="Arial" w:cs="Arial" w:eastAsia="Arial" w:hAnsi="Arial"/>
                <w:sz w:val="14"/>
                <w:szCs w:val="14"/>
                <w:color w:val="auto"/>
              </w:rPr>
              <w:t>20</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2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20"/>
                <w:szCs w:val="20"/>
                <w:color w:val="auto"/>
              </w:rPr>
            </w:pPr>
            <w:r>
              <w:rPr>
                <w:rFonts w:ascii="Arial" w:cs="Arial" w:eastAsia="Arial" w:hAnsi="Arial"/>
                <w:sz w:val="18"/>
                <w:szCs w:val="18"/>
                <w:color w:val="auto"/>
                <w:w w:val="94"/>
              </w:rPr>
              <w:t>An aging analysis of loans by class follows: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color w:val="auto"/>
              </w:rPr>
              <w:t>Loans Past Due</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Loans not</w:t>
            </w:r>
          </w:p>
        </w:tc>
        <w:tc>
          <w:tcPr>
            <w:tcW w:w="22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8"/>
        </w:trPr>
        <w:tc>
          <w:tcPr>
            <w:tcW w:w="3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30-59 days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60-89 days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5"/>
              </w:rPr>
              <w:t>90+ days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Total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7"/>
              </w:rPr>
              <w:t>Past Due</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624,950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625,192</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597,610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597,610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536,704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537,311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247,205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249,220</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176,147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176,796</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87,694</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49,693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49,971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231,300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231,546</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229,406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229,751</w:t>
            </w:r>
          </w:p>
        </w:tc>
        <w:tc>
          <w:tcPr>
            <w:tcW w:w="0" w:type="dxa"/>
            <w:vAlign w:val="bottom"/>
          </w:tcPr>
          <w:p>
            <w:pPr>
              <w:spacing w:after="0"/>
              <w:rPr>
                <w:sz w:val="1"/>
                <w:szCs w:val="1"/>
                <w:color w:val="auto"/>
              </w:rPr>
            </w:pPr>
          </w:p>
        </w:tc>
      </w:tr>
      <w:tr>
        <w:trPr>
          <w:trHeight w:val="218"/>
        </w:trPr>
        <w:tc>
          <w:tcPr>
            <w:tcW w:w="328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98,465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98,887</w:t>
            </w:r>
          </w:p>
        </w:tc>
        <w:tc>
          <w:tcPr>
            <w:tcW w:w="0" w:type="dxa"/>
            <w:vAlign w:val="bottom"/>
          </w:tcPr>
          <w:p>
            <w:pPr>
              <w:spacing w:after="0"/>
              <w:rPr>
                <w:sz w:val="1"/>
                <w:szCs w:val="1"/>
                <w:color w:val="auto"/>
              </w:rPr>
            </w:pPr>
          </w:p>
        </w:tc>
      </w:tr>
      <w:tr>
        <w:trPr>
          <w:trHeight w:val="252"/>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2,878,186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2,883,978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excluded from 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05"/>
        </w:trPr>
        <w:tc>
          <w:tcPr>
            <w:tcW w:w="3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671,115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567,032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438,794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440,178</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267,573</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157,977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159,776</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94,530</w:t>
            </w: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57,462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58,047</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207,317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207,513</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169,574</w:t>
            </w:r>
          </w:p>
        </w:tc>
        <w:tc>
          <w:tcPr>
            <w:tcW w:w="0" w:type="dxa"/>
            <w:vAlign w:val="bottom"/>
          </w:tcPr>
          <w:p>
            <w:pPr>
              <w:spacing w:after="0"/>
              <w:rPr>
                <w:sz w:val="1"/>
                <w:szCs w:val="1"/>
                <w:color w:val="auto"/>
              </w:rPr>
            </w:pPr>
          </w:p>
        </w:tc>
      </w:tr>
      <w:tr>
        <w:trPr>
          <w:trHeight w:val="218"/>
        </w:trPr>
        <w:tc>
          <w:tcPr>
            <w:tcW w:w="328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98,737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99,435</w:t>
            </w:r>
          </w:p>
        </w:tc>
        <w:tc>
          <w:tcPr>
            <w:tcW w:w="0" w:type="dxa"/>
            <w:vAlign w:val="bottom"/>
          </w:tcPr>
          <w:p>
            <w:pPr>
              <w:spacing w:after="0"/>
              <w:rPr>
                <w:sz w:val="1"/>
                <w:szCs w:val="1"/>
                <w:color w:val="auto"/>
              </w:rPr>
            </w:pPr>
          </w:p>
        </w:tc>
      </w:tr>
      <w:tr>
        <w:trPr>
          <w:trHeight w:val="252"/>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recorded investment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2,725,306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2,742,577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280" w:type="dxa"/>
            <w:vAlign w:val="bottom"/>
          </w:tcPr>
          <w:p>
            <w:pPr>
              <w:ind w:left="140"/>
              <w:spacing w:after="0" w:line="193" w:lineRule="exact"/>
              <w:rPr>
                <w:sz w:val="20"/>
                <w:szCs w:val="20"/>
                <w:color w:val="auto"/>
              </w:rPr>
            </w:pPr>
            <w:r>
              <w:rPr>
                <w:rFonts w:ascii="Arial" w:cs="Arial" w:eastAsia="Arial" w:hAnsi="Arial"/>
                <w:sz w:val="18"/>
                <w:szCs w:val="18"/>
                <w:color w:val="auto"/>
              </w:rPr>
              <w:t>Accrued interest included in recorded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260"/>
              <w:spacing w:after="0"/>
              <w:rPr>
                <w:sz w:val="20"/>
                <w:szCs w:val="20"/>
                <w:color w:val="auto"/>
              </w:rPr>
            </w:pPr>
            <w:r>
              <w:rPr>
                <w:rFonts w:ascii="Arial" w:cs="Arial" w:eastAsia="Arial" w:hAnsi="Arial"/>
                <w:sz w:val="18"/>
                <w:szCs w:val="18"/>
                <w:color w:val="auto"/>
              </w:rPr>
              <w:t>investment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8,730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2"/>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Impaired loans at December 31, 2020 are as follows (1):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2"/>
        </w:trPr>
        <w:tc>
          <w:tcPr>
            <w:tcW w:w="10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0020" w:type="dxa"/>
            <w:vAlign w:val="bottom"/>
          </w:tcPr>
          <w:p>
            <w:pPr>
              <w:spacing w:after="0"/>
              <w:rPr>
                <w:sz w:val="20"/>
                <w:szCs w:val="20"/>
                <w:color w:val="auto"/>
              </w:rPr>
            </w:pPr>
            <w:r>
              <w:rPr>
                <w:rFonts w:ascii="Arial" w:cs="Arial" w:eastAsia="Arial" w:hAnsi="Arial"/>
                <w:sz w:val="18"/>
                <w:szCs w:val="18"/>
                <w:color w:val="auto"/>
              </w:rPr>
              <w:t>Impaired loans with no allocated ACL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0"/>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Troubled debt restructurings ("TDR")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r>
      <w:tr>
        <w:trPr>
          <w:trHeight w:val="212"/>
        </w:trPr>
        <w:tc>
          <w:tcPr>
            <w:tcW w:w="10020" w:type="dxa"/>
            <w:vAlign w:val="bottom"/>
          </w:tcPr>
          <w:p>
            <w:pPr>
              <w:ind w:left="140"/>
              <w:spacing w:after="0"/>
              <w:rPr>
                <w:sz w:val="20"/>
                <w:szCs w:val="20"/>
                <w:color w:val="auto"/>
              </w:rPr>
            </w:pPr>
            <w:r>
              <w:rPr>
                <w:rFonts w:ascii="Arial" w:cs="Arial" w:eastAsia="Arial" w:hAnsi="Arial"/>
                <w:sz w:val="18"/>
                <w:szCs w:val="18"/>
                <w:color w:val="auto"/>
              </w:rPr>
              <w:t>Non - TDR</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18"/>
                <w:szCs w:val="18"/>
                <w:color w:val="auto"/>
              </w:rPr>
            </w:pPr>
          </w:p>
        </w:tc>
      </w:tr>
      <w:tr>
        <w:trPr>
          <w:trHeight w:val="212"/>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an allocated ACL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80" w:type="dxa"/>
            <w:vAlign w:val="bottom"/>
          </w:tcPr>
          <w:p>
            <w:pPr>
              <w:spacing w:after="0"/>
              <w:rPr>
                <w:sz w:val="18"/>
                <w:szCs w:val="18"/>
                <w:color w:val="auto"/>
              </w:rPr>
            </w:pPr>
          </w:p>
        </w:tc>
      </w:tr>
      <w:tr>
        <w:trPr>
          <w:trHeight w:val="212"/>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37,953</w:t>
            </w:r>
          </w:p>
        </w:tc>
      </w:tr>
      <w:tr>
        <w:trPr>
          <w:trHeight w:val="218"/>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1,873</w:t>
            </w:r>
          </w:p>
        </w:tc>
        <w:tc>
          <w:tcPr>
            <w:tcW w:w="80" w:type="dxa"/>
            <w:vAlign w:val="bottom"/>
          </w:tcPr>
          <w:p>
            <w:pPr>
              <w:spacing w:after="0"/>
              <w:rPr>
                <w:sz w:val="19"/>
                <w:szCs w:val="19"/>
                <w:color w:val="auto"/>
              </w:rPr>
            </w:pPr>
          </w:p>
        </w:tc>
      </w:tr>
      <w:tr>
        <w:trPr>
          <w:trHeight w:val="252"/>
        </w:trPr>
        <w:tc>
          <w:tcPr>
            <w:tcW w:w="10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impaired loans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50,313</w:t>
            </w:r>
          </w:p>
        </w:tc>
        <w:tc>
          <w:tcPr>
            <w:tcW w:w="80" w:type="dxa"/>
            <w:vAlign w:val="bottom"/>
            <w:shd w:val="clear" w:color="auto" w:fill="CCEEFF"/>
          </w:tcPr>
          <w:p>
            <w:pPr>
              <w:spacing w:after="0"/>
              <w:rPr>
                <w:sz w:val="21"/>
                <w:szCs w:val="21"/>
                <w:color w:val="auto"/>
              </w:rPr>
            </w:pPr>
          </w:p>
        </w:tc>
      </w:tr>
      <w:tr>
        <w:trPr>
          <w:trHeight w:val="205"/>
        </w:trPr>
        <w:tc>
          <w:tcPr>
            <w:tcW w:w="100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2"/>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Amount of ACL allocated (1)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2"/>
        </w:trPr>
        <w:tc>
          <w:tcPr>
            <w:tcW w:w="10020" w:type="dxa"/>
            <w:vAlign w:val="bottom"/>
          </w:tcPr>
          <w:p>
            <w:pPr>
              <w:ind w:left="140"/>
              <w:spacing w:after="0"/>
              <w:rPr>
                <w:sz w:val="20"/>
                <w:szCs w:val="20"/>
                <w:color w:val="auto"/>
              </w:rPr>
            </w:pPr>
            <w:r>
              <w:rPr>
                <w:rFonts w:ascii="Arial" w:cs="Arial" w:eastAsia="Arial" w:hAnsi="Arial"/>
                <w:sz w:val="18"/>
                <w:szCs w:val="18"/>
                <w:color w:val="auto"/>
              </w:rPr>
              <w:t>TDR - allowance based on collateral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8"/>
                <w:szCs w:val="18"/>
                <w:color w:val="auto"/>
              </w:rPr>
            </w:pPr>
          </w:p>
        </w:tc>
      </w:tr>
      <w:tr>
        <w:trPr>
          <w:trHeight w:val="212"/>
        </w:trPr>
        <w:tc>
          <w:tcPr>
            <w:tcW w:w="10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TDR - allowance based on present value cash flow</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CEEFF"/>
          </w:tcPr>
          <w:p>
            <w:pPr>
              <w:spacing w:after="0"/>
              <w:rPr>
                <w:sz w:val="18"/>
                <w:szCs w:val="18"/>
                <w:color w:val="auto"/>
              </w:rPr>
            </w:pPr>
          </w:p>
        </w:tc>
      </w:tr>
      <w:tr>
        <w:trPr>
          <w:trHeight w:val="218"/>
        </w:trPr>
        <w:tc>
          <w:tcPr>
            <w:tcW w:w="10020" w:type="dxa"/>
            <w:vAlign w:val="bottom"/>
          </w:tcPr>
          <w:p>
            <w:pPr>
              <w:ind w:left="140"/>
              <w:spacing w:after="0"/>
              <w:rPr>
                <w:sz w:val="20"/>
                <w:szCs w:val="20"/>
                <w:color w:val="auto"/>
              </w:rPr>
            </w:pPr>
            <w:r>
              <w:rPr>
                <w:rFonts w:ascii="Arial" w:cs="Arial" w:eastAsia="Arial" w:hAnsi="Arial"/>
                <w:sz w:val="18"/>
                <w:szCs w:val="18"/>
                <w:color w:val="auto"/>
              </w:rPr>
              <w:t>Non - TDR - allowance based on collateral</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768</w:t>
            </w:r>
          </w:p>
        </w:tc>
      </w:tr>
      <w:tr>
        <w:trPr>
          <w:trHeight w:val="252"/>
        </w:trPr>
        <w:tc>
          <w:tcPr>
            <w:tcW w:w="10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amount of ACL allocated</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line="264"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Impaired loans by class at December 31, 2020 are as follows (1):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line="200" w:lineRule="exact"/>
              <w:rPr>
                <w:sz w:val="20"/>
                <w:szCs w:val="20"/>
                <w:color w:val="auto"/>
              </w:rPr>
            </w:pPr>
            <w:r>
              <w:rPr>
                <w:rFonts w:ascii="Arial" w:cs="Arial" w:eastAsia="Arial" w:hAnsi="Arial"/>
                <w:sz w:val="18"/>
                <w:szCs w:val="18"/>
                <w:color w:val="auto"/>
                <w:w w:val="91"/>
              </w:rPr>
              <w:t>Unpaid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4"/>
              </w:rPr>
              <w:t>Recorded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Related</w:t>
            </w:r>
          </w:p>
        </w:tc>
      </w:tr>
      <w:tr>
        <w:trPr>
          <w:trHeight w:val="23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Investment</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Balance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ACL (1)</w:t>
            </w:r>
          </w:p>
        </w:tc>
      </w:tr>
      <w:tr>
        <w:trPr>
          <w:trHeight w:val="200"/>
        </w:trPr>
        <w:tc>
          <w:tcPr>
            <w:tcW w:w="7320" w:type="dxa"/>
            <w:vAlign w:val="bottom"/>
          </w:tcPr>
          <w:p>
            <w:pPr>
              <w:spacing w:after="0" w:line="200" w:lineRule="exact"/>
              <w:rPr>
                <w:sz w:val="20"/>
                <w:szCs w:val="20"/>
                <w:color w:val="auto"/>
              </w:rPr>
            </w:pPr>
            <w:r>
              <w:rPr>
                <w:rFonts w:ascii="Arial" w:cs="Arial" w:eastAsia="Arial" w:hAnsi="Arial"/>
                <w:sz w:val="18"/>
                <w:szCs w:val="18"/>
                <w:b w:val="1"/>
                <w:bCs w:val="1"/>
                <w:color w:val="auto"/>
              </w:rPr>
              <w:t>With no related ACL recorded:</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top w:val="single" w:sz="8" w:color="auto"/>
            </w:tcBorders>
            <w:gridSpan w:val="2"/>
          </w:tcPr>
          <w:p>
            <w:pPr>
              <w:jc w:val="center"/>
              <w:spacing w:after="0" w:line="200" w:lineRule="exact"/>
              <w:rPr>
                <w:sz w:val="20"/>
                <w:szCs w:val="20"/>
                <w:color w:val="auto"/>
              </w:rPr>
            </w:pPr>
            <w:r>
              <w:rPr>
                <w:rFonts w:ascii="Arial" w:cs="Arial" w:eastAsia="Arial" w:hAnsi="Arial"/>
                <w:sz w:val="18"/>
                <w:szCs w:val="18"/>
                <w:color w:val="auto"/>
                <w:w w:val="88"/>
              </w:rPr>
              <w:t>(In thousands)</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9"/>
        </w:trPr>
        <w:tc>
          <w:tcPr>
            <w:tcW w:w="732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73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7320" w:type="dxa"/>
            <w:vAlign w:val="bottom"/>
          </w:tcPr>
          <w:p>
            <w:pPr>
              <w:spacing w:after="0"/>
              <w:rPr>
                <w:sz w:val="20"/>
                <w:szCs w:val="20"/>
                <w:color w:val="auto"/>
              </w:rPr>
            </w:pPr>
            <w:r>
              <w:rPr>
                <w:rFonts w:ascii="Arial" w:cs="Arial" w:eastAsia="Arial" w:hAnsi="Arial"/>
                <w:sz w:val="18"/>
                <w:szCs w:val="18"/>
                <w:b w:val="1"/>
                <w:bCs w:val="1"/>
                <w:color w:val="auto"/>
              </w:rPr>
              <w:t>With an ACL recorded: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2,370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2"/>
        </w:trPr>
        <w:tc>
          <w:tcPr>
            <w:tcW w:w="732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22,311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r>
      <w:tr>
        <w:trPr>
          <w:trHeight w:val="212"/>
        </w:trPr>
        <w:tc>
          <w:tcPr>
            <w:tcW w:w="732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9"/>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8"/>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51,105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7,096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2"/>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22,311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5,177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11,143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r>
      <w:tr>
        <w:trPr>
          <w:trHeight w:val="212"/>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32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8"/>
        </w:trPr>
        <w:tc>
          <w:tcPr>
            <w:tcW w:w="7320" w:type="dxa"/>
            <w:vAlign w:val="bottom"/>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52"/>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7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2"/>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interest included in recorded investment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line="264"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Average recorded investment in and interest income earned on impaired loans by class follows (1):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2420" w:type="dxa"/>
            <w:vAlign w:val="bottom"/>
            <w:gridSpan w:val="5"/>
          </w:tcPr>
          <w:p>
            <w:pPr>
              <w:ind w:left="420"/>
              <w:spacing w:after="0"/>
              <w:rPr>
                <w:sz w:val="20"/>
                <w:szCs w:val="20"/>
                <w:color w:val="auto"/>
              </w:rPr>
            </w:pPr>
            <w:r>
              <w:rPr>
                <w:rFonts w:ascii="Arial" w:cs="Arial" w:eastAsia="Arial" w:hAnsi="Arial"/>
                <w:sz w:val="18"/>
                <w:szCs w:val="18"/>
                <w:color w:val="auto"/>
              </w:rPr>
              <w:t>Nine months ended</w:t>
            </w:r>
          </w:p>
        </w:tc>
      </w:tr>
      <w:tr>
        <w:trPr>
          <w:trHeight w:val="231"/>
        </w:trPr>
        <w:tc>
          <w:tcPr>
            <w:tcW w:w="4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 2020</w:t>
            </w:r>
          </w:p>
        </w:tc>
        <w:tc>
          <w:tcPr>
            <w:tcW w:w="120" w:type="dxa"/>
            <w:vAlign w:val="bottom"/>
          </w:tcPr>
          <w:p>
            <w:pPr>
              <w:spacing w:after="0"/>
              <w:rPr>
                <w:sz w:val="20"/>
                <w:szCs w:val="20"/>
                <w:color w:val="auto"/>
              </w:rPr>
            </w:pPr>
          </w:p>
        </w:tc>
        <w:tc>
          <w:tcPr>
            <w:tcW w:w="2420" w:type="dxa"/>
            <w:vAlign w:val="bottom"/>
            <w:gridSpan w:val="5"/>
          </w:tcPr>
          <w:p>
            <w:pPr>
              <w:ind w:left="380"/>
              <w:spacing w:after="0"/>
              <w:rPr>
                <w:sz w:val="20"/>
                <w:szCs w:val="20"/>
                <w:color w:val="auto"/>
              </w:rPr>
            </w:pPr>
            <w:r>
              <w:rPr>
                <w:rFonts w:ascii="Arial" w:cs="Arial" w:eastAsia="Arial" w:hAnsi="Arial"/>
                <w:sz w:val="18"/>
                <w:szCs w:val="18"/>
                <w:color w:val="auto"/>
              </w:rPr>
              <w:t>September 30, 2020</w:t>
            </w:r>
          </w:p>
        </w:tc>
      </w:tr>
      <w:tr>
        <w:trPr>
          <w:trHeight w:val="200"/>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40"/>
              <w:spacing w:after="0" w:line="200" w:lineRule="exact"/>
              <w:rPr>
                <w:sz w:val="20"/>
                <w:szCs w:val="20"/>
                <w:color w:val="auto"/>
              </w:rPr>
            </w:pPr>
            <w:r>
              <w:rPr>
                <w:rFonts w:ascii="Arial" w:cs="Arial" w:eastAsia="Arial" w:hAnsi="Arial"/>
                <w:sz w:val="18"/>
                <w:szCs w:val="18"/>
                <w:color w:val="auto"/>
                <w:w w:val="89"/>
              </w:rPr>
              <w:t>Average</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2"/>
              <w:spacing w:after="0" w:line="200" w:lineRule="exact"/>
              <w:rPr>
                <w:sz w:val="20"/>
                <w:szCs w:val="20"/>
                <w:color w:val="auto"/>
              </w:rPr>
            </w:pPr>
            <w:r>
              <w:rPr>
                <w:rFonts w:ascii="Arial" w:cs="Arial" w:eastAsia="Arial" w:hAnsi="Arial"/>
                <w:sz w:val="18"/>
                <w:szCs w:val="18"/>
                <w:color w:val="auto"/>
                <w:w w:val="86"/>
              </w:rPr>
              <w:t>Interest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40"/>
              <w:spacing w:after="0" w:line="200" w:lineRule="exact"/>
              <w:rPr>
                <w:sz w:val="20"/>
                <w:szCs w:val="20"/>
                <w:color w:val="auto"/>
              </w:rPr>
            </w:pPr>
            <w:r>
              <w:rPr>
                <w:rFonts w:ascii="Arial" w:cs="Arial" w:eastAsia="Arial" w:hAnsi="Arial"/>
                <w:sz w:val="18"/>
                <w:szCs w:val="18"/>
                <w:color w:val="auto"/>
                <w:w w:val="86"/>
              </w:rPr>
              <w:t>Average</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2"/>
              <w:spacing w:after="0" w:line="200" w:lineRule="exact"/>
              <w:rPr>
                <w:sz w:val="20"/>
                <w:szCs w:val="20"/>
                <w:color w:val="auto"/>
              </w:rPr>
            </w:pPr>
            <w:r>
              <w:rPr>
                <w:rFonts w:ascii="Arial" w:cs="Arial" w:eastAsia="Arial" w:hAnsi="Arial"/>
                <w:sz w:val="18"/>
                <w:szCs w:val="18"/>
                <w:color w:val="auto"/>
                <w:w w:val="86"/>
              </w:rPr>
              <w:t>Interest</w:t>
            </w:r>
          </w:p>
        </w:tc>
        <w:tc>
          <w:tcPr>
            <w:tcW w:w="100" w:type="dxa"/>
            <w:vAlign w:val="bottom"/>
          </w:tcPr>
          <w:p>
            <w:pPr>
              <w:spacing w:after="0"/>
              <w:rPr>
                <w:sz w:val="17"/>
                <w:szCs w:val="17"/>
                <w:color w:val="auto"/>
              </w:rPr>
            </w:pPr>
          </w:p>
        </w:tc>
      </w:tr>
      <w:tr>
        <w:trPr>
          <w:trHeight w:val="212"/>
        </w:trPr>
        <w:tc>
          <w:tcPr>
            <w:tcW w:w="4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Income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Income</w:t>
            </w:r>
          </w:p>
        </w:tc>
      </w:tr>
      <w:tr>
        <w:trPr>
          <w:trHeight w:val="231"/>
        </w:trPr>
        <w:tc>
          <w:tcPr>
            <w:tcW w:w="4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Recognized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Recognized</w:t>
            </w:r>
          </w:p>
        </w:tc>
        <w:tc>
          <w:tcPr>
            <w:tcW w:w="100" w:type="dxa"/>
            <w:vAlign w:val="bottom"/>
          </w:tcPr>
          <w:p>
            <w:pPr>
              <w:spacing w:after="0"/>
              <w:rPr>
                <w:sz w:val="20"/>
                <w:szCs w:val="20"/>
                <w:color w:val="auto"/>
              </w:rPr>
            </w:pPr>
          </w:p>
        </w:tc>
      </w:tr>
      <w:tr>
        <w:trPr>
          <w:trHeight w:val="200"/>
        </w:trPr>
        <w:tc>
          <w:tcPr>
            <w:tcW w:w="4560" w:type="dxa"/>
            <w:vAlign w:val="bottom"/>
          </w:tcPr>
          <w:p>
            <w:pPr>
              <w:spacing w:after="0" w:line="200" w:lineRule="exact"/>
              <w:rPr>
                <w:sz w:val="20"/>
                <w:szCs w:val="20"/>
                <w:color w:val="auto"/>
              </w:rPr>
            </w:pPr>
            <w:r>
              <w:rPr>
                <w:rFonts w:ascii="Arial" w:cs="Arial" w:eastAsia="Arial" w:hAnsi="Arial"/>
                <w:sz w:val="18"/>
                <w:szCs w:val="18"/>
                <w:b w:val="1"/>
                <w:bCs w:val="1"/>
                <w:color w:val="auto"/>
              </w:rPr>
              <w:t>With no related ACL recorded:</w:t>
            </w: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ind w:left="580"/>
              <w:spacing w:after="0" w:line="200"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45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4560" w:type="dxa"/>
            <w:vAlign w:val="bottom"/>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45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4560" w:type="dxa"/>
            <w:vAlign w:val="bottom"/>
          </w:tcPr>
          <w:p>
            <w:pPr>
              <w:spacing w:after="0"/>
              <w:rPr>
                <w:sz w:val="20"/>
                <w:szCs w:val="20"/>
                <w:color w:val="auto"/>
              </w:rPr>
            </w:pPr>
            <w:r>
              <w:rPr>
                <w:rFonts w:ascii="Arial" w:cs="Arial" w:eastAsia="Arial" w:hAnsi="Arial"/>
                <w:sz w:val="18"/>
                <w:szCs w:val="18"/>
                <w:b w:val="1"/>
                <w:bCs w:val="1"/>
                <w:color w:val="auto"/>
              </w:rPr>
              <w:t>With an a ACL recorded: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real estate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r>
      <w:tr>
        <w:trPr>
          <w:trHeight w:val="212"/>
        </w:trPr>
        <w:tc>
          <w:tcPr>
            <w:tcW w:w="4560" w:type="dxa"/>
            <w:vAlign w:val="bottom"/>
          </w:tcPr>
          <w:p>
            <w:pPr>
              <w:ind w:left="140"/>
              <w:spacing w:after="0"/>
              <w:rPr>
                <w:sz w:val="20"/>
                <w:szCs w:val="20"/>
                <w:color w:val="auto"/>
              </w:rPr>
            </w:pPr>
            <w:r>
              <w:rPr>
                <w:rFonts w:ascii="Arial" w:cs="Arial" w:eastAsia="Arial" w:hAnsi="Arial"/>
                <w:sz w:val="18"/>
                <w:szCs w:val="18"/>
                <w:color w:val="auto"/>
              </w:rPr>
              <w:t>Mortgage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jumbo</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owner occupied - non-jumbo</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19,116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non-owner occupied</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- 2nd lien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4,017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r>
      <w:tr>
        <w:trPr>
          <w:trHeight w:val="212"/>
        </w:trPr>
        <w:tc>
          <w:tcPr>
            <w:tcW w:w="4560" w:type="dxa"/>
            <w:vAlign w:val="bottom"/>
          </w:tcPr>
          <w:p>
            <w:pPr>
              <w:ind w:left="140"/>
              <w:spacing w:after="0"/>
              <w:rPr>
                <w:sz w:val="20"/>
                <w:szCs w:val="20"/>
                <w:color w:val="auto"/>
              </w:rPr>
            </w:pPr>
            <w:r>
              <w:rPr>
                <w:rFonts w:ascii="Arial" w:cs="Arial" w:eastAsia="Arial" w:hAnsi="Arial"/>
                <w:sz w:val="18"/>
                <w:szCs w:val="18"/>
                <w:color w:val="auto"/>
              </w:rPr>
              <w:t>Installment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7"/>
        </w:trPr>
        <w:tc>
          <w:tcPr>
            <w:tcW w:w="45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8"/>
        </w:trPr>
        <w:tc>
          <w:tcPr>
            <w:tcW w:w="45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57,198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r>
      <w:tr>
        <w:trPr>
          <w:trHeight w:val="212"/>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Commercial real estate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11,856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12"/>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owner occupied - jumbo</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19,469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1-4 family non-owner occupied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Resort lending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11,583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212"/>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60" w:type="dxa"/>
            <w:vAlign w:val="bottom"/>
          </w:tcPr>
          <w:p>
            <w:pPr>
              <w:ind w:left="320"/>
              <w:spacing w:after="0"/>
              <w:rPr>
                <w:sz w:val="20"/>
                <w:szCs w:val="20"/>
                <w:color w:val="auto"/>
              </w:rPr>
            </w:pPr>
            <w:r>
              <w:rPr>
                <w:rFonts w:ascii="Arial" w:cs="Arial" w:eastAsia="Arial" w:hAnsi="Arial"/>
                <w:sz w:val="18"/>
                <w:szCs w:val="18"/>
                <w:color w:val="auto"/>
              </w:rPr>
              <w:t>Boat lending</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9"/>
        </w:trPr>
        <w:tc>
          <w:tcPr>
            <w:tcW w:w="4560" w:type="dxa"/>
            <w:vAlign w:val="bottom"/>
          </w:tcPr>
          <w:p>
            <w:pPr>
              <w:ind w:left="3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52"/>
        </w:trPr>
        <w:tc>
          <w:tcPr>
            <w:tcW w:w="4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line="264"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Pr>
          <w:p>
            <w:pPr>
              <w:spacing w:after="0"/>
              <w:rPr>
                <w:sz w:val="20"/>
                <w:szCs w:val="20"/>
                <w:color w:val="auto"/>
              </w:rPr>
            </w:pPr>
            <w:r>
              <w:rPr>
                <w:rFonts w:ascii="Arial" w:cs="Arial" w:eastAsia="Arial" w:hAnsi="Arial"/>
                <w:sz w:val="18"/>
                <w:szCs w:val="18"/>
                <w:color w:val="auto"/>
                <w:w w:val="90"/>
              </w:rPr>
              <w:t>Cash receipts on impaired loans on non-accrual status are generally applied to the principal balance.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7260" w:type="dxa"/>
            <w:vAlign w:val="bottom"/>
          </w:tcPr>
          <w:p>
            <w:pPr>
              <w:spacing w:after="0"/>
              <w:rPr>
                <w:sz w:val="20"/>
                <w:szCs w:val="20"/>
                <w:color w:val="auto"/>
              </w:rPr>
            </w:pPr>
            <w:r>
              <w:rPr>
                <w:rFonts w:ascii="Arial" w:cs="Arial" w:eastAsia="Arial" w:hAnsi="Arial"/>
                <w:sz w:val="18"/>
                <w:szCs w:val="18"/>
                <w:color w:val="auto"/>
              </w:rPr>
              <w:t>TDRs follow:</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September 30, 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89"/>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2"/>
        </w:trPr>
        <w:tc>
          <w:tcPr>
            <w:tcW w:w="7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32,037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36,729</w:t>
            </w:r>
          </w:p>
        </w:tc>
      </w:tr>
      <w:tr>
        <w:trPr>
          <w:trHeight w:val="258"/>
        </w:trPr>
        <w:tc>
          <w:tcPr>
            <w:tcW w:w="7260" w:type="dxa"/>
            <w:vAlign w:val="bottom"/>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2" w:lineRule="exact"/>
              <w:rPr>
                <w:sz w:val="20"/>
                <w:szCs w:val="20"/>
                <w:color w:val="auto"/>
              </w:rPr>
            </w:pPr>
            <w:r>
              <w:rPr>
                <w:rFonts w:ascii="Arial" w:cs="Arial" w:eastAsia="Arial" w:hAnsi="Arial"/>
                <w:sz w:val="18"/>
                <w:szCs w:val="18"/>
                <w:color w:val="auto"/>
              </w:rPr>
              <w:t>1,198</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r>
      <w:tr>
        <w:trPr>
          <w:trHeight w:val="252"/>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3"/>
        </w:trPr>
        <w:tc>
          <w:tcPr>
            <w:tcW w:w="7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December 31, 2020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w w:val="89"/>
              </w:rPr>
              <w:t>Commercial</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Retail (1)</w:t>
            </w:r>
          </w:p>
        </w:tc>
        <w:tc>
          <w:tcPr>
            <w:tcW w:w="240" w:type="dxa"/>
            <w:vAlign w:val="bottom"/>
          </w:tcPr>
          <w:p>
            <w:pPr>
              <w:spacing w:after="0"/>
              <w:rPr>
                <w:sz w:val="19"/>
                <w:szCs w:val="19"/>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2"/>
        </w:trPr>
        <w:tc>
          <w:tcPr>
            <w:tcW w:w="7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(In thousands)</w:t>
            </w:r>
          </w:p>
        </w:tc>
        <w:tc>
          <w:tcPr>
            <w:tcW w:w="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36,385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58"/>
        </w:trPr>
        <w:tc>
          <w:tcPr>
            <w:tcW w:w="7260" w:type="dxa"/>
            <w:vAlign w:val="bottom"/>
          </w:tcPr>
          <w:p>
            <w:pPr>
              <w:spacing w:after="0"/>
              <w:rPr>
                <w:sz w:val="20"/>
                <w:szCs w:val="20"/>
                <w:color w:val="auto"/>
              </w:rPr>
            </w:pPr>
            <w:r>
              <w:rPr>
                <w:rFonts w:ascii="Arial" w:cs="Arial" w:eastAsia="Arial" w:hAnsi="Arial"/>
                <w:sz w:val="18"/>
                <w:szCs w:val="18"/>
                <w:color w:val="auto"/>
              </w:rPr>
              <w:t>Non-performing TDRs (2)</w:t>
            </w: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60"/>
              <w:spacing w:after="0" w:line="252" w:lineRule="exact"/>
              <w:rPr>
                <w:sz w:val="20"/>
                <w:szCs w:val="20"/>
                <w:color w:val="auto"/>
              </w:rPr>
            </w:pPr>
            <w:r>
              <w:rPr>
                <w:rFonts w:ascii="Arial" w:cs="Arial" w:eastAsia="Arial" w:hAnsi="Arial"/>
                <w:sz w:val="18"/>
                <w:szCs w:val="18"/>
                <w:color w:val="auto"/>
              </w:rPr>
              <w:t>1,584</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r>
      <w:tr>
        <w:trPr>
          <w:trHeight w:val="252"/>
        </w:trPr>
        <w:tc>
          <w:tcPr>
            <w:tcW w:w="7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37,969</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allocated $3.7 million and $4.8 million of reserves to customers whose loan terms have been modified in troubled debt restructurings (“TDR”) at September 30, 2021 and December 31, 2020, respectively.</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nine months ended September 30, 2020, the terms of certain loans were modified as TDRs as these loan modifications did not qualify for relief from TDR accounting under the CARES Act (there were no TDR modifications during the nine months ended September 30, 2021). The modification of the terms of such loans generally included one or a combination of the following: a reduction of the stated interest rate of the loan; an extension of the maturity date at a stated rate of interest lower than the current market rate for a new loan with similar risk; or a permanent reduction of the recorded investment in the loan.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Loans that have been classified as TDRs during the three-month periods ended September 30 follow:</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7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modification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modification</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1000" w:type="dxa"/>
            <w:vAlign w:val="bottom"/>
          </w:tcPr>
          <w:p>
            <w:pPr>
              <w:jc w:val="center"/>
              <w:ind w:left="52"/>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100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5"/>
              </w:rPr>
              <w:t>Contracts</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1-4 family owner occupied - jumbo</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1-4 family non-owner occupied</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3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2"/>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7320" w:type="dxa"/>
            <w:vAlign w:val="bottom"/>
          </w:tcPr>
          <w:p>
            <w:pPr>
              <w:ind w:left="5560"/>
              <w:spacing w:after="0"/>
              <w:rPr>
                <w:sz w:val="20"/>
                <w:szCs w:val="20"/>
                <w:color w:val="auto"/>
              </w:rPr>
            </w:pPr>
            <w:r>
              <w:rPr>
                <w:rFonts w:ascii="Arial" w:cs="Arial" w:eastAsia="Arial" w:hAnsi="Arial"/>
                <w:sz w:val="14"/>
                <w:szCs w:val="14"/>
                <w:color w:val="auto"/>
              </w:rPr>
              <w:t>26</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Loans that have been classified as TDRs during the nine-month periods ended September 30 follow:</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7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c>
          <w:tcPr>
            <w:tcW w:w="0" w:type="dxa"/>
            <w:vAlign w:val="bottom"/>
          </w:tcPr>
          <w:p>
            <w:pPr>
              <w:spacing w:after="0"/>
              <w:rPr>
                <w:sz w:val="1"/>
                <w:szCs w:val="1"/>
                <w:color w:val="auto"/>
              </w:rPr>
            </w:pPr>
          </w:p>
        </w:tc>
      </w:tr>
      <w:tr>
        <w:trPr>
          <w:trHeight w:val="212"/>
        </w:trPr>
        <w:tc>
          <w:tcPr>
            <w:tcW w:w="7320" w:type="dxa"/>
            <w:vAlign w:val="bottom"/>
          </w:tcPr>
          <w:p>
            <w:pPr>
              <w:spacing w:after="0"/>
              <w:rPr>
                <w:sz w:val="18"/>
                <w:szCs w:val="18"/>
                <w:color w:val="auto"/>
              </w:rPr>
            </w:pPr>
          </w:p>
        </w:tc>
        <w:tc>
          <w:tcPr>
            <w:tcW w:w="960" w:type="dxa"/>
            <w:vAlign w:val="bottom"/>
          </w:tcPr>
          <w:p>
            <w:pPr>
              <w:jc w:val="center"/>
              <w:ind w:left="92"/>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modification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modification</w:t>
            </w: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9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5"/>
              </w:rPr>
              <w:t>Contracts</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Balance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6"/>
              </w:rPr>
              <w:t>Balance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1-4 family owner occupied - jumbo</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1-4 family non-owner occupied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1-4 family owner occupied - jumbo</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owner occupied - non-jumbo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1-4 family non-owner occupied</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 family - 2nd lien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Resort lending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Boat lending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Recreational vehicle lending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828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2"/>
        </w:trPr>
        <w:tc>
          <w:tcPr>
            <w:tcW w:w="7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TDR modifications in 2021 and consequently no impact on the allowance for credit losses and no charge offs during the three- or nine months ended September 30, 2021.</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troubled debt restructurings described above for 2020 increased the allowance for credit losses by $0.01 million and resulted in zero charge offs during the three months ended September 30, 2020, and increased the allowance for credit losses by $0.09 million and resulted in zero charge offs during the nine months ended September 30, 2020.</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TDRs that subsequently defaulted within twelve months following the modification during the three and nine months periods ended September 30, 2021 and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loan is considered to be in payment default generally once it is 90 days contractually past due under the modified terms.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5" w:lineRule="exact"/>
        <w:rPr>
          <w:sz w:val="20"/>
          <w:szCs w:val="20"/>
          <w:color w:val="auto"/>
        </w:rPr>
      </w:pPr>
    </w:p>
    <w:p>
      <w:pPr>
        <w:jc w:val="both"/>
        <w:spacing w:after="0" w:line="301" w:lineRule="auto"/>
        <w:rPr>
          <w:sz w:val="20"/>
          <w:szCs w:val="20"/>
          <w:color w:val="auto"/>
        </w:rPr>
      </w:pPr>
      <w:r>
        <w:rPr>
          <w:rFonts w:ascii="Arial" w:cs="Arial" w:eastAsia="Arial" w:hAnsi="Arial"/>
          <w:sz w:val="15"/>
          <w:szCs w:val="15"/>
          <w:b w:val="1"/>
          <w:bCs w:val="1"/>
          <w:color w:val="auto"/>
        </w:rPr>
        <w:t xml:space="preserve">Non-TDR Loan Modifications and Paycheck Protection Program (“PPP”) due to COVID-19 - </w:t>
      </w:r>
      <w:r>
        <w:rPr>
          <w:rFonts w:ascii="Arial" w:cs="Arial" w:eastAsia="Arial" w:hAnsi="Arial"/>
          <w:sz w:val="15"/>
          <w:szCs w:val="15"/>
          <w:color w:val="auto"/>
        </w:rPr>
        <w:t>On March 22, 2020, the federal banking agencies issued</w:t>
      </w:r>
      <w:r>
        <w:rPr>
          <w:rFonts w:ascii="Arial" w:cs="Arial" w:eastAsia="Arial" w:hAnsi="Arial"/>
          <w:sz w:val="15"/>
          <w:szCs w:val="15"/>
          <w:b w:val="1"/>
          <w:bCs w:val="1"/>
          <w:color w:val="auto"/>
        </w:rPr>
        <w:t xml:space="preserve"> </w:t>
      </w:r>
      <w:r>
        <w:rPr>
          <w:rFonts w:ascii="Arial" w:cs="Arial" w:eastAsia="Arial" w:hAnsi="Arial"/>
          <w:sz w:val="15"/>
          <w:szCs w:val="15"/>
          <w:color w:val="auto"/>
        </w:rPr>
        <w:t>an “Interagency Statement on Loan Modifications and Reporting for Financial Institutions Working with Customers Affected by the Coronavirus”. This guidance encourages financial institutions to work prudently with borrowers that may be unable to meet their contractual obligations because of the effects of COVID-19. The guidance goes on to explain that in consultation with the Financial Accounting Standards Board staff that the federal banking agencies conclude that short-term modifications (e.g. six months or less) made on a good faith basis to borrowers who were current (less than 30 days past due) as of the implementation date of a relief program are not TDRs. In addition, on March 27, 2020, the CARES Act was signed into law. Section 4013 of the CARES Act also addressed COVID-19 related modifications and specified that COVID-19 related modifications on loans that were current (less than 30 days past due) as of December 31, 2019 are not TDRs. We are assisting both commercial and retail (mortgage and installment) borrowers with reduced or suspended payments. Commercial loan accommodations are typically a three month interest-only period while retail loan (mortgage and installment) forbearances have primarily been payment suspensions for three months. For loans subject to these forbearance agreements each borrower is required to resume making regularly scheduled loan payments at the end of the forbearance period. The deferred principal and interest will be repaid based upon individualized agreements. Options for repayment include separate repayment plans, extending the term of the loan or re-amortizing the loan based upon the affordability of the payment in relationship to a reduced income. While some borrowers may elect to make a lump sum payment, we anticipate the majority will require some type of repayment plan. During the forbearance period, the loan will not be reported as past due in keeping with the guidance discussed previously.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accommodations entered into under this guidance as of September 30, 2021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300"/>
              <w:spacing w:after="0"/>
              <w:rPr>
                <w:sz w:val="20"/>
                <w:szCs w:val="20"/>
                <w:color w:val="auto"/>
              </w:rPr>
            </w:pPr>
            <w:r>
              <w:rPr>
                <w:rFonts w:ascii="Arial" w:cs="Arial" w:eastAsia="Arial" w:hAnsi="Arial"/>
                <w:sz w:val="18"/>
                <w:szCs w:val="18"/>
                <w:b w:val="1"/>
                <w:bCs w:val="1"/>
                <w:color w:val="auto"/>
              </w:rPr>
              <w:t>Covid-19 Accomodations</w:t>
            </w:r>
          </w:p>
        </w:tc>
        <w:tc>
          <w:tcPr>
            <w:tcW w:w="22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of Total</w:t>
            </w:r>
          </w:p>
        </w:tc>
      </w:tr>
      <w:tr>
        <w:trPr>
          <w:trHeight w:val="218"/>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Loans (#)</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Loans</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19"/>
                <w:szCs w:val="19"/>
                <w:color w:val="auto"/>
              </w:rPr>
            </w:pPr>
          </w:p>
        </w:tc>
      </w:tr>
      <w:tr>
        <w:trPr>
          <w:trHeight w:val="212"/>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5"/>
          </w:tcPr>
          <w:p>
            <w:pPr>
              <w:ind w:left="24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1,222,802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2"/>
        </w:trPr>
        <w:tc>
          <w:tcPr>
            <w:tcW w:w="596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5,901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1,100,992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8"/>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Installment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560,184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2"/>
        </w:trPr>
        <w:tc>
          <w:tcPr>
            <w:tcW w:w="5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2,883,978</w:t>
            </w: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9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596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Mortgage loans serviced for others(1)</w:t>
            </w: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7,986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3,237,251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We have delegated authority from all investors to grant these deferrals on their behalf.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Information on subsequent accommodation extensions as of September 30, 2021 follows: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4"/>
        </w:trPr>
        <w:tc>
          <w:tcPr>
            <w:tcW w:w="8560" w:type="dxa"/>
            <w:vAlign w:val="bottom"/>
          </w:tcPr>
          <w:p>
            <w:pPr>
              <w:spacing w:after="0"/>
              <w:rPr>
                <w:sz w:val="20"/>
                <w:szCs w:val="20"/>
                <w:color w:val="auto"/>
              </w:rPr>
            </w:pPr>
            <w:r>
              <w:rPr>
                <w:rFonts w:ascii="Arial" w:cs="Arial" w:eastAsia="Arial" w:hAnsi="Arial"/>
                <w:sz w:val="18"/>
                <w:szCs w:val="18"/>
                <w:b w:val="1"/>
                <w:bCs w:val="1"/>
                <w:color w:val="auto"/>
              </w:rPr>
              <w:t>Commercial and Retail Loan COVID-19 Subsequent Accomodations (1)</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Loans (#)</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4"/>
              </w:rPr>
              <w:t>Loans ($)</w:t>
            </w:r>
          </w:p>
        </w:tc>
        <w:tc>
          <w:tcPr>
            <w:tcW w:w="100" w:type="dxa"/>
            <w:vAlign w:val="bottom"/>
          </w:tcPr>
          <w:p>
            <w:pPr>
              <w:spacing w:after="0"/>
              <w:rPr>
                <w:sz w:val="24"/>
                <w:szCs w:val="24"/>
                <w:color w:val="auto"/>
              </w:rPr>
            </w:pPr>
          </w:p>
        </w:tc>
      </w:tr>
      <w:tr>
        <w:trPr>
          <w:trHeight w:val="212"/>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r>
      <w:tr>
        <w:trPr>
          <w:trHeight w:val="212"/>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8560" w:type="dxa"/>
            <w:vAlign w:val="bottom"/>
          </w:tcPr>
          <w:p>
            <w:pPr>
              <w:spacing w:after="0"/>
              <w:rPr>
                <w:sz w:val="20"/>
                <w:szCs w:val="20"/>
                <w:color w:val="auto"/>
              </w:rPr>
            </w:pPr>
            <w:r>
              <w:rPr>
                <w:rFonts w:ascii="Arial" w:cs="Arial" w:eastAsia="Arial" w:hAnsi="Arial"/>
                <w:sz w:val="18"/>
                <w:szCs w:val="18"/>
                <w:color w:val="auto"/>
              </w:rPr>
              <w:t>Mortgage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r>
      <w:tr>
        <w:trPr>
          <w:trHeight w:val="219"/>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Installment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56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4,424</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Subsequent accommodations are extensions of the original accommodations that were given as summarized in the paragraph above.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The CARES Act also included an initial $349 billion loan program administered through the U.S. Small Business Administration (“SBA”) referred to as the</w:t>
      </w:r>
    </w:p>
    <w:p>
      <w:pPr>
        <w:spacing w:after="0" w:line="51" w:lineRule="exact"/>
        <w:rPr>
          <w:sz w:val="20"/>
          <w:szCs w:val="20"/>
          <w:color w:val="auto"/>
        </w:rPr>
      </w:pPr>
    </w:p>
    <w:p>
      <w:pPr>
        <w:jc w:val="both"/>
        <w:ind w:firstLine="6"/>
        <w:spacing w:after="0" w:line="300" w:lineRule="auto"/>
        <w:tabs>
          <w:tab w:leader="none" w:pos="363" w:val="left"/>
        </w:tabs>
        <w:numPr>
          <w:ilvl w:val="0"/>
          <w:numId w:val="18"/>
        </w:numPr>
        <w:rPr>
          <w:rFonts w:ascii="Arial" w:cs="Arial" w:eastAsia="Arial" w:hAnsi="Arial"/>
          <w:sz w:val="15"/>
          <w:szCs w:val="15"/>
          <w:color w:val="auto"/>
        </w:rPr>
      </w:pPr>
      <w:r>
        <w:rPr>
          <w:rFonts w:ascii="Arial" w:cs="Arial" w:eastAsia="Arial" w:hAnsi="Arial"/>
          <w:sz w:val="15"/>
          <w:szCs w:val="15"/>
          <w:color w:val="auto"/>
        </w:rPr>
        <w:t>Under the PPP, small businesses and other entities and individuals could apply for loans from existing SBA lenders and other approved regulated lenders that enrolled in the program, subject to numerous limitations and eligibility criteria. We are participating as a lender in the PPP. The PPP opened on April 3, 2020 intending to provide American small businesses with eight weeks of cash-flow assistance through 100 percent federally guaranteed loans through the SBA. In late April 2020 the Paycheck Protection Program and Health Care Enhancement Act, added another $310 billion in funding while the Paycheck Protection Program Flexibility Act made certain changes to the program, by allowing for more time to spend the funds, and making it easier to get a loan fully forgiven. The PPP initially closed on August 8, 2020 (“Round 1”). On December 27, 2020, the Economic Aid to Hard-Hit Small Businesses, Nonprofits, and Venues Act (‘‘Economic Aid Act’’) was signed into law which allocated an additional $284 billion in funding for the PPP (“Round 2”). The Economic Aid Act reopened the PPP through March 31, 2021 with generally the same terms and conditions as originally enacted under the CARES Act while clarifying eligibility and ineligibility for certain entities and expanding the permitted uses of PPP funds. In addition, the Economic Aid Act simplified the loan forgiveness process for PPP loans of $150,000 or less. The Economic Aid Act also established second draw loans for entities that had already used the initial PPP funds, subject to numerous limitations and eligibility criteria. PPP Round 2 loans are eligible for forgiveness similar to Round 1 PPP loans, subject to limitations set forth in the Economic Aid Act. Round 2 closed on May 31, 2021.</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The following table summarizes PPP loans outstanding:</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760" w:type="dxa"/>
            <w:vAlign w:val="bottom"/>
          </w:tcPr>
          <w:p>
            <w:pPr>
              <w:spacing w:after="0"/>
              <w:rPr>
                <w:sz w:val="20"/>
                <w:szCs w:val="20"/>
                <w:color w:val="auto"/>
              </w:rPr>
            </w:pPr>
            <w:r>
              <w:rPr>
                <w:rFonts w:ascii="Arial" w:cs="Arial" w:eastAsia="Arial" w:hAnsi="Arial"/>
                <w:sz w:val="18"/>
                <w:szCs w:val="18"/>
                <w:b w:val="1"/>
                <w:bCs w:val="1"/>
                <w:color w:val="auto"/>
              </w:rPr>
              <w:t>Paycheck Protection Program</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740" w:type="dxa"/>
            <w:vAlign w:val="bottom"/>
            <w:gridSpan w:val="6"/>
          </w:tcPr>
          <w:p>
            <w:pPr>
              <w:jc w:val="right"/>
              <w:ind w:right="540"/>
              <w:spacing w:after="0"/>
              <w:rPr>
                <w:sz w:val="20"/>
                <w:szCs w:val="20"/>
                <w:color w:val="auto"/>
              </w:rPr>
            </w:pPr>
            <w:r>
              <w:rPr>
                <w:rFonts w:ascii="Arial" w:cs="Arial" w:eastAsia="Arial" w:hAnsi="Arial"/>
                <w:sz w:val="18"/>
                <w:szCs w:val="18"/>
                <w:color w:val="auto"/>
              </w:rPr>
              <w:t>As of September 30, 2021</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As of December 31, 2020</w:t>
            </w:r>
          </w:p>
        </w:tc>
        <w:tc>
          <w:tcPr>
            <w:tcW w:w="0" w:type="dxa"/>
            <w:vAlign w:val="bottom"/>
          </w:tcPr>
          <w:p>
            <w:pPr>
              <w:spacing w:after="0"/>
              <w:rPr>
                <w:sz w:val="1"/>
                <w:szCs w:val="1"/>
                <w:color w:val="auto"/>
              </w:rPr>
            </w:pPr>
          </w:p>
        </w:tc>
      </w:tr>
      <w:tr>
        <w:trPr>
          <w:trHeight w:val="218"/>
        </w:trPr>
        <w:tc>
          <w:tcPr>
            <w:tcW w:w="4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Amount (#)</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Amount (#)</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gridSpan w:val="6"/>
          </w:tcPr>
          <w:p>
            <w:pPr>
              <w:jc w:val="right"/>
              <w:ind w:right="680"/>
              <w:spacing w:after="0"/>
              <w:rPr>
                <w:sz w:val="20"/>
                <w:szCs w:val="20"/>
                <w:color w:val="auto"/>
              </w:rPr>
            </w:pPr>
            <w:r>
              <w:rPr>
                <w:rFonts w:ascii="Arial" w:cs="Arial" w:eastAsia="Arial" w:hAnsi="Arial"/>
                <w:sz w:val="18"/>
                <w:szCs w:val="18"/>
                <w:color w:val="auto"/>
              </w:rPr>
              <w:t>(Dollars in thousands)</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color w:val="auto"/>
                <w:w w:val="89"/>
              </w:rPr>
              <w:t>(Dollars in thousands)</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 Round 1 loans</w:t>
            </w:r>
          </w:p>
        </w:tc>
        <w:tc>
          <w:tcPr>
            <w:tcW w:w="2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169,782</w:t>
            </w:r>
          </w:p>
        </w:tc>
        <w:tc>
          <w:tcPr>
            <w:tcW w:w="0" w:type="dxa"/>
            <w:vAlign w:val="bottom"/>
          </w:tcPr>
          <w:p>
            <w:pPr>
              <w:spacing w:after="0"/>
              <w:rPr>
                <w:sz w:val="1"/>
                <w:szCs w:val="1"/>
                <w:color w:val="auto"/>
              </w:rPr>
            </w:pPr>
          </w:p>
        </w:tc>
      </w:tr>
      <w:tr>
        <w:trPr>
          <w:trHeight w:val="219"/>
        </w:trPr>
        <w:tc>
          <w:tcPr>
            <w:tcW w:w="4760" w:type="dxa"/>
            <w:vAlign w:val="bottom"/>
          </w:tcPr>
          <w:p>
            <w:pPr>
              <w:spacing w:after="0"/>
              <w:rPr>
                <w:sz w:val="20"/>
                <w:szCs w:val="20"/>
                <w:color w:val="auto"/>
              </w:rPr>
            </w:pPr>
            <w:r>
              <w:rPr>
                <w:rFonts w:ascii="Arial" w:cs="Arial" w:eastAsia="Arial" w:hAnsi="Arial"/>
                <w:sz w:val="18"/>
                <w:szCs w:val="18"/>
                <w:color w:val="auto"/>
              </w:rPr>
              <w:t>Closed and outstanding - Round 2 loans</w:t>
            </w:r>
          </w:p>
        </w:tc>
        <w:tc>
          <w:tcPr>
            <w:tcW w:w="2360" w:type="dxa"/>
            <w:vAlign w:val="bottom"/>
            <w:gridSpan w:val="3"/>
          </w:tcPr>
          <w:p>
            <w:pPr>
              <w:jc w:val="right"/>
              <w:ind w:right="20"/>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88,888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closed and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90,150</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169,782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760" w:type="dxa"/>
            <w:vAlign w:val="bottom"/>
          </w:tcPr>
          <w:p>
            <w:pPr>
              <w:spacing w:after="0" w:line="205" w:lineRule="exact"/>
              <w:rPr>
                <w:sz w:val="20"/>
                <w:szCs w:val="20"/>
                <w:color w:val="auto"/>
              </w:rPr>
            </w:pPr>
            <w:r>
              <w:rPr>
                <w:rFonts w:ascii="Arial" w:cs="Arial" w:eastAsia="Arial" w:hAnsi="Arial"/>
                <w:sz w:val="18"/>
                <w:szCs w:val="18"/>
                <w:color w:val="auto"/>
              </w:rPr>
              <w:t>Unaccreted net fees remaining at period end</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3,178</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vMerge w:val="restart"/>
          </w:tcPr>
          <w:p>
            <w:pPr>
              <w:jc w:val="right"/>
              <w:ind w:right="178"/>
              <w:spacing w:after="0"/>
              <w:rPr>
                <w:sz w:val="20"/>
                <w:szCs w:val="20"/>
                <w:color w:val="auto"/>
              </w:rPr>
            </w:pPr>
            <w:r>
              <w:rPr>
                <w:rFonts w:ascii="Arial" w:cs="Arial" w:eastAsia="Arial" w:hAnsi="Arial"/>
                <w:sz w:val="14"/>
                <w:szCs w:val="14"/>
                <w:color w:val="auto"/>
              </w:rPr>
              <w:t>29</w:t>
            </w: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7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7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ind w:firstLine="6"/>
        <w:spacing w:after="0" w:line="318" w:lineRule="auto"/>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loans are included in the commercial and industrial class of the commercial loan portfolio segment. As these loans are 100% guaranteed through the SBA the allowance for credit losses recorded on these loans is zero. Interest and fees on loans in our condensed consolidated statement of operations includes $2.6 million and $6.5 million during the three and nine month periods ended September 30, 2021, related to the accretion of net loan fees on PPP loans. Accretion of net loan fees on PPP loans was $1.3 million and $2.3 million in the three and nine month periods in 2020,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Credit Quality Indicators </w:t>
      </w:r>
      <w:r>
        <w:rPr>
          <w:rFonts w:ascii="Arial" w:cs="Arial" w:eastAsia="Arial" w:hAnsi="Arial"/>
          <w:sz w:val="15"/>
          <w:szCs w:val="15"/>
          <w:color w:val="auto"/>
        </w:rPr>
        <w:t>– As part of our on-going monitoring of the credit quality of our loan portfolios, we track certain credit quality indicators including</w:t>
      </w:r>
    </w:p>
    <w:p>
      <w:pPr>
        <w:spacing w:after="0" w:line="57" w:lineRule="exact"/>
        <w:rPr>
          <w:sz w:val="20"/>
          <w:szCs w:val="20"/>
          <w:color w:val="auto"/>
        </w:rPr>
      </w:pPr>
    </w:p>
    <w:p>
      <w:pPr>
        <w:ind w:firstLine="6"/>
        <w:spacing w:after="0" w:line="251" w:lineRule="auto"/>
        <w:tabs>
          <w:tab w:leader="none" w:pos="27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grade of commercial loans, (b) the level of classified commercial loans, (c) credit scores of mortgage and installment loan borrowers, and (d) delinquency history and non-performing loans.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commercial loans, we use a loan rating system that is similar to those employed by state and federal banking regulators. Loans are graded on a scale of 1 to 12. A description of the general characteristics of the ratings follows: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 exceptional credit fundamentals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acceptable credit fundamentals.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Rating 7 and 8</w:t>
      </w:r>
      <w:r>
        <w:rPr>
          <w:rFonts w:ascii="Arial" w:cs="Arial" w:eastAsia="Arial" w:hAnsi="Arial"/>
          <w:sz w:val="18"/>
          <w:szCs w:val="18"/>
          <w:color w:val="auto"/>
        </w:rPr>
        <w:t>: These loans are generally referred to as our “watch” commercial credits. These ratings include loans to borrowers that exhibit potential credit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 or downward trends. If not checked or cured these trends could weaken our asset or credit position. While potentially weak, no loss of principal or interest is envisioned with these ratings.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Rating 10 and 11</w:t>
      </w:r>
      <w:r>
        <w:rPr>
          <w:rFonts w:ascii="Arial" w:cs="Arial" w:eastAsia="Arial" w:hAnsi="Arial"/>
          <w:sz w:val="18"/>
          <w:szCs w:val="18"/>
          <w:color w:val="auto"/>
        </w:rPr>
        <w:t>: These loans are generally referred to as our ‘‘substandard - non-accrual’’ and ‘‘doubtful’’ commercial credits. Our doubtful rating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sub 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 are deemed incapable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and are charged-off.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93"/>
              </w:rPr>
              <w:t>Revolving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gridSpan w:val="13"/>
            <w:vMerge w:val="restart"/>
          </w:tcPr>
          <w:p>
            <w:pPr>
              <w:jc w:val="right"/>
              <w:ind w:right="300"/>
              <w:spacing w:after="0"/>
              <w:rPr>
                <w:sz w:val="20"/>
                <w:szCs w:val="20"/>
                <w:color w:val="auto"/>
              </w:rPr>
            </w:pPr>
            <w:r>
              <w:rPr>
                <w:rFonts w:ascii="Arial" w:cs="Arial" w:eastAsia="Arial" w:hAnsi="Arial"/>
                <w:sz w:val="18"/>
                <w:szCs w:val="18"/>
                <w:color w:val="auto"/>
                <w:w w:val="90"/>
              </w:rPr>
              <w:t>Term Loans Amortized Cost Basis by Origination Year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1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80"/>
              <w:spacing w:after="0" w:line="198"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2021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Cost Basis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(In</w:t>
            </w:r>
          </w:p>
        </w:tc>
        <w:tc>
          <w:tcPr>
            <w:tcW w:w="1080" w:type="dxa"/>
            <w:vAlign w:val="bottom"/>
            <w:gridSpan w:val="4"/>
          </w:tcPr>
          <w:p>
            <w:pPr>
              <w:jc w:val="right"/>
              <w:ind w:right="332"/>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680" w:type="dxa"/>
            <w:vAlign w:val="bottom"/>
          </w:tcPr>
          <w:p>
            <w:pPr>
              <w:ind w:left="140"/>
              <w:spacing w:after="0"/>
              <w:rPr>
                <w:sz w:val="20"/>
                <w:szCs w:val="20"/>
                <w:color w:val="auto"/>
              </w:rPr>
            </w:pPr>
            <w:r>
              <w:rPr>
                <w:rFonts w:ascii="Arial" w:cs="Arial" w:eastAsia="Arial" w:hAnsi="Arial"/>
                <w:sz w:val="18"/>
                <w:szCs w:val="18"/>
                <w:color w:val="auto"/>
              </w:rPr>
              <w:t>Commercial and industrial</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Non-watch (1-6)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49,692</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135,312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614,192</w:t>
            </w:r>
          </w:p>
        </w:tc>
        <w:tc>
          <w:tcPr>
            <w:tcW w:w="0" w:type="dxa"/>
            <w:vAlign w:val="bottom"/>
          </w:tcPr>
          <w:p>
            <w:pPr>
              <w:spacing w:after="0"/>
              <w:rPr>
                <w:sz w:val="1"/>
                <w:szCs w:val="1"/>
                <w:color w:val="auto"/>
              </w:rPr>
            </w:pPr>
          </w:p>
        </w:tc>
      </w:tr>
      <w:tr>
        <w:trPr>
          <w:trHeight w:val="212"/>
        </w:trPr>
        <w:tc>
          <w:tcPr>
            <w:tcW w:w="2680" w:type="dxa"/>
            <w:vAlign w:val="bottom"/>
          </w:tcPr>
          <w:p>
            <w:pPr>
              <w:ind w:left="320"/>
              <w:spacing w:after="0"/>
              <w:rPr>
                <w:sz w:val="20"/>
                <w:szCs w:val="20"/>
                <w:color w:val="auto"/>
              </w:rPr>
            </w:pPr>
            <w:r>
              <w:rPr>
                <w:rFonts w:ascii="Arial" w:cs="Arial" w:eastAsia="Arial" w:hAnsi="Arial"/>
                <w:sz w:val="18"/>
                <w:szCs w:val="18"/>
                <w:color w:val="auto"/>
              </w:rPr>
              <w:t>Watch (7-8)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Substandard Accrual (9)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8"/>
        </w:trPr>
        <w:tc>
          <w:tcPr>
            <w:tcW w:w="2680" w:type="dxa"/>
            <w:vAlign w:val="bottom"/>
          </w:tcPr>
          <w:p>
            <w:pPr>
              <w:ind w:left="320"/>
              <w:spacing w:after="0"/>
              <w:rPr>
                <w:sz w:val="20"/>
                <w:szCs w:val="20"/>
                <w:color w:val="auto"/>
              </w:rPr>
            </w:pPr>
            <w:r>
              <w:rPr>
                <w:rFonts w:ascii="Arial" w:cs="Arial" w:eastAsia="Arial" w:hAnsi="Arial"/>
                <w:sz w:val="18"/>
                <w:szCs w:val="18"/>
                <w:color w:val="auto"/>
              </w:rPr>
              <w:t>Non-Accrual (10-11)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2"/>
        </w:trPr>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1"/>
              </w:rPr>
              <w:t>Accrued interest excluded from total $</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584</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155</w:t>
            </w: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107</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rPr>
              <w:t>235</w:t>
            </w:r>
          </w:p>
        </w:tc>
        <w:tc>
          <w:tcPr>
            <w:tcW w:w="300" w:type="dxa"/>
            <w:vAlign w:val="bottom"/>
            <w:gridSpan w:val="2"/>
          </w:tcPr>
          <w:p>
            <w:pPr>
              <w:jc w:val="right"/>
              <w:ind w:right="2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108</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237</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201</w:t>
            </w: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Non-watch (1-6)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78,449</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581,470</w:t>
            </w:r>
          </w:p>
        </w:tc>
        <w:tc>
          <w:tcPr>
            <w:tcW w:w="0" w:type="dxa"/>
            <w:vAlign w:val="bottom"/>
          </w:tcPr>
          <w:p>
            <w:pPr>
              <w:spacing w:after="0"/>
              <w:rPr>
                <w:sz w:val="1"/>
                <w:szCs w:val="1"/>
                <w:color w:val="auto"/>
              </w:rPr>
            </w:pPr>
          </w:p>
        </w:tc>
      </w:tr>
      <w:tr>
        <w:trPr>
          <w:trHeight w:val="212"/>
        </w:trPr>
        <w:tc>
          <w:tcPr>
            <w:tcW w:w="2680" w:type="dxa"/>
            <w:vAlign w:val="bottom"/>
          </w:tcPr>
          <w:p>
            <w:pPr>
              <w:ind w:left="320"/>
              <w:spacing w:after="0"/>
              <w:rPr>
                <w:sz w:val="20"/>
                <w:szCs w:val="20"/>
                <w:color w:val="auto"/>
              </w:rPr>
            </w:pPr>
            <w:r>
              <w:rPr>
                <w:rFonts w:ascii="Arial" w:cs="Arial" w:eastAsia="Arial" w:hAnsi="Arial"/>
                <w:sz w:val="18"/>
                <w:szCs w:val="18"/>
                <w:color w:val="auto"/>
              </w:rPr>
              <w:t>Watch (7-8)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3,069</w:t>
            </w:r>
          </w:p>
        </w:tc>
        <w:tc>
          <w:tcPr>
            <w:tcW w:w="180" w:type="dxa"/>
            <w:vAlign w:val="bottom"/>
          </w:tcPr>
          <w:p>
            <w:pPr>
              <w:spacing w:after="0"/>
              <w:rPr>
                <w:sz w:val="18"/>
                <w:szCs w:val="18"/>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7,781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13,813</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Substandard Accrual (9)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8"/>
        </w:trPr>
        <w:tc>
          <w:tcPr>
            <w:tcW w:w="2680" w:type="dxa"/>
            <w:vAlign w:val="bottom"/>
          </w:tcPr>
          <w:p>
            <w:pPr>
              <w:ind w:left="320"/>
              <w:spacing w:after="0"/>
              <w:rPr>
                <w:sz w:val="20"/>
                <w:szCs w:val="20"/>
                <w:color w:val="auto"/>
              </w:rPr>
            </w:pPr>
            <w:r>
              <w:rPr>
                <w:rFonts w:ascii="Arial" w:cs="Arial" w:eastAsia="Arial" w:hAnsi="Arial"/>
                <w:sz w:val="18"/>
                <w:szCs w:val="18"/>
                <w:color w:val="auto"/>
              </w:rPr>
              <w:t>Non-Accrual (10-11)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1"/>
              </w:rPr>
              <w:t>Accrued interest excluded from total $</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105</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79</w:t>
            </w: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211</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rPr>
              <w:t>167</w:t>
            </w:r>
          </w:p>
        </w:tc>
        <w:tc>
          <w:tcPr>
            <w:tcW w:w="300" w:type="dxa"/>
            <w:vAlign w:val="bottom"/>
            <w:gridSpan w:val="2"/>
          </w:tcPr>
          <w:p>
            <w:pPr>
              <w:jc w:val="right"/>
              <w:ind w:right="2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94</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347</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5" w:lineRule="exact"/>
              <w:rPr>
                <w:sz w:val="20"/>
                <w:szCs w:val="20"/>
                <w:color w:val="auto"/>
              </w:rPr>
            </w:pPr>
            <w:r>
              <w:rPr>
                <w:rFonts w:ascii="Arial" w:cs="Arial" w:eastAsia="Arial" w:hAnsi="Arial"/>
                <w:sz w:val="18"/>
                <w:szCs w:val="18"/>
                <w:color w:val="auto"/>
              </w:rPr>
              <w:t>69</w:t>
            </w:r>
          </w:p>
        </w:tc>
        <w:tc>
          <w:tcPr>
            <w:tcW w:w="100" w:type="dxa"/>
            <w:vAlign w:val="bottom"/>
          </w:tcPr>
          <w:p>
            <w:pPr>
              <w:spacing w:after="0"/>
              <w:rPr>
                <w:sz w:val="17"/>
                <w:szCs w:val="17"/>
                <w:color w:val="auto"/>
              </w:rPr>
            </w:pP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680" w:type="dxa"/>
            <w:vAlign w:val="bottom"/>
          </w:tcPr>
          <w:p>
            <w:pPr>
              <w:ind w:left="140"/>
              <w:spacing w:after="0"/>
              <w:rPr>
                <w:sz w:val="20"/>
                <w:szCs w:val="20"/>
                <w:color w:val="auto"/>
              </w:rPr>
            </w:pPr>
            <w:r>
              <w:rPr>
                <w:rFonts w:ascii="Arial" w:cs="Arial" w:eastAsia="Arial" w:hAnsi="Arial"/>
                <w:sz w:val="18"/>
                <w:szCs w:val="18"/>
                <w:color w:val="auto"/>
              </w:rPr>
              <w:t>Total Commercial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Non-watch (1-6)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159,899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128,141</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1,195,662</w:t>
            </w:r>
          </w:p>
        </w:tc>
        <w:tc>
          <w:tcPr>
            <w:tcW w:w="0" w:type="dxa"/>
            <w:vAlign w:val="bottom"/>
          </w:tcPr>
          <w:p>
            <w:pPr>
              <w:spacing w:after="0"/>
              <w:rPr>
                <w:sz w:val="1"/>
                <w:szCs w:val="1"/>
                <w:color w:val="auto"/>
              </w:rPr>
            </w:pPr>
          </w:p>
        </w:tc>
      </w:tr>
      <w:tr>
        <w:trPr>
          <w:trHeight w:val="212"/>
        </w:trPr>
        <w:tc>
          <w:tcPr>
            <w:tcW w:w="2680" w:type="dxa"/>
            <w:vAlign w:val="bottom"/>
          </w:tcPr>
          <w:p>
            <w:pPr>
              <w:ind w:left="320"/>
              <w:spacing w:after="0"/>
              <w:rPr>
                <w:sz w:val="20"/>
                <w:szCs w:val="20"/>
                <w:color w:val="auto"/>
              </w:rPr>
            </w:pPr>
            <w:r>
              <w:rPr>
                <w:rFonts w:ascii="Arial" w:cs="Arial" w:eastAsia="Arial" w:hAnsi="Arial"/>
                <w:sz w:val="18"/>
                <w:szCs w:val="18"/>
                <w:color w:val="auto"/>
              </w:rPr>
              <w:t>Watch (7-8)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3,844</w:t>
            </w:r>
          </w:p>
        </w:tc>
        <w:tc>
          <w:tcPr>
            <w:tcW w:w="180" w:type="dxa"/>
            <w:vAlign w:val="bottom"/>
          </w:tcPr>
          <w:p>
            <w:pPr>
              <w:spacing w:after="0"/>
              <w:rPr>
                <w:sz w:val="18"/>
                <w:szCs w:val="18"/>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9,288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21,629</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Substandard Accrual (9)</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9"/>
        </w:trPr>
        <w:tc>
          <w:tcPr>
            <w:tcW w:w="2680" w:type="dxa"/>
            <w:vAlign w:val="bottom"/>
          </w:tcPr>
          <w:p>
            <w:pPr>
              <w:ind w:left="320"/>
              <w:spacing w:after="0"/>
              <w:rPr>
                <w:sz w:val="20"/>
                <w:szCs w:val="20"/>
                <w:color w:val="auto"/>
              </w:rPr>
            </w:pPr>
            <w:r>
              <w:rPr>
                <w:rFonts w:ascii="Arial" w:cs="Arial" w:eastAsia="Arial" w:hAnsi="Arial"/>
                <w:sz w:val="18"/>
                <w:szCs w:val="18"/>
                <w:color w:val="auto"/>
              </w:rPr>
              <w:t>Non-Accrual (10-11)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2"/>
        </w:trPr>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234,464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164,942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1,222,802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6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1"/>
              </w:rPr>
              <w:t>Accrued interest excluded from total $</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689</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234</w:t>
            </w: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318</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2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202</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584</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270</w:t>
            </w: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loan ratings by loan class for our commercial portfolio loan segment as of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95"/>
              </w:rPr>
              <w:t>Commercial</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200" w:lineRule="exact"/>
              <w:rPr>
                <w:sz w:val="20"/>
                <w:szCs w:val="20"/>
                <w:color w:val="auto"/>
              </w:rPr>
            </w:pPr>
            <w:r>
              <w:rPr>
                <w:rFonts w:ascii="Arial" w:cs="Arial" w:eastAsia="Arial" w:hAnsi="Arial"/>
                <w:sz w:val="18"/>
                <w:szCs w:val="18"/>
                <w:color w:val="auto"/>
                <w:w w:val="84"/>
              </w:rPr>
              <w:t>Substandard</w:t>
            </w:r>
          </w:p>
        </w:tc>
        <w:tc>
          <w:tcPr>
            <w:tcW w:w="180" w:type="dxa"/>
            <w:vAlign w:val="bottom"/>
          </w:tcPr>
          <w:p>
            <w:pPr>
              <w:spacing w:after="0"/>
              <w:rPr>
                <w:sz w:val="17"/>
                <w:szCs w:val="17"/>
                <w:color w:val="auto"/>
              </w:rPr>
            </w:pPr>
          </w:p>
        </w:tc>
        <w:tc>
          <w:tcPr>
            <w:tcW w:w="1140" w:type="dxa"/>
            <w:vAlign w:val="bottom"/>
            <w:gridSpan w:val="2"/>
          </w:tcPr>
          <w:p>
            <w:pPr>
              <w:jc w:val="center"/>
              <w:ind w:right="380"/>
              <w:spacing w:after="0" w:line="200" w:lineRule="exact"/>
              <w:rPr>
                <w:sz w:val="20"/>
                <w:szCs w:val="20"/>
                <w:color w:val="auto"/>
              </w:rPr>
            </w:pPr>
            <w:r>
              <w:rPr>
                <w:rFonts w:ascii="Arial" w:cs="Arial" w:eastAsia="Arial" w:hAnsi="Arial"/>
                <w:sz w:val="18"/>
                <w:szCs w:val="18"/>
                <w:color w:val="auto"/>
                <w:w w:val="92"/>
              </w:rPr>
              <w:t>Non-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w w:val="95"/>
              </w:rPr>
              <w:t>Non-watch</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Watch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Accrual</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Accrual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2"/>
              <w:spacing w:after="0"/>
              <w:rPr>
                <w:sz w:val="20"/>
                <w:szCs w:val="20"/>
                <w:color w:val="auto"/>
              </w:rPr>
            </w:pPr>
            <w:r>
              <w:rPr>
                <w:rFonts w:ascii="Arial" w:cs="Arial" w:eastAsia="Arial" w:hAnsi="Arial"/>
                <w:sz w:val="18"/>
                <w:szCs w:val="18"/>
                <w:color w:val="auto"/>
                <w:w w:val="86"/>
              </w:rPr>
              <w:t>10-11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64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6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637,826</w:t>
            </w: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676,319</w:t>
            </w:r>
          </w:p>
        </w:tc>
        <w:tc>
          <w:tcPr>
            <w:tcW w:w="0" w:type="dxa"/>
            <w:vAlign w:val="bottom"/>
          </w:tcPr>
          <w:p>
            <w:pPr>
              <w:spacing w:after="0"/>
              <w:rPr>
                <w:sz w:val="1"/>
                <w:szCs w:val="1"/>
                <w:color w:val="auto"/>
              </w:rPr>
            </w:pPr>
          </w:p>
        </w:tc>
      </w:tr>
      <w:tr>
        <w:trPr>
          <w:trHeight w:val="219"/>
        </w:trPr>
        <w:tc>
          <w:tcPr>
            <w:tcW w:w="4640" w:type="dxa"/>
            <w:vAlign w:val="bottom"/>
          </w:tcPr>
          <w:p>
            <w:pPr>
              <w:ind w:left="1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561,382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5,978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569,632</w:t>
            </w:r>
          </w:p>
        </w:tc>
        <w:tc>
          <w:tcPr>
            <w:tcW w:w="0" w:type="dxa"/>
            <w:vAlign w:val="bottom"/>
          </w:tcPr>
          <w:p>
            <w:pPr>
              <w:spacing w:after="0"/>
              <w:rPr>
                <w:sz w:val="1"/>
                <w:szCs w:val="1"/>
                <w:color w:val="auto"/>
              </w:rPr>
            </w:pPr>
          </w:p>
        </w:tc>
      </w:tr>
      <w:tr>
        <w:trPr>
          <w:trHeight w:val="252"/>
        </w:trPr>
        <w:tc>
          <w:tcPr>
            <w:tcW w:w="4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1,199,208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640" w:type="dxa"/>
            <w:vAlign w:val="bottom"/>
          </w:tcPr>
          <w:p>
            <w:pPr>
              <w:ind w:left="140"/>
              <w:spacing w:after="0" w:line="205" w:lineRule="exact"/>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3,408</w:t>
            </w:r>
          </w:p>
        </w:tc>
        <w:tc>
          <w:tcPr>
            <w:tcW w:w="46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23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each of our mortgage and installment portfolio segment classes, we generally monitor credit quality based on the credit scores of the borrowers. These credit scores are generally updated semi-annually.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color w:val="auto"/>
              </w:rPr>
              <w:t>Mortgage (1)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00"/>
              <w:spacing w:after="0" w:line="200" w:lineRule="exact"/>
              <w:rPr>
                <w:sz w:val="20"/>
                <w:szCs w:val="20"/>
                <w:color w:val="auto"/>
              </w:rPr>
            </w:pPr>
            <w:r>
              <w:rPr>
                <w:rFonts w:ascii="Arial" w:cs="Arial" w:eastAsia="Arial" w:hAnsi="Arial"/>
                <w:sz w:val="18"/>
                <w:szCs w:val="18"/>
                <w:color w:val="auto"/>
                <w:w w:val="93"/>
              </w:rPr>
              <w:t>Revolving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14"/>
            <w:vMerge w:val="restart"/>
          </w:tcPr>
          <w:p>
            <w:pPr>
              <w:ind w:left="60"/>
              <w:spacing w:after="0"/>
              <w:rPr>
                <w:sz w:val="20"/>
                <w:szCs w:val="20"/>
                <w:color w:val="auto"/>
              </w:rPr>
            </w:pPr>
            <w:r>
              <w:rPr>
                <w:rFonts w:ascii="Arial" w:cs="Arial" w:eastAsia="Arial" w:hAnsi="Arial"/>
                <w:sz w:val="18"/>
                <w:szCs w:val="18"/>
                <w:color w:val="auto"/>
                <w:w w:val="92"/>
              </w:rPr>
              <w:t>Term Loans Amortized Cost Basis by Origination Year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Loans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14"/>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20"/>
              <w:spacing w:after="0" w:line="198" w:lineRule="exact"/>
              <w:rPr>
                <w:sz w:val="20"/>
                <w:szCs w:val="20"/>
                <w:color w:val="auto"/>
              </w:rPr>
            </w:pPr>
            <w:r>
              <w:rPr>
                <w:rFonts w:ascii="Arial" w:cs="Arial" w:eastAsia="Arial" w:hAnsi="Arial"/>
                <w:sz w:val="18"/>
                <w:szCs w:val="18"/>
                <w:color w:val="auto"/>
                <w:w w:val="93"/>
              </w:rPr>
              <w:t>Amortized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Cost Basis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(In</w:t>
            </w:r>
          </w:p>
        </w:tc>
        <w:tc>
          <w:tcPr>
            <w:tcW w:w="1060" w:type="dxa"/>
            <w:vAlign w:val="bottom"/>
            <w:gridSpan w:val="4"/>
          </w:tcPr>
          <w:p>
            <w:pPr>
              <w:jc w:val="right"/>
              <w:ind w:right="292"/>
              <w:spacing w:after="0"/>
              <w:rPr>
                <w:sz w:val="20"/>
                <w:szCs w:val="20"/>
                <w:color w:val="auto"/>
              </w:rPr>
            </w:pPr>
            <w:r>
              <w:rPr>
                <w:rFonts w:ascii="Arial" w:cs="Arial" w:eastAsia="Arial" w:hAnsi="Arial"/>
                <w:sz w:val="18"/>
                <w:szCs w:val="18"/>
                <w:color w:val="auto"/>
                <w:w w:val="74"/>
              </w:rPr>
              <w:t>thousands)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920" w:type="dxa"/>
            <w:vAlign w:val="bottom"/>
          </w:tcPr>
          <w:p>
            <w:pPr>
              <w:spacing w:after="0"/>
              <w:rPr>
                <w:sz w:val="20"/>
                <w:szCs w:val="20"/>
                <w:color w:val="auto"/>
              </w:rPr>
            </w:pPr>
            <w:r>
              <w:rPr>
                <w:rFonts w:ascii="Arial" w:cs="Arial" w:eastAsia="Arial" w:hAnsi="Arial"/>
                <w:sz w:val="18"/>
                <w:szCs w:val="18"/>
                <w:color w:val="auto"/>
              </w:rPr>
              <w:t>1-4 family owner occupied - jumbo</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25,061</w:t>
            </w: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8,113</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2,998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68,670</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96,341</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38,487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10,581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296,814</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30,359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5,303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116,280</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14,416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4,822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44,112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2"/>
        </w:trPr>
        <w:tc>
          <w:tcPr>
            <w:tcW w:w="29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2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173,566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70,512</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24,157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36,619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2,648</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537,311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2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382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3"/>
              </w:rPr>
              <w:t>1-4 family owner occupied - non-jumbo</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5,982</w:t>
            </w:r>
          </w:p>
        </w:tc>
        <w:tc>
          <w:tcPr>
            <w:tcW w:w="80" w:type="dxa"/>
            <w:vAlign w:val="bottom"/>
          </w:tcPr>
          <w:p>
            <w:pPr>
              <w:spacing w:after="0"/>
              <w:rPr>
                <w:sz w:val="18"/>
                <w:szCs w:val="18"/>
                <w:color w:val="auto"/>
              </w:rPr>
            </w:pP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5,233</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2,363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4,361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33,041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84,386</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7,323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22,497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3,674</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58,795</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37,007</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8"/>
        </w:trPr>
        <w:tc>
          <w:tcPr>
            <w:tcW w:w="29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c>
          <w:tcPr>
            <w:tcW w:w="260" w:type="dxa"/>
            <w:vAlign w:val="bottom"/>
            <w:gridSpan w:val="2"/>
          </w:tcPr>
          <w:p>
            <w:pPr>
              <w:jc w:val="right"/>
              <w:ind w:right="1"/>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114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94</w:t>
            </w:r>
          </w:p>
        </w:tc>
        <w:tc>
          <w:tcPr>
            <w:tcW w:w="260" w:type="dxa"/>
            <w:vAlign w:val="bottom"/>
            <w:gridSpan w:val="2"/>
          </w:tcPr>
          <w:p>
            <w:pPr>
              <w:jc w:val="right"/>
              <w:ind w:right="3"/>
              <w:spacing w:after="0" w:line="20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98</w:t>
            </w:r>
          </w:p>
        </w:tc>
        <w:tc>
          <w:tcPr>
            <w:tcW w:w="100" w:type="dxa"/>
            <w:vAlign w:val="bottom"/>
          </w:tcPr>
          <w:p>
            <w:pPr>
              <w:spacing w:after="0"/>
              <w:rPr>
                <w:sz w:val="17"/>
                <w:szCs w:val="17"/>
                <w:color w:val="auto"/>
              </w:rPr>
            </w:pP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224</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53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tcPr>
          <w:p>
            <w:pPr>
              <w:spacing w:after="0"/>
              <w:rPr>
                <w:sz w:val="20"/>
                <w:szCs w:val="20"/>
                <w:color w:val="auto"/>
              </w:rPr>
            </w:pPr>
            <w:r>
              <w:rPr>
                <w:rFonts w:ascii="Arial" w:cs="Arial" w:eastAsia="Arial" w:hAnsi="Arial"/>
                <w:sz w:val="18"/>
                <w:szCs w:val="18"/>
                <w:color w:val="auto"/>
              </w:rPr>
              <w:t>1-4 family non-owner occupied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2,804</w:t>
            </w:r>
          </w:p>
        </w:tc>
        <w:tc>
          <w:tcPr>
            <w:tcW w:w="2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32,412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23,479</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6,963</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94,641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36,614</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11,702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2"/>
        </w:trPr>
        <w:tc>
          <w:tcPr>
            <w:tcW w:w="292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2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92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36,279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17,514</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8,265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33,739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13,795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176,796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92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1-4 family - 2nd lien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278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9,253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26,881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39,648</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15,353</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21,742</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9,645</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2"/>
        </w:trPr>
        <w:tc>
          <w:tcPr>
            <w:tcW w:w="2920" w:type="dxa"/>
            <w:vAlign w:val="bottom"/>
          </w:tcPr>
          <w:p>
            <w:pPr>
              <w:ind w:left="18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9"/>
        </w:trPr>
        <w:tc>
          <w:tcPr>
            <w:tcW w:w="292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20" w:type="dxa"/>
            <w:vAlign w:val="bottom"/>
          </w:tcPr>
          <w:p>
            <w:pPr>
              <w:spacing w:after="0" w:line="205" w:lineRule="exact"/>
              <w:rPr>
                <w:sz w:val="20"/>
                <w:szCs w:val="20"/>
                <w:color w:val="auto"/>
              </w:rPr>
            </w:pPr>
            <w:r>
              <w:rPr>
                <w:rFonts w:ascii="Arial" w:cs="Arial" w:eastAsia="Arial" w:hAnsi="Arial"/>
                <w:sz w:val="18"/>
                <w:szCs w:val="18"/>
                <w:color w:val="auto"/>
              </w:rPr>
              <w:t>Accrued interest excluded from 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260" w:type="dxa"/>
            <w:vAlign w:val="bottom"/>
            <w:gridSpan w:val="2"/>
          </w:tcPr>
          <w:p>
            <w:pPr>
              <w:jc w:val="right"/>
              <w:ind w:right="1"/>
              <w:spacing w:after="0" w:line="205"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3"/>
              <w:spacing w:after="0" w:line="20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2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209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8"/>
                <w:szCs w:val="18"/>
                <w:color w:val="auto"/>
                <w:w w:val="90"/>
              </w:rPr>
              <w:t>Mortgage - continued (1)</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93"/>
              </w:rPr>
              <w:t>Revolving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13"/>
            <w:vMerge w:val="restart"/>
          </w:tcPr>
          <w:p>
            <w:pPr>
              <w:jc w:val="right"/>
              <w:ind w:right="300"/>
              <w:spacing w:after="0"/>
              <w:rPr>
                <w:sz w:val="20"/>
                <w:szCs w:val="20"/>
                <w:color w:val="auto"/>
              </w:rPr>
            </w:pPr>
            <w:r>
              <w:rPr>
                <w:rFonts w:ascii="Arial" w:cs="Arial" w:eastAsia="Arial" w:hAnsi="Arial"/>
                <w:sz w:val="18"/>
                <w:szCs w:val="18"/>
                <w:color w:val="auto"/>
                <w:w w:val="90"/>
              </w:rPr>
              <w:t>Term Loans Amortized Cost Basis by Origination Year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Loans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20" w:type="dxa"/>
            <w:vAlign w:val="bottom"/>
            <w:tcBorders>
              <w:bottom w:val="single" w:sz="8" w:color="auto"/>
            </w:tcBorders>
            <w:gridSpan w:val="1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80"/>
              <w:spacing w:after="0" w:line="198" w:lineRule="exact"/>
              <w:rPr>
                <w:sz w:val="20"/>
                <w:szCs w:val="20"/>
                <w:color w:val="auto"/>
              </w:rPr>
            </w:pPr>
            <w:r>
              <w:rPr>
                <w:rFonts w:ascii="Arial" w:cs="Arial" w:eastAsia="Arial" w:hAnsi="Arial"/>
                <w:sz w:val="18"/>
                <w:szCs w:val="18"/>
                <w:color w:val="auto"/>
                <w:w w:val="93"/>
              </w:rPr>
              <w:t>Amortized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2021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Prior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Cost Basis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(In</w:t>
            </w:r>
          </w:p>
        </w:tc>
        <w:tc>
          <w:tcPr>
            <w:tcW w:w="1080" w:type="dxa"/>
            <w:vAlign w:val="bottom"/>
            <w:gridSpan w:val="4"/>
          </w:tcPr>
          <w:p>
            <w:pPr>
              <w:jc w:val="right"/>
              <w:ind w:right="332"/>
              <w:spacing w:after="0"/>
              <w:rPr>
                <w:sz w:val="20"/>
                <w:szCs w:val="20"/>
                <w:color w:val="auto"/>
              </w:rPr>
            </w:pPr>
            <w:r>
              <w:rPr>
                <w:rFonts w:ascii="Arial" w:cs="Arial" w:eastAsia="Arial" w:hAnsi="Arial"/>
                <w:sz w:val="18"/>
                <w:szCs w:val="18"/>
                <w:color w:val="auto"/>
                <w:w w:val="71"/>
              </w:rPr>
              <w:t>thousands)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Resort lending</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3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9,571</w:t>
            </w:r>
          </w:p>
        </w:tc>
        <w:tc>
          <w:tcPr>
            <w:tcW w:w="0" w:type="dxa"/>
            <w:vAlign w:val="bottom"/>
          </w:tcPr>
          <w:p>
            <w:pPr>
              <w:spacing w:after="0"/>
              <w:rPr>
                <w:sz w:val="1"/>
                <w:szCs w:val="1"/>
                <w:color w:val="auto"/>
              </w:rPr>
            </w:pPr>
          </w:p>
        </w:tc>
      </w:tr>
      <w:tr>
        <w:trPr>
          <w:trHeight w:val="212"/>
        </w:trPr>
        <w:tc>
          <w:tcPr>
            <w:tcW w:w="2700" w:type="dxa"/>
            <w:vAlign w:val="bottom"/>
          </w:tcPr>
          <w:p>
            <w:pPr>
              <w:ind w:left="180"/>
              <w:spacing w:after="0"/>
              <w:rPr>
                <w:sz w:val="20"/>
                <w:szCs w:val="20"/>
                <w:color w:val="auto"/>
              </w:rPr>
            </w:pPr>
            <w:r>
              <w:rPr>
                <w:rFonts w:ascii="Arial" w:cs="Arial" w:eastAsia="Arial" w:hAnsi="Arial"/>
                <w:sz w:val="18"/>
                <w:szCs w:val="18"/>
                <w:color w:val="auto"/>
              </w:rPr>
              <w:t>750-799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21,860</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10,077</w:t>
            </w:r>
          </w:p>
        </w:tc>
        <w:tc>
          <w:tcPr>
            <w:tcW w:w="0" w:type="dxa"/>
            <w:vAlign w:val="bottom"/>
          </w:tcPr>
          <w:p>
            <w:pPr>
              <w:spacing w:after="0"/>
              <w:rPr>
                <w:sz w:val="1"/>
                <w:szCs w:val="1"/>
                <w:color w:val="auto"/>
              </w:rPr>
            </w:pPr>
          </w:p>
        </w:tc>
      </w:tr>
      <w:tr>
        <w:trPr>
          <w:trHeight w:val="212"/>
        </w:trPr>
        <w:tc>
          <w:tcPr>
            <w:tcW w:w="2700" w:type="dxa"/>
            <w:vAlign w:val="bottom"/>
          </w:tcPr>
          <w:p>
            <w:pPr>
              <w:ind w:left="180"/>
              <w:spacing w:after="0"/>
              <w:rPr>
                <w:sz w:val="20"/>
                <w:szCs w:val="20"/>
                <w:color w:val="auto"/>
              </w:rPr>
            </w:pPr>
            <w:r>
              <w:rPr>
                <w:rFonts w:ascii="Arial" w:cs="Arial" w:eastAsia="Arial" w:hAnsi="Arial"/>
                <w:sz w:val="18"/>
                <w:szCs w:val="18"/>
                <w:color w:val="auto"/>
              </w:rPr>
              <w:t>650-699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550-599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00" w:type="dxa"/>
            <w:vAlign w:val="bottom"/>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1,438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1,094</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45,412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49,971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Borders>
              <w:bottom w:val="single" w:sz="8" w:color="CCEEFF"/>
              <w:right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w w:val="92"/>
              </w:rPr>
              <w:t>Accrued interest excluded from 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Mortgage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40,866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7,049</w:t>
            </w:r>
          </w:p>
        </w:tc>
        <w:tc>
          <w:tcPr>
            <w:tcW w:w="3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8,996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150,844</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148,586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33,532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537,349</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700-749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51,299</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19,360</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45,938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243,508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8,085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108,620</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600-649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4,832</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32,838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15,842</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500-549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1,958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18"/>
        </w:trPr>
        <w:tc>
          <w:tcPr>
            <w:tcW w:w="2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70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307,777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1,100,992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60" w:type="dxa"/>
            <w:vAlign w:val="bottom"/>
            <w:gridSpan w:val="2"/>
          </w:tcPr>
          <w:p>
            <w:pPr>
              <w:spacing w:after="0" w:line="205" w:lineRule="exact"/>
              <w:rPr>
                <w:sz w:val="20"/>
                <w:szCs w:val="20"/>
                <w:color w:val="auto"/>
              </w:rPr>
            </w:pPr>
            <w:r>
              <w:rPr>
                <w:rFonts w:ascii="Arial" w:cs="Arial" w:eastAsia="Arial" w:hAnsi="Arial"/>
                <w:sz w:val="18"/>
                <w:szCs w:val="18"/>
                <w:color w:val="auto"/>
                <w:w w:val="93"/>
              </w:rPr>
              <w:t>Accrued interest excluded from total $</w:t>
            </w:r>
          </w:p>
        </w:tc>
        <w:tc>
          <w:tcPr>
            <w:tcW w:w="680" w:type="dxa"/>
            <w:vAlign w:val="bottom"/>
          </w:tcPr>
          <w:p>
            <w:pPr>
              <w:jc w:val="right"/>
              <w:spacing w:after="0" w:line="205" w:lineRule="exact"/>
              <w:rPr>
                <w:sz w:val="20"/>
                <w:szCs w:val="20"/>
                <w:color w:val="auto"/>
              </w:rPr>
            </w:pPr>
            <w:r>
              <w:rPr>
                <w:rFonts w:ascii="Arial" w:cs="Arial" w:eastAsia="Arial" w:hAnsi="Arial"/>
                <w:sz w:val="18"/>
                <w:szCs w:val="18"/>
                <w:color w:val="auto"/>
              </w:rPr>
              <w:t>685</w:t>
            </w:r>
          </w:p>
        </w:tc>
        <w:tc>
          <w:tcPr>
            <w:tcW w:w="3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607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344</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rPr>
              <w:t>251</w:t>
            </w:r>
          </w:p>
        </w:tc>
        <w:tc>
          <w:tcPr>
            <w:tcW w:w="300" w:type="dxa"/>
            <w:vAlign w:val="bottom"/>
            <w:gridSpan w:val="2"/>
          </w:tcPr>
          <w:p>
            <w:pPr>
              <w:jc w:val="right"/>
              <w:ind w:right="23"/>
              <w:spacing w:after="0" w:line="205"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243</w:t>
            </w:r>
          </w:p>
        </w:tc>
        <w:tc>
          <w:tcPr>
            <w:tcW w:w="18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554</w:t>
            </w:r>
          </w:p>
        </w:tc>
        <w:tc>
          <w:tcPr>
            <w:tcW w:w="2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314</w:t>
            </w:r>
          </w:p>
        </w:tc>
        <w:tc>
          <w:tcPr>
            <w:tcW w:w="2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2"/>
              </w:rPr>
              <w:t>Installment (1)</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2"/>
          </w:tcPr>
          <w:p>
            <w:pPr>
              <w:jc w:val="center"/>
              <w:ind w:right="83"/>
              <w:spacing w:after="0"/>
              <w:rPr>
                <w:sz w:val="20"/>
                <w:szCs w:val="20"/>
                <w:color w:val="auto"/>
              </w:rPr>
            </w:pPr>
            <w:r>
              <w:rPr>
                <w:rFonts w:ascii="Arial" w:cs="Arial" w:eastAsia="Arial" w:hAnsi="Arial"/>
                <w:sz w:val="18"/>
                <w:szCs w:val="18"/>
                <w:color w:val="auto"/>
                <w:w w:val="90"/>
              </w:rPr>
              <w:t>Term Loans Amortized Cost Basis by Origination Year</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Prior</w:t>
            </w: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5"/>
              </w:rPr>
              <w:t>(In thousands)</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Boat lending</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4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6,684</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4,879</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36,796</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26,970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22,603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18,139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12,324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133,876</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48,586</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44,719</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40,083</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30,669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19,021</w:t>
            </w: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231,546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Borders>
              <w:bottom w:val="single" w:sz="8" w:color="CCEEFF"/>
              <w:right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w w:val="92"/>
              </w:rPr>
              <w:t>Accrued interest excluded from 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Recreational vehicle lending</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14,475</w:t>
            </w:r>
          </w:p>
        </w:tc>
        <w:tc>
          <w:tcPr>
            <w:tcW w:w="100" w:type="dxa"/>
            <w:vAlign w:val="bottom"/>
          </w:tcPr>
          <w:p>
            <w:pPr>
              <w:spacing w:after="0"/>
              <w:rPr>
                <w:sz w:val="18"/>
                <w:szCs w:val="18"/>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4,532</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5,344</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4,957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3,786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35,738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12,607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127,211</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6,054</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4,543</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2,481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53,848</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9"/>
        </w:trPr>
        <w:tc>
          <w:tcPr>
            <w:tcW w:w="2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270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00" w:type="dxa"/>
            <w:vAlign w:val="bottom"/>
            <w:gridSpan w:val="2"/>
          </w:tcPr>
          <w:p>
            <w:pPr>
              <w:spacing w:after="0" w:line="205" w:lineRule="exact"/>
              <w:rPr>
                <w:sz w:val="20"/>
                <w:szCs w:val="20"/>
                <w:color w:val="auto"/>
              </w:rPr>
            </w:pPr>
            <w:r>
              <w:rPr>
                <w:rFonts w:ascii="Arial" w:cs="Arial" w:eastAsia="Arial" w:hAnsi="Arial"/>
                <w:sz w:val="18"/>
                <w:szCs w:val="18"/>
                <w:color w:val="auto"/>
                <w:w w:val="95"/>
              </w:rPr>
              <w:t>Accrued interest excluded from total $</w:t>
            </w: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235</w:t>
            </w:r>
          </w:p>
        </w:tc>
        <w:tc>
          <w:tcPr>
            <w:tcW w:w="100" w:type="dxa"/>
            <w:vAlign w:val="bottom"/>
          </w:tcPr>
          <w:p>
            <w:pPr>
              <w:spacing w:after="0"/>
              <w:rPr>
                <w:sz w:val="17"/>
                <w:szCs w:val="17"/>
                <w:color w:val="auto"/>
              </w:rPr>
            </w:pPr>
          </w:p>
        </w:tc>
        <w:tc>
          <w:tcPr>
            <w:tcW w:w="32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106</w:t>
            </w:r>
          </w:p>
        </w:tc>
        <w:tc>
          <w:tcPr>
            <w:tcW w:w="400" w:type="dxa"/>
            <w:vAlign w:val="bottom"/>
            <w:gridSpan w:val="2"/>
          </w:tcPr>
          <w:p>
            <w:pPr>
              <w:jc w:val="right"/>
              <w:ind w:right="63"/>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86</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60</w:t>
            </w:r>
          </w:p>
        </w:tc>
        <w:tc>
          <w:tcPr>
            <w:tcW w:w="220" w:type="dxa"/>
            <w:vAlign w:val="bottom"/>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43"/>
              <w:spacing w:after="0" w:line="205"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32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7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40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3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750-799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6,445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3,367</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36,497</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650-699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24,196</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550-599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
        </w:trPr>
        <w:tc>
          <w:tcPr>
            <w:tcW w:w="27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20,445</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14,497</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8,084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5,048</w:t>
            </w: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8,376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98,887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700" w:type="dxa"/>
            <w:vAlign w:val="bottom"/>
            <w:tcBorders>
              <w:bottom w:val="single" w:sz="8" w:color="CCEEFF"/>
              <w:right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w w:val="92"/>
              </w:rPr>
              <w:t>Accrued interest excluded from 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installment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800 and above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28,397</w:t>
            </w:r>
          </w:p>
        </w:tc>
        <w:tc>
          <w:tcPr>
            <w:tcW w:w="100" w:type="dxa"/>
            <w:vAlign w:val="bottom"/>
          </w:tcPr>
          <w:p>
            <w:pPr>
              <w:spacing w:after="0"/>
              <w:rPr>
                <w:sz w:val="18"/>
                <w:szCs w:val="18"/>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11,507</w:t>
            </w:r>
          </w:p>
        </w:tc>
        <w:tc>
          <w:tcPr>
            <w:tcW w:w="40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13,772</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11,607</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6,473</w:t>
            </w:r>
          </w:p>
        </w:tc>
        <w:tc>
          <w:tcPr>
            <w:tcW w:w="3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9,546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81,302</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34,113</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297,584</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700-749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18,931</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12,078</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8,901</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127,499</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44,667</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600-649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1,210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8"/>
                <w:szCs w:val="18"/>
                <w:color w:val="auto"/>
              </w:rPr>
              <w:t>500-549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2"/>
        </w:trPr>
        <w:tc>
          <w:tcPr>
            <w:tcW w:w="27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9"/>
        </w:trPr>
        <w:tc>
          <w:tcPr>
            <w:tcW w:w="2700" w:type="dxa"/>
            <w:vAlign w:val="bottom"/>
          </w:tcPr>
          <w:p>
            <w:pPr>
              <w:ind w:left="160"/>
              <w:spacing w:after="0"/>
              <w:rPr>
                <w:sz w:val="20"/>
                <w:szCs w:val="20"/>
                <w:color w:val="auto"/>
              </w:rPr>
            </w:pPr>
            <w:r>
              <w:rPr>
                <w:rFonts w:ascii="Arial" w:cs="Arial" w:eastAsia="Arial" w:hAnsi="Arial"/>
                <w:sz w:val="18"/>
                <w:szCs w:val="18"/>
                <w:color w:val="auto"/>
              </w:rPr>
              <w:t>Unknown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52"/>
        </w:trPr>
        <w:tc>
          <w:tcPr>
            <w:tcW w:w="270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108,895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560,184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900" w:type="dxa"/>
            <w:vAlign w:val="bottom"/>
            <w:gridSpan w:val="2"/>
          </w:tcPr>
          <w:p>
            <w:pPr>
              <w:spacing w:after="0" w:line="205" w:lineRule="exact"/>
              <w:rPr>
                <w:sz w:val="20"/>
                <w:szCs w:val="20"/>
                <w:color w:val="auto"/>
              </w:rPr>
            </w:pPr>
            <w:r>
              <w:rPr>
                <w:rFonts w:ascii="Arial" w:cs="Arial" w:eastAsia="Arial" w:hAnsi="Arial"/>
                <w:sz w:val="18"/>
                <w:szCs w:val="18"/>
                <w:color w:val="auto"/>
                <w:w w:val="95"/>
              </w:rPr>
              <w:t>Accrued interest excluded from total $</w:t>
            </w:r>
          </w:p>
        </w:tc>
        <w:tc>
          <w:tcPr>
            <w:tcW w:w="780" w:type="dxa"/>
            <w:vAlign w:val="bottom"/>
          </w:tcPr>
          <w:p>
            <w:pPr>
              <w:jc w:val="right"/>
              <w:spacing w:after="0" w:line="205" w:lineRule="exact"/>
              <w:rPr>
                <w:sz w:val="20"/>
                <w:szCs w:val="20"/>
                <w:color w:val="auto"/>
              </w:rPr>
            </w:pPr>
            <w:r>
              <w:rPr>
                <w:rFonts w:ascii="Arial" w:cs="Arial" w:eastAsia="Arial" w:hAnsi="Arial"/>
                <w:sz w:val="18"/>
                <w:szCs w:val="18"/>
                <w:color w:val="auto"/>
              </w:rPr>
              <w:t>453</w:t>
            </w:r>
          </w:p>
        </w:tc>
        <w:tc>
          <w:tcPr>
            <w:tcW w:w="100" w:type="dxa"/>
            <w:vAlign w:val="bottom"/>
          </w:tcPr>
          <w:p>
            <w:pPr>
              <w:spacing w:after="0"/>
              <w:rPr>
                <w:sz w:val="17"/>
                <w:szCs w:val="17"/>
                <w:color w:val="auto"/>
              </w:rPr>
            </w:pPr>
          </w:p>
        </w:tc>
        <w:tc>
          <w:tcPr>
            <w:tcW w:w="32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5" w:lineRule="exact"/>
              <w:rPr>
                <w:sz w:val="20"/>
                <w:szCs w:val="20"/>
                <w:color w:val="auto"/>
              </w:rPr>
            </w:pPr>
            <w:r>
              <w:rPr>
                <w:rFonts w:ascii="Arial" w:cs="Arial" w:eastAsia="Arial" w:hAnsi="Arial"/>
                <w:sz w:val="18"/>
                <w:szCs w:val="18"/>
                <w:color w:val="auto"/>
              </w:rPr>
              <w:t>258</w:t>
            </w:r>
          </w:p>
        </w:tc>
        <w:tc>
          <w:tcPr>
            <w:tcW w:w="400" w:type="dxa"/>
            <w:vAlign w:val="bottom"/>
            <w:gridSpan w:val="2"/>
          </w:tcPr>
          <w:p>
            <w:pPr>
              <w:jc w:val="right"/>
              <w:ind w:right="63"/>
              <w:spacing w:after="0" w:line="205"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240</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162</w:t>
            </w:r>
          </w:p>
        </w:tc>
        <w:tc>
          <w:tcPr>
            <w:tcW w:w="220" w:type="dxa"/>
            <w:vAlign w:val="bottom"/>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93</w:t>
            </w:r>
          </w:p>
        </w:tc>
        <w:tc>
          <w:tcPr>
            <w:tcW w:w="320" w:type="dxa"/>
            <w:vAlign w:val="bottom"/>
            <w:gridSpan w:val="2"/>
          </w:tcPr>
          <w:p>
            <w:pPr>
              <w:jc w:val="right"/>
              <w:ind w:right="43"/>
              <w:spacing w:after="0" w:line="205"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125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Credit scores have been updated within the last twelve months.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credit scores by loan class for our mortgage and installment loan portfolio segments at December 31,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8"/>
                <w:szCs w:val="18"/>
                <w:color w:val="auto"/>
              </w:rPr>
              <w:t>Mortgage</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line="200" w:lineRule="exact"/>
              <w:rPr>
                <w:sz w:val="20"/>
                <w:szCs w:val="20"/>
                <w:color w:val="auto"/>
              </w:rPr>
            </w:pPr>
            <w:r>
              <w:rPr>
                <w:rFonts w:ascii="Arial" w:cs="Arial" w:eastAsia="Arial" w:hAnsi="Arial"/>
                <w:sz w:val="18"/>
                <w:szCs w:val="18"/>
                <w:color w:val="auto"/>
                <w:w w:val="92"/>
              </w:rPr>
              <w:t>1-4 Family</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w w:val="92"/>
              </w:rPr>
              <w:t>1-4 Family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Owner</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Owner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1-4 Family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Occupied -</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Occupied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Non-owner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1-4 Family</w:t>
            </w:r>
          </w:p>
        </w:tc>
        <w:tc>
          <w:tcPr>
            <w:tcW w:w="260" w:type="dxa"/>
            <w:vAlign w:val="bottom"/>
          </w:tcPr>
          <w:p>
            <w:pPr>
              <w:spacing w:after="0"/>
              <w:rPr>
                <w:sz w:val="18"/>
                <w:szCs w:val="18"/>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Resort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5"/>
              </w:rPr>
              <w:t>Jumbo</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3"/>
              </w:rPr>
              <w:t>Non-jumbo</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9"/>
              </w:rPr>
              <w:t>Occupied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2nd Lien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90"/>
              </w:rPr>
              <w:t>Lending</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40,187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148,768</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223,177</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82,124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42,138</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27,530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445,611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101,086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30,326</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241,589</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40,296</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44,344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11,269</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115,484</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4,303</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38,341</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1,608</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19"/>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52"/>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440,178</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267,573</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80" w:type="dxa"/>
            <w:vAlign w:val="bottom"/>
          </w:tcPr>
          <w:p>
            <w:pPr>
              <w:spacing w:after="0" w:line="205" w:lineRule="exact"/>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1,301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1,641</w:t>
            </w:r>
          </w:p>
        </w:tc>
        <w:tc>
          <w:tcPr>
            <w:tcW w:w="160" w:type="dxa"/>
            <w:vAlign w:val="bottom"/>
          </w:tcPr>
          <w:p>
            <w:pPr>
              <w:spacing w:after="0"/>
              <w:rPr>
                <w:sz w:val="17"/>
                <w:szCs w:val="17"/>
                <w:color w:val="auto"/>
              </w:rPr>
            </w:pP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587</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373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276</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8"/>
                <w:szCs w:val="18"/>
                <w:color w:val="auto"/>
                <w:w w:val="89"/>
              </w:rPr>
              <w:t>Installment</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320"/>
              <w:spacing w:after="0" w:line="200" w:lineRule="exact"/>
              <w:rPr>
                <w:sz w:val="20"/>
                <w:szCs w:val="20"/>
                <w:color w:val="auto"/>
              </w:rPr>
            </w:pPr>
            <w:r>
              <w:rPr>
                <w:rFonts w:ascii="Arial" w:cs="Arial" w:eastAsia="Arial" w:hAnsi="Arial"/>
                <w:sz w:val="18"/>
                <w:szCs w:val="18"/>
                <w:color w:val="auto"/>
                <w:w w:val="87"/>
              </w:rPr>
              <w:t>Recreational</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Boat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Vehicle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Lending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3"/>
              </w:rPr>
              <w:t>Lending</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vMerge w:val="restart"/>
          </w:tcPr>
          <w:p>
            <w:pPr>
              <w:spacing w:after="0"/>
              <w:rPr>
                <w:sz w:val="20"/>
                <w:szCs w:val="20"/>
                <w:color w:val="auto"/>
              </w:rPr>
            </w:pPr>
            <w:r>
              <w:rPr>
                <w:rFonts w:ascii="Arial" w:cs="Arial" w:eastAsia="Arial" w:hAnsi="Arial"/>
                <w:sz w:val="18"/>
                <w:szCs w:val="18"/>
                <w:color w:val="auto"/>
              </w:rPr>
              <w:t>December 31, 2020</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70,608</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750-799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95,890</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37,512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257,091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700-749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38,223</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650-699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8,794</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21,138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40,121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600-649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7,118</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550-599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500-549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2"/>
        </w:trPr>
        <w:tc>
          <w:tcPr>
            <w:tcW w:w="3280" w:type="dxa"/>
            <w:vAlign w:val="bottom"/>
          </w:tcPr>
          <w:p>
            <w:pPr>
              <w:ind w:left="18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Unknown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8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169,574</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99,435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476,522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tcBorders>
            <w:gridSpan w:val="2"/>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8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Accrued interest included in total</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23"/>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Foreclosed residential real estate properties included in other real estate and repossessed assets on our Condensed Consolidated Statements of Financial Condition totaled $0.2 million and $0.7 million at September 30, 2021 and December 31, 2020, respectively. Retail mortgage loans secured by residential real estate properties for which formal foreclosure proceedings are in process according to local requirements totaled $0.2 million and $0.3 million at September 30, 2021 and December 31, 2020, respectively.</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first quarter of 2020, we securitized $26.3 million of portfolio residential fixed rate mortgage loans servicing retained with Freddie Mac and recognized a gain on sale of $0.72 million. We also sold $2.4 million of portfolio residential fixed rate mortgage loans servicing retained into the secondary market and recognized a gain on sale of $0.07 million. These transactions were done primarily for asset/liability management purposes.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Shareholders’ Equity and Earnings Per Common Share</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December 18, 2020, our Board of Directors authorized a share repurchase plan (the “Repurchase Plan”) to buy back up to 1,100,000 shares of our outstanding common stock through December 31, 2021.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nine month periods ended September 30, 2021 and 2020 repurchases were made totaling 659,350 shares and 678,929 shares of common stock, respectively, for an aggregate purchase price of $13.8 million and $13.8 million,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w w:val="99"/>
              </w:rPr>
              <w:t>A reconciliation of basic and diluted net income per common share follows: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89"/>
              </w:rPr>
              <w:t>Nine Months Ended</w:t>
            </w:r>
          </w:p>
        </w:tc>
      </w:tr>
      <w:tr>
        <w:trPr>
          <w:trHeight w:val="231"/>
        </w:trPr>
        <w:tc>
          <w:tcPr>
            <w:tcW w:w="5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86"/>
              </w:rPr>
              <w:t>September 30,</w:t>
            </w:r>
          </w:p>
        </w:tc>
      </w:tr>
      <w:tr>
        <w:trPr>
          <w:trHeight w:val="218"/>
        </w:trPr>
        <w:tc>
          <w:tcPr>
            <w:tcW w:w="59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920" w:type="dxa"/>
            <w:vAlign w:val="bottom"/>
            <w:gridSpan w:val="7"/>
          </w:tcPr>
          <w:p>
            <w:pPr>
              <w:ind w:left="160"/>
              <w:spacing w:after="0"/>
              <w:rPr>
                <w:sz w:val="20"/>
                <w:szCs w:val="20"/>
                <w:color w:val="auto"/>
              </w:rPr>
            </w:pPr>
            <w:r>
              <w:rPr>
                <w:rFonts w:ascii="Arial" w:cs="Arial" w:eastAsia="Arial" w:hAnsi="Arial"/>
                <w:sz w:val="18"/>
                <w:szCs w:val="18"/>
                <w:color w:val="auto"/>
                <w:w w:val="91"/>
              </w:rPr>
              <w:t>(In thousands, except per share data)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50,387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39,166</w:t>
            </w:r>
          </w:p>
        </w:tc>
      </w:tr>
      <w:tr>
        <w:trPr>
          <w:trHeight w:val="205"/>
        </w:trPr>
        <w:tc>
          <w:tcPr>
            <w:tcW w:w="5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22,014</w:t>
            </w: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2"/>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stock options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8"/>
        </w:trPr>
        <w:tc>
          <w:tcPr>
            <w:tcW w:w="5960" w:type="dxa"/>
            <w:vAlign w:val="bottom"/>
          </w:tcPr>
          <w:p>
            <w:pPr>
              <w:ind w:left="14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00"/>
        </w:trPr>
        <w:tc>
          <w:tcPr>
            <w:tcW w:w="596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w w:val="93"/>
              </w:rPr>
              <w:t>Weighted average shares outstanding for calculation of diluted earnings per</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4"/>
        </w:trPr>
        <w:tc>
          <w:tcPr>
            <w:tcW w:w="5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22,115</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21,918</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22,256</w:t>
            </w:r>
          </w:p>
        </w:tc>
      </w:tr>
      <w:tr>
        <w:trPr>
          <w:trHeight w:val="205"/>
        </w:trPr>
        <w:tc>
          <w:tcPr>
            <w:tcW w:w="5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960" w:type="dxa"/>
            <w:vAlign w:val="bottom"/>
          </w:tcPr>
          <w:p>
            <w:pPr>
              <w:ind w:left="140"/>
              <w:spacing w:after="0"/>
              <w:rPr>
                <w:sz w:val="20"/>
                <w:szCs w:val="20"/>
                <w:color w:val="auto"/>
              </w:rPr>
            </w:pPr>
            <w:r>
              <w:rPr>
                <w:rFonts w:ascii="Arial" w:cs="Arial" w:eastAsia="Arial" w:hAnsi="Arial"/>
                <w:sz w:val="18"/>
                <w:szCs w:val="18"/>
                <w:color w:val="auto"/>
              </w:rPr>
              <w:t>Basic (1)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596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0.73</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line="205"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0.89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Weighted average stock options outstanding that were not considered in computing diluted net income per common share because they were anti-dilutive were zero for the three and nine month periods ended September 30, 2021 and 2020.</w:t>
      </w:r>
    </w:p>
    <w:p>
      <w:pPr>
        <w:spacing w:after="0" w:line="181"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7"/>
              </w:rPr>
              <w:t>September 30,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1"/>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3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8"/>
        </w:trPr>
        <w:tc>
          <w:tcPr>
            <w:tcW w:w="5300" w:type="dxa"/>
            <w:vAlign w:val="bottom"/>
          </w:tcPr>
          <w:p>
            <w:pPr>
              <w:ind w:left="16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148,895</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52"/>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155,734</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30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2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184,611</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158,546</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Interest rate swaption agreement</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167,203</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167,203</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5,965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5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0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808,349</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87"/>
              </w:rPr>
              <w:t>December 31, 2020</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220"/>
              <w:spacing w:after="0" w:line="200" w:lineRule="exact"/>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Notional</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1"/>
        </w:trPr>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(years)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spacing w:after="0"/>
              <w:rPr>
                <w:sz w:val="20"/>
                <w:szCs w:val="20"/>
                <w:color w:val="auto"/>
              </w:rPr>
            </w:pPr>
            <w:r>
              <w:rPr>
                <w:rFonts w:ascii="Arial" w:cs="Arial" w:eastAsia="Arial" w:hAnsi="Arial"/>
                <w:sz w:val="18"/>
                <w:szCs w:val="18"/>
                <w:color w:val="auto"/>
              </w:rPr>
              <w:t>Fair value hedge designation</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color w:val="auto"/>
                <w:w w:val="89"/>
              </w:rPr>
              <w:t>(Dollars 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30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Pay-fixed interest rate swap agreements - commercial</w:t>
            </w:r>
          </w:p>
        </w:tc>
        <w:tc>
          <w:tcPr>
            <w:tcW w:w="22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8"/>
        </w:trPr>
        <w:tc>
          <w:tcPr>
            <w:tcW w:w="5300" w:type="dxa"/>
            <w:vAlign w:val="bottom"/>
          </w:tcPr>
          <w:p>
            <w:pPr>
              <w:ind w:left="160"/>
              <w:spacing w:after="0"/>
              <w:rPr>
                <w:sz w:val="20"/>
                <w:szCs w:val="20"/>
                <w:color w:val="auto"/>
              </w:rPr>
            </w:pPr>
            <w:r>
              <w:rPr>
                <w:rFonts w:ascii="Arial" w:cs="Arial" w:eastAsia="Arial" w:hAnsi="Arial"/>
                <w:sz w:val="18"/>
                <w:szCs w:val="18"/>
                <w:color w:val="auto"/>
                <w:w w:val="92"/>
              </w:rPr>
              <w:t>Pay-fixed interest rate swap agreements - securities available for sale</w:t>
            </w:r>
          </w:p>
        </w:tc>
        <w:tc>
          <w:tcPr>
            <w:tcW w:w="2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41,950</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2"/>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49,038</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30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Rate-lock mortgage loan commitments</w:t>
            </w:r>
          </w:p>
        </w:tc>
        <w:tc>
          <w:tcPr>
            <w:tcW w:w="22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168,816</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186,092</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Pay-fixed interest rate swap agreements - commercial</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147,456</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Pay-variable interest rate swap agreements - commercial</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Pay-fixed interest rate swap agreements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530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2,908</w:t>
            </w:r>
          </w:p>
        </w:tc>
        <w:tc>
          <w:tcPr>
            <w:tcW w:w="1540" w:type="dxa"/>
            <w:vAlign w:val="bottom"/>
            <w:gridSpan w:val="3"/>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2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5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0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815,576</w:t>
            </w:r>
          </w:p>
        </w:tc>
        <w:tc>
          <w:tcPr>
            <w:tcW w:w="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gridSpan w:val="3"/>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20" w:type="dxa"/>
            <w:vAlign w:val="bottom"/>
            <w:vMerge w:val="restart"/>
          </w:tcPr>
          <w:p>
            <w:pPr>
              <w:jc w:val="right"/>
              <w:ind w:right="1535"/>
              <w:spacing w:after="0"/>
              <w:rPr>
                <w:sz w:val="20"/>
                <w:szCs w:val="20"/>
                <w:color w:val="auto"/>
              </w:rPr>
            </w:pPr>
            <w:r>
              <w:rPr>
                <w:rFonts w:ascii="Arial" w:cs="Arial" w:eastAsia="Arial" w:hAnsi="Arial"/>
                <w:sz w:val="14"/>
                <w:szCs w:val="14"/>
                <w:color w:val="auto"/>
              </w:rPr>
              <w:t>37</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3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0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have used variable-rate and short-term fixed-rate (less than 12 months) debt obligations to fund a portion of our Condensed Consolidated Statements of Financial Condition, which exposed us to variability in interest rates. To meet our asset/liability management objectives, we may periodically enter into derivative financial instruments to mitigate exposure to fluctuations in cash flows resulting from changes in interest rates (“Cash Flow Hedges”). Cash Flow Hedges had included certain pay-fixed interest rate swap and interest rate cap agreements. Pay-fixed interest rate swap agreements convert the variable-rate cash flows on debt obligations to fixed-rates. Under interest-rate cap agreements, we will receive cash if interest rates rise above a predetermined level. As a result, we effectively have variable-rate debt with an established maximum rate. We paid an upfront premium on interest rate caps which was recognized in earnings in the same period in which the hedged item affected earnings. During the first and third quarters of 2020 we transferred all of our Cash Flow Hedge interest rate cap and pay-fixed interest rate swap agreements, respectively to a no hedge designation. The $2.0 million and $0.5 million unrealized loss on our Cash Flow Hedge interest rate cap and pay-fixed interest rate swap agreements, respectively, which were included as a component of accumulated other comprehensive income at the time of the transfers, were being reclassified into earnings over the remaining life of the interest rate cap agreements and pay-fixed interest rate swap agreements. In the fourth quarter of 2020 it became probable that the forecasted transactions being hedged by these interest rate cap and pay-fixed interest rate swap agreements would not occur by the end of the originally specified time period. As a result, all remaining unrealized losses included as a component of accumulated other comprehensive income were reclassified into earnings at that time. The interest rate cap and pay-fixed interest rate swap agreements are now classified as a no hedge designation at September 30, 2021 and any changes in fair value since the transfers to the no hedge designation are recorded in earnings.</w:t>
      </w:r>
    </w:p>
    <w:p>
      <w:pPr>
        <w:spacing w:after="0" w:line="37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have entered into a pay-fixed interest rate swap to protect a portion of the fair value of a certain fixed rate commercial loan (‘‘Fair Value Hedge – Commercial Loan’’). As a result, changes in the fair value of the pay-fixed interest rate swap is expected to offset changes in the fair value of the fixed rate commercial loan due to fluctuations in interest rates. We record the fair value of Fair Value Hedge – Commercial Loan in accrued income and other assets and accrued expenses and other liabilities on our Condensed Consolidated Statements of Financial Condition. The hedged item (fixed rate commercial loan) is also recorded at fair value which offsets the adjustment to the Fair Value Hedge – Commercial Loan. On an ongoing basis, we adjust our Condensed Consolidated Statements of Financial Condition to reflect the then current fair value of both the Fair Value Hedge – Commercial Loan and the hedged item. The related gains or losses are reported in interest income – interest and fees on loans in our Condensed Consolidated Statements of Operations.</w:t>
      </w:r>
    </w:p>
    <w:p>
      <w:pPr>
        <w:spacing w:after="0" w:line="15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entered into pay-fixed interest rate swaps to protect a portion of the fair value of certain securities available for sale (‘‘Fair Value Hedge – AFS Securities’’). As a result, the change in the fair value of the pay-fixed interest rate swaps is expected to offset a portion of the change in the fair value of the fixed rate securities available for sale due to fluctuations in interest rates. We record the fair value of Fair Value Hedge –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available for sale – tax-exempt in our Condensed Consolidated Statements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9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have purchased a swaption agreement, whereby we have the right but not the obligation to pay fixed on an interest rate swap at a future date, in an attempt to reduce the impact of price fluctuations of certain mortgage construction loans held for sale. The changes in the fair value of the swaption agreement is recognized currently as part of net gains on mortgage loans in our Condensed Consolidated Statements of Operations.</w:t>
      </w:r>
    </w:p>
    <w:p>
      <w:pPr>
        <w:spacing w:after="0" w:line="17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In prior periods we offered to our deposit customers an equity linked time deposit product (“Altitude CD”). The Altitude CD was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Condensed Consolidated Statements of Operations. All of the written and purchased options in the table above relate to this Altitude CD product.</w:t>
      </w:r>
    </w:p>
    <w:p>
      <w:pPr>
        <w:spacing w:after="0" w:line="1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noted as commercial in the table above with no hedge designation relate to this program.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Asset Derivatives</w:t>
            </w: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Liability Derivatives</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6"/>
          </w:tcPr>
          <w:p>
            <w:pPr>
              <w:jc w:val="center"/>
              <w:ind w:right="120"/>
              <w:spacing w:after="0" w:line="200" w:lineRule="exact"/>
              <w:rPr>
                <w:sz w:val="20"/>
                <w:szCs w:val="20"/>
                <w:color w:val="auto"/>
              </w:rPr>
            </w:pPr>
            <w:r>
              <w:rPr>
                <w:rFonts w:ascii="Arial" w:cs="Arial" w:eastAsia="Arial" w:hAnsi="Arial"/>
                <w:sz w:val="18"/>
                <w:szCs w:val="18"/>
                <w:color w:val="auto"/>
                <w:w w:val="86"/>
              </w:rPr>
              <w:t>September 30,</w:t>
            </w:r>
          </w:p>
        </w:tc>
        <w:tc>
          <w:tcPr>
            <w:tcW w:w="2180" w:type="dxa"/>
            <w:vAlign w:val="bottom"/>
            <w:gridSpan w:val="5"/>
          </w:tcPr>
          <w:p>
            <w:pPr>
              <w:jc w:val="center"/>
              <w:spacing w:after="0" w:line="200"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7"/>
                <w:szCs w:val="17"/>
                <w:color w:val="auto"/>
              </w:rPr>
            </w:pPr>
          </w:p>
        </w:tc>
        <w:tc>
          <w:tcPr>
            <w:tcW w:w="2140" w:type="dxa"/>
            <w:vAlign w:val="bottom"/>
            <w:gridSpan w:val="6"/>
          </w:tcPr>
          <w:p>
            <w:pPr>
              <w:ind w:left="540"/>
              <w:spacing w:after="0" w:line="200" w:lineRule="exact"/>
              <w:rPr>
                <w:sz w:val="20"/>
                <w:szCs w:val="20"/>
                <w:color w:val="auto"/>
              </w:rPr>
            </w:pPr>
            <w:r>
              <w:rPr>
                <w:rFonts w:ascii="Arial" w:cs="Arial" w:eastAsia="Arial" w:hAnsi="Arial"/>
                <w:sz w:val="18"/>
                <w:szCs w:val="18"/>
                <w:color w:val="auto"/>
              </w:rPr>
              <w:t>September 30,</w:t>
            </w:r>
          </w:p>
        </w:tc>
        <w:tc>
          <w:tcPr>
            <w:tcW w:w="60" w:type="dxa"/>
            <w:vAlign w:val="bottom"/>
          </w:tcPr>
          <w:p>
            <w:pPr>
              <w:spacing w:after="0"/>
              <w:rPr>
                <w:sz w:val="17"/>
                <w:szCs w:val="17"/>
                <w:color w:val="auto"/>
              </w:rPr>
            </w:pPr>
          </w:p>
        </w:tc>
        <w:tc>
          <w:tcPr>
            <w:tcW w:w="2100" w:type="dxa"/>
            <w:vAlign w:val="bottom"/>
            <w:gridSpan w:val="5"/>
          </w:tcPr>
          <w:p>
            <w:pPr>
              <w:jc w:val="right"/>
              <w:ind w:right="472"/>
              <w:spacing w:after="0" w:line="200"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2021</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2020</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89"/>
              </w:rPr>
              <w:t>2021</w:t>
            </w: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89"/>
              </w:rPr>
              <w:t>2020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ind w:left="72"/>
              <w:spacing w:after="0" w:line="200" w:lineRule="exact"/>
              <w:rPr>
                <w:sz w:val="20"/>
                <w:szCs w:val="20"/>
                <w:color w:val="auto"/>
              </w:rPr>
            </w:pPr>
            <w:r>
              <w:rPr>
                <w:rFonts w:ascii="Arial" w:cs="Arial" w:eastAsia="Arial" w:hAnsi="Arial"/>
                <w:sz w:val="18"/>
                <w:szCs w:val="18"/>
                <w:color w:val="auto"/>
                <w:w w:val="86"/>
              </w:rPr>
              <w:t>Balance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left="72"/>
              <w:spacing w:after="0" w:line="200" w:lineRule="exact"/>
              <w:rPr>
                <w:sz w:val="20"/>
                <w:szCs w:val="20"/>
                <w:color w:val="auto"/>
              </w:rPr>
            </w:pPr>
            <w:r>
              <w:rPr>
                <w:rFonts w:ascii="Arial" w:cs="Arial" w:eastAsia="Arial" w:hAnsi="Arial"/>
                <w:sz w:val="18"/>
                <w:szCs w:val="18"/>
                <w:color w:val="auto"/>
                <w:w w:val="86"/>
              </w:rPr>
              <w:t>Balance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left="72"/>
              <w:spacing w:after="0" w:line="200" w:lineRule="exact"/>
              <w:rPr>
                <w:sz w:val="20"/>
                <w:szCs w:val="20"/>
                <w:color w:val="auto"/>
              </w:rPr>
            </w:pPr>
            <w:r>
              <w:rPr>
                <w:rFonts w:ascii="Arial" w:cs="Arial" w:eastAsia="Arial" w:hAnsi="Arial"/>
                <w:sz w:val="18"/>
                <w:szCs w:val="18"/>
                <w:color w:val="auto"/>
                <w:w w:val="86"/>
              </w:rPr>
              <w:t>Balance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ind w:left="72"/>
              <w:spacing w:after="0" w:line="200" w:lineRule="exact"/>
              <w:rPr>
                <w:sz w:val="20"/>
                <w:szCs w:val="20"/>
                <w:color w:val="auto"/>
              </w:rPr>
            </w:pPr>
            <w:r>
              <w:rPr>
                <w:rFonts w:ascii="Arial" w:cs="Arial" w:eastAsia="Arial" w:hAnsi="Arial"/>
                <w:sz w:val="18"/>
                <w:szCs w:val="18"/>
                <w:color w:val="auto"/>
                <w:w w:val="86"/>
              </w:rPr>
              <w:t>Balance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left="72"/>
              <w:spacing w:after="0"/>
              <w:rPr>
                <w:sz w:val="20"/>
                <w:szCs w:val="20"/>
                <w:color w:val="auto"/>
              </w:rPr>
            </w:pPr>
            <w:r>
              <w:rPr>
                <w:rFonts w:ascii="Arial" w:cs="Arial" w:eastAsia="Arial" w:hAnsi="Arial"/>
                <w:sz w:val="18"/>
                <w:szCs w:val="18"/>
                <w:color w:val="auto"/>
                <w:w w:val="84"/>
              </w:rPr>
              <w:t>Sheet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Fair</w:t>
            </w:r>
          </w:p>
        </w:tc>
        <w:tc>
          <w:tcPr>
            <w:tcW w:w="880" w:type="dxa"/>
            <w:vAlign w:val="bottom"/>
          </w:tcPr>
          <w:p>
            <w:pPr>
              <w:jc w:val="center"/>
              <w:ind w:left="72"/>
              <w:spacing w:after="0"/>
              <w:rPr>
                <w:sz w:val="20"/>
                <w:szCs w:val="20"/>
                <w:color w:val="auto"/>
              </w:rPr>
            </w:pPr>
            <w:r>
              <w:rPr>
                <w:rFonts w:ascii="Arial" w:cs="Arial" w:eastAsia="Arial" w:hAnsi="Arial"/>
                <w:sz w:val="18"/>
                <w:szCs w:val="18"/>
                <w:color w:val="auto"/>
                <w:w w:val="84"/>
              </w:rPr>
              <w:t>Sheet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Fair</w:t>
            </w: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4"/>
              </w:rPr>
              <w:t>Sheet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Fair</w:t>
            </w:r>
          </w:p>
        </w:tc>
        <w:tc>
          <w:tcPr>
            <w:tcW w:w="60" w:type="dxa"/>
            <w:vAlign w:val="bottom"/>
          </w:tcPr>
          <w:p>
            <w:pPr>
              <w:spacing w:after="0"/>
              <w:rPr>
                <w:sz w:val="18"/>
                <w:szCs w:val="18"/>
                <w:color w:val="auto"/>
              </w:rPr>
            </w:pPr>
          </w:p>
        </w:tc>
        <w:tc>
          <w:tcPr>
            <w:tcW w:w="840" w:type="dxa"/>
            <w:vAlign w:val="bottom"/>
          </w:tcPr>
          <w:p>
            <w:pPr>
              <w:jc w:val="center"/>
              <w:ind w:left="72"/>
              <w:spacing w:after="0"/>
              <w:rPr>
                <w:sz w:val="20"/>
                <w:szCs w:val="20"/>
                <w:color w:val="auto"/>
              </w:rPr>
            </w:pPr>
            <w:r>
              <w:rPr>
                <w:rFonts w:ascii="Arial" w:cs="Arial" w:eastAsia="Arial" w:hAnsi="Arial"/>
                <w:sz w:val="18"/>
                <w:szCs w:val="18"/>
                <w:color w:val="auto"/>
                <w:w w:val="84"/>
              </w:rPr>
              <w:t>Sheet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1"/>
              </w:rPr>
              <w:t>Location</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Value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3"/>
              </w:rPr>
              <w:t>Location</w:t>
            </w:r>
          </w:p>
        </w:tc>
        <w:tc>
          <w:tcPr>
            <w:tcW w:w="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3"/>
              </w:rPr>
              <w:t>Location</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3"/>
              </w:rPr>
              <w:t>Location</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vMerge w:val="restart"/>
          </w:tcPr>
          <w:p>
            <w:pPr>
              <w:spacing w:after="0"/>
              <w:rPr>
                <w:sz w:val="20"/>
                <w:szCs w:val="20"/>
                <w:color w:val="auto"/>
              </w:rPr>
            </w:pPr>
            <w:r>
              <w:rPr>
                <w:rFonts w:ascii="Arial" w:cs="Arial" w:eastAsia="Arial" w:hAnsi="Arial"/>
                <w:sz w:val="18"/>
                <w:szCs w:val="18"/>
                <w:color w:val="auto"/>
              </w:rPr>
              <w:t>Derivatives designated as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3"/>
          </w:tcPr>
          <w:p>
            <w:pPr>
              <w:ind w:left="18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Other assets</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2"/>
        </w:trPr>
        <w:tc>
          <w:tcPr>
            <w:tcW w:w="2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1"/>
              </w:rPr>
              <w:t>Derivatives not designated as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hedging instruments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180" w:type="dxa"/>
            <w:vAlign w:val="bottom"/>
          </w:tcPr>
          <w:p>
            <w:pPr>
              <w:ind w:left="140"/>
              <w:spacing w:after="0" w:line="200" w:lineRule="exact"/>
              <w:rPr>
                <w:sz w:val="20"/>
                <w:szCs w:val="20"/>
                <w:color w:val="auto"/>
              </w:rPr>
            </w:pPr>
            <w:r>
              <w:rPr>
                <w:rFonts w:ascii="Arial" w:cs="Arial" w:eastAsia="Arial" w:hAnsi="Arial"/>
                <w:sz w:val="18"/>
                <w:szCs w:val="18"/>
                <w:color w:val="auto"/>
              </w:rPr>
              <w:t>Rate-lock mortgage loan</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260"/>
              <w:spacing w:after="0"/>
              <w:rPr>
                <w:sz w:val="20"/>
                <w:szCs w:val="20"/>
                <w:color w:val="auto"/>
              </w:rPr>
            </w:pPr>
            <w:r>
              <w:rPr>
                <w:rFonts w:ascii="Arial" w:cs="Arial" w:eastAsia="Arial" w:hAnsi="Arial"/>
                <w:sz w:val="18"/>
                <w:szCs w:val="18"/>
                <w:color w:val="auto"/>
              </w:rPr>
              <w:t>commitments</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7,020</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3"/>
              </w:rPr>
              <w:t>Mandatory commitments to</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 mortgage loans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00"/>
        </w:trPr>
        <w:tc>
          <w:tcPr>
            <w:tcW w:w="2180" w:type="dxa"/>
            <w:vAlign w:val="bottom"/>
          </w:tcPr>
          <w:p>
            <w:pPr>
              <w:ind w:left="140"/>
              <w:spacing w:after="0" w:line="200" w:lineRule="exact"/>
              <w:rPr>
                <w:sz w:val="20"/>
                <w:szCs w:val="20"/>
                <w:color w:val="auto"/>
              </w:rPr>
            </w:pPr>
            <w:r>
              <w:rPr>
                <w:rFonts w:ascii="Arial" w:cs="Arial" w:eastAsia="Arial" w:hAnsi="Arial"/>
                <w:sz w:val="18"/>
                <w:szCs w:val="18"/>
                <w:color w:val="auto"/>
              </w:rPr>
              <w:t>Interest rate swaption</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260"/>
              <w:spacing w:after="0"/>
              <w:rPr>
                <w:sz w:val="20"/>
                <w:szCs w:val="20"/>
                <w:color w:val="auto"/>
              </w:rPr>
            </w:pPr>
            <w:r>
              <w:rPr>
                <w:rFonts w:ascii="Arial" w:cs="Arial" w:eastAsia="Arial" w:hAnsi="Arial"/>
                <w:sz w:val="18"/>
                <w:szCs w:val="18"/>
                <w:color w:val="auto"/>
              </w:rPr>
              <w:t>agreement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agreements - commercial</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6,047</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9,700</w:t>
            </w:r>
          </w:p>
        </w:tc>
        <w:tc>
          <w:tcPr>
            <w:tcW w:w="0" w:type="dxa"/>
            <w:vAlign w:val="bottom"/>
          </w:tcPr>
          <w:p>
            <w:pPr>
              <w:spacing w:after="0"/>
              <w:rPr>
                <w:sz w:val="1"/>
                <w:szCs w:val="1"/>
                <w:color w:val="auto"/>
              </w:rPr>
            </w:pPr>
          </w:p>
        </w:tc>
      </w:tr>
      <w:tr>
        <w:trPr>
          <w:trHeight w:val="200"/>
        </w:trPr>
        <w:tc>
          <w:tcPr>
            <w:tcW w:w="2180" w:type="dxa"/>
            <w:vAlign w:val="bottom"/>
          </w:tcPr>
          <w:p>
            <w:pPr>
              <w:ind w:left="140"/>
              <w:spacing w:after="0" w:line="200" w:lineRule="exact"/>
              <w:rPr>
                <w:sz w:val="20"/>
                <w:szCs w:val="20"/>
                <w:color w:val="auto"/>
              </w:rPr>
            </w:pPr>
            <w:r>
              <w:rPr>
                <w:rFonts w:ascii="Arial" w:cs="Arial" w:eastAsia="Arial" w:hAnsi="Arial"/>
                <w:sz w:val="18"/>
                <w:szCs w:val="18"/>
                <w:color w:val="auto"/>
              </w:rPr>
              <w:t>Pay-variable interest rate</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180" w:type="dxa"/>
            <w:vAlign w:val="bottom"/>
          </w:tcPr>
          <w:p>
            <w:pPr>
              <w:ind w:left="260"/>
              <w:spacing w:after="0"/>
              <w:rPr>
                <w:sz w:val="20"/>
                <w:szCs w:val="20"/>
                <w:color w:val="auto"/>
              </w:rPr>
            </w:pPr>
            <w:r>
              <w:rPr>
                <w:rFonts w:ascii="Arial" w:cs="Arial" w:eastAsia="Arial" w:hAnsi="Arial"/>
                <w:sz w:val="18"/>
                <w:szCs w:val="18"/>
                <w:color w:val="auto"/>
              </w:rPr>
              <w:t>swap agreements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9,700</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9"/>
                <w:szCs w:val="19"/>
                <w:color w:val="auto"/>
              </w:rPr>
            </w:pP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0"/>
              </w:rPr>
              <w:t>Pay-fixed interest rate swap</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agreements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0"/>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140"/>
              <w:spacing w:after="0"/>
              <w:rPr>
                <w:sz w:val="20"/>
                <w:szCs w:val="20"/>
                <w:color w:val="auto"/>
              </w:rPr>
            </w:pPr>
            <w:r>
              <w:rPr>
                <w:rFonts w:ascii="Arial" w:cs="Arial" w:eastAsia="Arial" w:hAnsi="Arial"/>
                <w:sz w:val="18"/>
                <w:szCs w:val="18"/>
                <w:color w:val="auto"/>
                <w:w w:val="87"/>
              </w:rPr>
              <w:t>Interest rate cap agreements</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40" w:type="dxa"/>
            <w:vAlign w:val="bottom"/>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Purchased options</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6"/>
              </w:rPr>
              <w:t>liabilities</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180" w:type="dxa"/>
            <w:vAlign w:val="bottom"/>
            <w:vMerge w:val="restart"/>
          </w:tcPr>
          <w:p>
            <w:pPr>
              <w:ind w:left="140"/>
              <w:spacing w:after="0"/>
              <w:rPr>
                <w:sz w:val="20"/>
                <w:szCs w:val="20"/>
                <w:color w:val="auto"/>
              </w:rPr>
            </w:pPr>
            <w:r>
              <w:rPr>
                <w:rFonts w:ascii="Arial" w:cs="Arial" w:eastAsia="Arial" w:hAnsi="Arial"/>
                <w:sz w:val="18"/>
                <w:szCs w:val="18"/>
                <w:color w:val="auto"/>
              </w:rPr>
              <w:t>Written options</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90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4"/>
        </w:trPr>
        <w:tc>
          <w:tcPr>
            <w:tcW w:w="2180" w:type="dxa"/>
            <w:vAlign w:val="bottom"/>
            <w:vMerge w:val="continue"/>
          </w:tcPr>
          <w:p>
            <w:pPr>
              <w:spacing w:after="0"/>
              <w:rPr>
                <w:sz w:val="17"/>
                <w:szCs w:val="17"/>
                <w:color w:val="auto"/>
              </w:rPr>
            </w:pPr>
          </w:p>
        </w:tc>
        <w:tc>
          <w:tcPr>
            <w:tcW w:w="960" w:type="dxa"/>
            <w:vAlign w:val="bottom"/>
            <w:gridSpan w:val="2"/>
          </w:tcPr>
          <w:p>
            <w:pPr>
              <w:ind w:left="80"/>
              <w:spacing w:after="0" w:line="198" w:lineRule="exact"/>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line="198" w:lineRule="exact"/>
              <w:rPr>
                <w:sz w:val="20"/>
                <w:szCs w:val="20"/>
                <w:color w:val="auto"/>
              </w:rPr>
            </w:pPr>
            <w:r>
              <w:rPr>
                <w:rFonts w:ascii="Arial" w:cs="Arial" w:eastAsia="Arial" w:hAnsi="Arial"/>
                <w:sz w:val="18"/>
                <w:szCs w:val="18"/>
                <w:color w:val="auto"/>
                <w:w w:val="84"/>
              </w:rPr>
              <w:t>Other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40" w:type="dxa"/>
            <w:vAlign w:val="bottom"/>
          </w:tcPr>
          <w:p>
            <w:pPr>
              <w:jc w:val="center"/>
              <w:ind w:left="52"/>
              <w:spacing w:after="0" w:line="198" w:lineRule="exact"/>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center"/>
              <w:ind w:left="52"/>
              <w:spacing w:after="0" w:line="198" w:lineRule="exact"/>
              <w:rPr>
                <w:sz w:val="20"/>
                <w:szCs w:val="20"/>
                <w:color w:val="auto"/>
              </w:rPr>
            </w:pPr>
            <w:r>
              <w:rPr>
                <w:rFonts w:ascii="Arial" w:cs="Arial" w:eastAsia="Arial" w:hAnsi="Arial"/>
                <w:sz w:val="18"/>
                <w:szCs w:val="18"/>
                <w:color w:val="auto"/>
                <w:w w:val="96"/>
              </w:rPr>
              <w:t>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80" w:type="dxa"/>
            <w:vAlign w:val="bottom"/>
          </w:tcPr>
          <w:p>
            <w:pPr>
              <w:ind w:left="320"/>
              <w:spacing w:after="0"/>
              <w:rPr>
                <w:sz w:val="20"/>
                <w:szCs w:val="20"/>
                <w:color w:val="auto"/>
              </w:rPr>
            </w:pPr>
            <w:r>
              <w:rPr>
                <w:rFonts w:ascii="Arial" w:cs="Arial" w:eastAsia="Arial" w:hAnsi="Arial"/>
                <w:sz w:val="18"/>
                <w:szCs w:val="18"/>
                <w:color w:val="auto"/>
              </w:rPr>
              <w:t>Total derivatives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13,559</w:t>
            </w:r>
          </w:p>
        </w:tc>
        <w:tc>
          <w:tcPr>
            <w:tcW w:w="8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16,782</w:t>
            </w:r>
          </w:p>
        </w:tc>
        <w:tc>
          <w:tcPr>
            <w:tcW w:w="84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6,583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11,754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financial instruments on the Condensed Consolidated Statements of Operations follows:</w:t>
      </w: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Three Month Periods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Location of</w:t>
            </w: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Loss</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Reclassified</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from</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gridSpan w:val="4"/>
          </w:tcPr>
          <w:p>
            <w:pPr>
              <w:jc w:val="center"/>
              <w:ind w:right="163"/>
              <w:spacing w:after="0"/>
              <w:rPr>
                <w:sz w:val="20"/>
                <w:szCs w:val="20"/>
                <w:color w:val="auto"/>
              </w:rPr>
            </w:pPr>
            <w:r>
              <w:rPr>
                <w:rFonts w:ascii="Arial" w:cs="Arial" w:eastAsia="Arial" w:hAnsi="Arial"/>
                <w:sz w:val="18"/>
                <w:szCs w:val="18"/>
                <w:color w:val="auto"/>
                <w:w w:val="89"/>
              </w:rPr>
              <w:t>Loss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1640" w:type="dxa"/>
            <w:vAlign w:val="bottom"/>
            <w:gridSpan w:val="7"/>
          </w:tcPr>
          <w:p>
            <w:pPr>
              <w:jc w:val="center"/>
              <w:ind w:right="140"/>
              <w:spacing w:after="0"/>
              <w:rPr>
                <w:sz w:val="20"/>
                <w:szCs w:val="20"/>
                <w:color w:val="auto"/>
              </w:rPr>
            </w:pPr>
            <w:r>
              <w:rPr>
                <w:rFonts w:ascii="Arial" w:cs="Arial" w:eastAsia="Arial" w:hAnsi="Arial"/>
                <w:sz w:val="18"/>
                <w:szCs w:val="18"/>
                <w:color w:val="auto"/>
                <w:w w:val="91"/>
              </w:rPr>
              <w:t>Reclassified from</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89"/>
              </w:rPr>
              <w:t>Recognized in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60" w:type="dxa"/>
            <w:vAlign w:val="bottom"/>
          </w:tcPr>
          <w:p>
            <w:pPr>
              <w:spacing w:after="0"/>
              <w:rPr>
                <w:sz w:val="18"/>
                <w:szCs w:val="18"/>
                <w:color w:val="auto"/>
              </w:rPr>
            </w:pPr>
          </w:p>
        </w:tc>
        <w:tc>
          <w:tcPr>
            <w:tcW w:w="1640" w:type="dxa"/>
            <w:vAlign w:val="bottom"/>
            <w:gridSpan w:val="7"/>
          </w:tcPr>
          <w:p>
            <w:pPr>
              <w:jc w:val="center"/>
              <w:ind w:right="140"/>
              <w:spacing w:after="0"/>
              <w:rPr>
                <w:sz w:val="20"/>
                <w:szCs w:val="20"/>
                <w:color w:val="auto"/>
              </w:rPr>
            </w:pPr>
            <w:r>
              <w:rPr>
                <w:rFonts w:ascii="Arial" w:cs="Arial" w:eastAsia="Arial" w:hAnsi="Arial"/>
                <w:sz w:val="18"/>
                <w:szCs w:val="18"/>
                <w:color w:val="auto"/>
                <w:w w:val="89"/>
              </w:rPr>
              <w:t>Accumulated Other</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Comprehensive</w:t>
            </w:r>
          </w:p>
        </w:tc>
        <w:tc>
          <w:tcPr>
            <w:tcW w:w="60" w:type="dxa"/>
            <w:vAlign w:val="bottom"/>
          </w:tcPr>
          <w:p>
            <w:pPr>
              <w:spacing w:after="0"/>
              <w:rPr>
                <w:sz w:val="18"/>
                <w:szCs w:val="18"/>
                <w:color w:val="auto"/>
              </w:rPr>
            </w:pPr>
          </w:p>
        </w:tc>
        <w:tc>
          <w:tcPr>
            <w:tcW w:w="1640" w:type="dxa"/>
            <w:vAlign w:val="bottom"/>
            <w:gridSpan w:val="7"/>
          </w:tcPr>
          <w:p>
            <w:pPr>
              <w:jc w:val="center"/>
              <w:ind w:right="140"/>
              <w:spacing w:after="0"/>
              <w:rPr>
                <w:sz w:val="20"/>
                <w:szCs w:val="20"/>
                <w:color w:val="auto"/>
              </w:rPr>
            </w:pPr>
            <w:r>
              <w:rPr>
                <w:rFonts w:ascii="Arial" w:cs="Arial" w:eastAsia="Arial" w:hAnsi="Arial"/>
                <w:sz w:val="18"/>
                <w:szCs w:val="18"/>
                <w:color w:val="auto"/>
                <w:w w:val="87"/>
              </w:rPr>
              <w:t>Comprehensive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5"/>
          </w:tcPr>
          <w:p>
            <w:pPr>
              <w:jc w:val="center"/>
              <w:ind w:right="18"/>
              <w:spacing w:after="0"/>
              <w:rPr>
                <w:sz w:val="20"/>
                <w:szCs w:val="20"/>
                <w:color w:val="auto"/>
              </w:rPr>
            </w:pPr>
            <w:r>
              <w:rPr>
                <w:rFonts w:ascii="Arial" w:cs="Arial" w:eastAsia="Arial" w:hAnsi="Arial"/>
                <w:sz w:val="18"/>
                <w:szCs w:val="18"/>
                <w:color w:val="auto"/>
                <w:w w:val="87"/>
              </w:rPr>
              <w:t>Comprehensive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Income</w:t>
            </w:r>
          </w:p>
        </w:tc>
        <w:tc>
          <w:tcPr>
            <w:tcW w:w="60" w:type="dxa"/>
            <w:vAlign w:val="bottom"/>
          </w:tcPr>
          <w:p>
            <w:pPr>
              <w:spacing w:after="0"/>
              <w:rPr>
                <w:sz w:val="18"/>
                <w:szCs w:val="18"/>
                <w:color w:val="auto"/>
              </w:rPr>
            </w:pPr>
          </w:p>
        </w:tc>
        <w:tc>
          <w:tcPr>
            <w:tcW w:w="1200" w:type="dxa"/>
            <w:vAlign w:val="bottom"/>
            <w:gridSpan w:val="5"/>
          </w:tcPr>
          <w:p>
            <w:pPr>
              <w:jc w:val="center"/>
              <w:ind w:left="212"/>
              <w:spacing w:after="0"/>
              <w:rPr>
                <w:sz w:val="20"/>
                <w:szCs w:val="20"/>
                <w:color w:val="auto"/>
              </w:rPr>
            </w:pPr>
            <w:r>
              <w:rPr>
                <w:rFonts w:ascii="Arial" w:cs="Arial" w:eastAsia="Arial" w:hAnsi="Arial"/>
                <w:sz w:val="18"/>
                <w:szCs w:val="18"/>
                <w:color w:val="auto"/>
                <w:w w:val="91"/>
              </w:rPr>
              <w:t>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w w:val="95"/>
              </w:rPr>
              <w:t>Location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color w:val="auto"/>
                <w:w w:val="89"/>
              </w:rPr>
              <w:t>Income (Loss)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into Income</w:t>
            </w:r>
          </w:p>
        </w:tc>
        <w:tc>
          <w:tcPr>
            <w:tcW w:w="60" w:type="dxa"/>
            <w:vAlign w:val="bottom"/>
          </w:tcPr>
          <w:p>
            <w:pPr>
              <w:spacing w:after="0"/>
              <w:rPr>
                <w:sz w:val="18"/>
                <w:szCs w:val="18"/>
                <w:color w:val="auto"/>
              </w:rPr>
            </w:pPr>
          </w:p>
        </w:tc>
        <w:tc>
          <w:tcPr>
            <w:tcW w:w="1200" w:type="dxa"/>
            <w:vAlign w:val="bottom"/>
            <w:gridSpan w:val="5"/>
          </w:tcPr>
          <w:p>
            <w:pPr>
              <w:jc w:val="center"/>
              <w:ind w:left="212"/>
              <w:spacing w:after="0"/>
              <w:rPr>
                <w:sz w:val="20"/>
                <w:szCs w:val="20"/>
                <w:color w:val="auto"/>
              </w:rPr>
            </w:pPr>
            <w:r>
              <w:rPr>
                <w:rFonts w:ascii="Arial" w:cs="Arial" w:eastAsia="Arial" w:hAnsi="Arial"/>
                <w:sz w:val="18"/>
                <w:szCs w:val="18"/>
                <w:color w:val="auto"/>
                <w:w w:val="92"/>
              </w:rPr>
              <w:t>into Income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2"/>
              </w:rPr>
              <w:t>Gain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1"/>
        </w:trPr>
        <w:tc>
          <w:tcPr>
            <w:tcW w:w="3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color w:val="auto"/>
                <w:w w:val="92"/>
              </w:rPr>
              <w:t>(Effective Portion)</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(Effective</w:t>
            </w:r>
          </w:p>
        </w:tc>
        <w:tc>
          <w:tcPr>
            <w:tcW w:w="60" w:type="dxa"/>
            <w:vAlign w:val="bottom"/>
          </w:tcPr>
          <w:p>
            <w:pPr>
              <w:spacing w:after="0"/>
              <w:rPr>
                <w:sz w:val="20"/>
                <w:szCs w:val="20"/>
                <w:color w:val="auto"/>
              </w:rPr>
            </w:pPr>
          </w:p>
        </w:tc>
        <w:tc>
          <w:tcPr>
            <w:tcW w:w="1640" w:type="dxa"/>
            <w:vAlign w:val="bottom"/>
            <w:gridSpan w:val="7"/>
          </w:tcPr>
          <w:p>
            <w:pPr>
              <w:jc w:val="center"/>
              <w:ind w:right="140"/>
              <w:spacing w:after="0"/>
              <w:rPr>
                <w:sz w:val="20"/>
                <w:szCs w:val="20"/>
                <w:color w:val="auto"/>
              </w:rPr>
            </w:pPr>
            <w:r>
              <w:rPr>
                <w:rFonts w:ascii="Arial" w:cs="Arial" w:eastAsia="Arial" w:hAnsi="Arial"/>
                <w:sz w:val="18"/>
                <w:szCs w:val="18"/>
                <w:color w:val="auto"/>
                <w:w w:val="93"/>
              </w:rPr>
              <w:t>(Effective Portion)</w:t>
            </w:r>
          </w:p>
        </w:tc>
        <w:tc>
          <w:tcPr>
            <w:tcW w:w="900" w:type="dxa"/>
            <w:vAlign w:val="bottom"/>
          </w:tcPr>
          <w:p>
            <w:pPr>
              <w:ind w:left="40"/>
              <w:spacing w:after="0"/>
              <w:rPr>
                <w:sz w:val="20"/>
                <w:szCs w:val="20"/>
                <w:color w:val="auto"/>
              </w:rPr>
            </w:pPr>
            <w:r>
              <w:rPr>
                <w:rFonts w:ascii="Arial" w:cs="Arial" w:eastAsia="Arial" w:hAnsi="Arial"/>
                <w:sz w:val="18"/>
                <w:szCs w:val="18"/>
                <w:color w:val="auto"/>
                <w:w w:val="88"/>
              </w:rPr>
              <w:t>Recognized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8"/>
                <w:szCs w:val="18"/>
                <w:color w:val="auto"/>
                <w:w w:val="92"/>
              </w:rPr>
              <w:t>in Income</w:t>
            </w: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2021</w:t>
            </w: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38"/>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ind w:right="132"/>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in Income</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5"/>
          </w:tcPr>
          <w:p>
            <w:pPr>
              <w:jc w:val="center"/>
              <w:ind w:left="12"/>
              <w:spacing w:after="0"/>
              <w:rPr>
                <w:sz w:val="20"/>
                <w:szCs w:val="20"/>
                <w:color w:val="auto"/>
              </w:rPr>
            </w:pPr>
            <w:r>
              <w:rPr>
                <w:rFonts w:ascii="Arial" w:cs="Arial" w:eastAsia="Arial" w:hAnsi="Arial"/>
                <w:sz w:val="18"/>
                <w:szCs w:val="18"/>
                <w:color w:val="auto"/>
                <w:w w:val="88"/>
              </w:rPr>
              <w:t>(In thousands)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Interest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fees 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1"/>
              </w:rPr>
              <w:t>Pay-fixed interest rate swap agreement - Commercial loan</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0" w:lineRule="exact"/>
              <w:rPr>
                <w:sz w:val="20"/>
                <w:szCs w:val="20"/>
                <w:color w:val="auto"/>
              </w:rPr>
            </w:pPr>
            <w:r>
              <w:rPr>
                <w:rFonts w:ascii="Arial" w:cs="Arial" w:eastAsia="Arial" w:hAnsi="Arial"/>
                <w:sz w:val="18"/>
                <w:szCs w:val="18"/>
                <w:color w:val="auto"/>
              </w:rPr>
              <w:t>Interest 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9"/>
              </w:rPr>
              <w:t>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available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for sale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gridSpan w:val="4"/>
          </w:tcPr>
          <w:p>
            <w:pPr>
              <w:ind w:left="140"/>
              <w:spacing w:after="0"/>
              <w:rPr>
                <w:sz w:val="20"/>
                <w:szCs w:val="20"/>
                <w:color w:val="auto"/>
              </w:rPr>
            </w:pPr>
            <w:r>
              <w:rPr>
                <w:rFonts w:ascii="Arial" w:cs="Arial" w:eastAsia="Arial" w:hAnsi="Arial"/>
                <w:sz w:val="18"/>
                <w:szCs w:val="18"/>
                <w:color w:val="auto"/>
              </w:rPr>
              <w:t>Pay-fixed interest rate swap agreement - Securities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tax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260"/>
              <w:spacing w:after="0"/>
              <w:rPr>
                <w:sz w:val="20"/>
                <w:szCs w:val="20"/>
                <w:color w:val="auto"/>
              </w:rPr>
            </w:pPr>
            <w:r>
              <w:rPr>
                <w:rFonts w:ascii="Arial" w:cs="Arial" w:eastAsia="Arial" w:hAnsi="Arial"/>
                <w:sz w:val="18"/>
                <w:szCs w:val="18"/>
                <w:color w:val="auto"/>
              </w:rPr>
              <w:t>available for sale</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exempt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3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line="205" w:lineRule="exact"/>
              <w:rPr>
                <w:sz w:val="20"/>
                <w:szCs w:val="20"/>
                <w:color w:val="auto"/>
              </w:rPr>
            </w:pPr>
            <w:r>
              <w:rPr>
                <w:rFonts w:ascii="Arial" w:cs="Arial" w:eastAsia="Arial" w:hAnsi="Arial"/>
                <w:sz w:val="18"/>
                <w:szCs w:val="18"/>
                <w:color w:val="auto"/>
              </w:rPr>
              <w:t>Cash Flow Hedges</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center"/>
              <w:ind w:right="332"/>
              <w:spacing w:after="0"/>
              <w:rPr>
                <w:sz w:val="20"/>
                <w:szCs w:val="20"/>
                <w:color w:val="auto"/>
              </w:rPr>
            </w:pPr>
            <w:r>
              <w:rPr>
                <w:rFonts w:ascii="Arial" w:cs="Arial" w:eastAsia="Arial" w:hAnsi="Arial"/>
                <w:sz w:val="18"/>
                <w:szCs w:val="18"/>
                <w:color w:val="auto"/>
                <w:w w:val="90"/>
              </w:rPr>
              <w:t>- Interest expense $</w:t>
            </w:r>
          </w:p>
        </w:tc>
        <w:tc>
          <w:tcPr>
            <w:tcW w:w="1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00" w:type="dxa"/>
            <w:vAlign w:val="bottom"/>
          </w:tcPr>
          <w:p>
            <w:pPr>
              <w:ind w:left="140"/>
              <w:spacing w:after="0"/>
              <w:rPr>
                <w:sz w:val="20"/>
                <w:szCs w:val="20"/>
                <w:color w:val="auto"/>
              </w:rPr>
            </w:pPr>
            <w:r>
              <w:rPr>
                <w:rFonts w:ascii="Arial" w:cs="Arial" w:eastAsia="Arial" w:hAnsi="Arial"/>
                <w:sz w:val="18"/>
                <w:szCs w:val="18"/>
                <w:color w:val="auto"/>
                <w:w w:val="91"/>
              </w:rPr>
              <w:t>Pay-fixed interest rate swap agreements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w w:val="84"/>
              </w:rPr>
              <w:t>(26) Interest expense</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7"/>
              </w:rPr>
              <w:t>(26)</w:t>
            </w: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(310)</w:t>
            </w: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line="205" w:lineRule="exact"/>
              <w:rPr>
                <w:sz w:val="20"/>
                <w:szCs w:val="20"/>
                <w:color w:val="auto"/>
              </w:rPr>
            </w:pPr>
            <w:r>
              <w:rPr>
                <w:rFonts w:ascii="Arial" w:cs="Arial" w:eastAsia="Arial" w:hAnsi="Arial"/>
                <w:sz w:val="18"/>
                <w:szCs w:val="18"/>
                <w:color w:val="auto"/>
              </w:rPr>
              <w:t>No hedge designation</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87"/>
              </w:rPr>
              <w:t>Net gains 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mortgage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Rate-lock mortgage loan commitments</w:t>
            </w: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0" w:lineRule="exact"/>
              <w:rPr>
                <w:sz w:val="20"/>
                <w:szCs w:val="20"/>
                <w:color w:val="auto"/>
              </w:rPr>
            </w:pPr>
            <w:r>
              <w:rPr>
                <w:rFonts w:ascii="Arial" w:cs="Arial" w:eastAsia="Arial" w:hAnsi="Arial"/>
                <w:sz w:val="18"/>
                <w:szCs w:val="18"/>
                <w:color w:val="auto"/>
                <w:w w:val="87"/>
              </w:rPr>
              <w:t>Net gains 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w w:val="99"/>
              </w:rPr>
              <w:t>mortgage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gridSpan w:val="4"/>
          </w:tcPr>
          <w:p>
            <w:pPr>
              <w:ind w:left="140"/>
              <w:spacing w:after="0"/>
              <w:rPr>
                <w:sz w:val="20"/>
                <w:szCs w:val="20"/>
                <w:color w:val="auto"/>
              </w:rPr>
            </w:pPr>
            <w:r>
              <w:rPr>
                <w:rFonts w:ascii="Arial" w:cs="Arial" w:eastAsia="Arial" w:hAnsi="Arial"/>
                <w:sz w:val="18"/>
                <w:szCs w:val="18"/>
                <w:color w:val="auto"/>
              </w:rPr>
              <w:t>Mandatory commitments to sell mortgage loans</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loans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7"/>
              </w:rPr>
              <w:t>Net gains 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mortgage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swaption agreement</w:t>
            </w: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140"/>
              <w:spacing w:after="0"/>
              <w:rPr>
                <w:sz w:val="20"/>
                <w:szCs w:val="20"/>
                <w:color w:val="auto"/>
              </w:rPr>
            </w:pPr>
            <w:r>
              <w:rPr>
                <w:rFonts w:ascii="Arial" w:cs="Arial" w:eastAsia="Arial" w:hAnsi="Arial"/>
                <w:sz w:val="18"/>
                <w:szCs w:val="18"/>
                <w:color w:val="auto"/>
                <w:w w:val="88"/>
              </w:rPr>
              <w:t>Pay-fixed interest rate swap agreements -</w:t>
            </w:r>
          </w:p>
        </w:tc>
        <w:tc>
          <w:tcPr>
            <w:tcW w:w="1320" w:type="dxa"/>
            <w:vAlign w:val="bottom"/>
            <w:gridSpan w:val="3"/>
          </w:tcPr>
          <w:p>
            <w:pPr>
              <w:jc w:val="right"/>
              <w:ind w:right="357"/>
              <w:spacing w:after="0"/>
              <w:rPr>
                <w:sz w:val="20"/>
                <w:szCs w:val="20"/>
                <w:color w:val="auto"/>
              </w:rPr>
            </w:pPr>
            <w:r>
              <w:rPr>
                <w:rFonts w:ascii="Arial" w:cs="Arial" w:eastAsia="Arial" w:hAnsi="Arial"/>
                <w:sz w:val="18"/>
                <w:szCs w:val="18"/>
                <w:color w:val="auto"/>
                <w:w w:val="93"/>
              </w:rPr>
              <w:t>commercial</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w w:val="93"/>
              </w:rPr>
              <w:t>Pay-variable interest rate swap agreements - commercial</w:t>
            </w: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140"/>
              <w:spacing w:after="0"/>
              <w:rPr>
                <w:sz w:val="20"/>
                <w:szCs w:val="20"/>
                <w:color w:val="auto"/>
              </w:rPr>
            </w:pPr>
            <w:r>
              <w:rPr>
                <w:rFonts w:ascii="Arial" w:cs="Arial" w:eastAsia="Arial" w:hAnsi="Arial"/>
                <w:sz w:val="18"/>
                <w:szCs w:val="18"/>
                <w:color w:val="auto"/>
                <w:w w:val="91"/>
              </w:rPr>
              <w:t>Pay-fixed interest rate swap agreements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agreements</w:t>
            </w: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line="200" w:lineRule="exact"/>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140"/>
              <w:spacing w:after="0"/>
              <w:rPr>
                <w:sz w:val="20"/>
                <w:szCs w:val="20"/>
                <w:color w:val="auto"/>
              </w:rPr>
            </w:pPr>
            <w:r>
              <w:rPr>
                <w:rFonts w:ascii="Arial" w:cs="Arial" w:eastAsia="Arial" w:hAnsi="Arial"/>
                <w:sz w:val="18"/>
                <w:szCs w:val="18"/>
                <w:color w:val="auto"/>
              </w:rPr>
              <w:t>Purchased options</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Written options</w:t>
            </w:r>
          </w:p>
        </w:tc>
        <w:tc>
          <w:tcPr>
            <w:tcW w:w="1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2"/>
        </w:trPr>
        <w:tc>
          <w:tcPr>
            <w:tcW w:w="3100" w:type="dxa"/>
            <w:vAlign w:val="bottom"/>
          </w:tcPr>
          <w:p>
            <w:pPr>
              <w:ind w:left="32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w w:val="76"/>
              </w:rPr>
              <w:t>41</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(Unaudited)</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Nine Month Periods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Location of</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5"/>
          </w:tcPr>
          <w:p>
            <w:pPr>
              <w:jc w:val="center"/>
              <w:ind w:left="73"/>
              <w:spacing w:after="0"/>
              <w:rPr>
                <w:sz w:val="20"/>
                <w:szCs w:val="20"/>
                <w:color w:val="auto"/>
              </w:rPr>
            </w:pPr>
            <w:r>
              <w:rPr>
                <w:rFonts w:ascii="Arial" w:cs="Arial" w:eastAsia="Arial" w:hAnsi="Arial"/>
                <w:sz w:val="18"/>
                <w:szCs w:val="18"/>
                <w:color w:val="auto"/>
                <w:w w:val="89"/>
              </w:rPr>
              <w:t>Loss</w:t>
            </w: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7"/>
          </w:tcPr>
          <w:p>
            <w:pPr>
              <w:jc w:val="center"/>
              <w:ind w:right="240"/>
              <w:spacing w:after="0"/>
              <w:rPr>
                <w:sz w:val="20"/>
                <w:szCs w:val="20"/>
                <w:color w:val="auto"/>
              </w:rPr>
            </w:pPr>
            <w:r>
              <w:rPr>
                <w:rFonts w:ascii="Arial" w:cs="Arial" w:eastAsia="Arial" w:hAnsi="Arial"/>
                <w:sz w:val="18"/>
                <w:szCs w:val="18"/>
                <w:color w:val="auto"/>
                <w:w w:val="88"/>
              </w:rPr>
              <w:t>Reclassified</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Reclassified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center"/>
              <w:ind w:left="73"/>
              <w:spacing w:after="0"/>
              <w:rPr>
                <w:sz w:val="20"/>
                <w:szCs w:val="20"/>
                <w:color w:val="auto"/>
              </w:rPr>
            </w:pPr>
            <w:r>
              <w:rPr>
                <w:rFonts w:ascii="Arial" w:cs="Arial" w:eastAsia="Arial" w:hAnsi="Arial"/>
                <w:sz w:val="18"/>
                <w:szCs w:val="18"/>
                <w:color w:val="auto"/>
                <w:w w:val="94"/>
              </w:rPr>
              <w:t>from</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7"/>
          </w:tcPr>
          <w:p>
            <w:pPr>
              <w:jc w:val="center"/>
              <w:ind w:right="120"/>
              <w:spacing w:after="0"/>
              <w:rPr>
                <w:sz w:val="20"/>
                <w:szCs w:val="20"/>
                <w:color w:val="auto"/>
              </w:rPr>
            </w:pPr>
            <w:r>
              <w:rPr>
                <w:rFonts w:ascii="Arial" w:cs="Arial" w:eastAsia="Arial" w:hAnsi="Arial"/>
                <w:sz w:val="18"/>
                <w:szCs w:val="18"/>
                <w:color w:val="auto"/>
                <w:w w:val="90"/>
              </w:rPr>
              <w:t>Gain (Loss)</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from</w:t>
            </w:r>
          </w:p>
        </w:tc>
        <w:tc>
          <w:tcPr>
            <w:tcW w:w="60" w:type="dxa"/>
            <w:vAlign w:val="bottom"/>
          </w:tcPr>
          <w:p>
            <w:pPr>
              <w:spacing w:after="0"/>
              <w:rPr>
                <w:sz w:val="18"/>
                <w:szCs w:val="18"/>
                <w:color w:val="auto"/>
              </w:rPr>
            </w:pPr>
          </w:p>
        </w:tc>
        <w:tc>
          <w:tcPr>
            <w:tcW w:w="1200" w:type="dxa"/>
            <w:vAlign w:val="bottom"/>
            <w:gridSpan w:val="8"/>
          </w:tcPr>
          <w:p>
            <w:pPr>
              <w:jc w:val="center"/>
              <w:ind w:right="140"/>
              <w:spacing w:after="0"/>
              <w:rPr>
                <w:sz w:val="20"/>
                <w:szCs w:val="20"/>
                <w:color w:val="auto"/>
              </w:rPr>
            </w:pPr>
            <w:r>
              <w:rPr>
                <w:rFonts w:ascii="Arial" w:cs="Arial" w:eastAsia="Arial" w:hAnsi="Arial"/>
                <w:sz w:val="18"/>
                <w:szCs w:val="18"/>
                <w:color w:val="auto"/>
                <w:w w:val="90"/>
              </w:rPr>
              <w:t>Accumulated</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7"/>
          </w:tcPr>
          <w:p>
            <w:pPr>
              <w:jc w:val="center"/>
              <w:ind w:right="120"/>
              <w:spacing w:after="0"/>
              <w:rPr>
                <w:sz w:val="20"/>
                <w:szCs w:val="20"/>
                <w:color w:val="auto"/>
              </w:rPr>
            </w:pPr>
            <w:r>
              <w:rPr>
                <w:rFonts w:ascii="Arial" w:cs="Arial" w:eastAsia="Arial" w:hAnsi="Arial"/>
                <w:sz w:val="18"/>
                <w:szCs w:val="18"/>
                <w:color w:val="auto"/>
                <w:w w:val="87"/>
              </w:rPr>
              <w:t>Recognized in</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Accumulated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center"/>
              <w:ind w:left="93"/>
              <w:spacing w:after="0"/>
              <w:rPr>
                <w:sz w:val="20"/>
                <w:szCs w:val="20"/>
                <w:color w:val="auto"/>
              </w:rPr>
            </w:pPr>
            <w:r>
              <w:rPr>
                <w:rFonts w:ascii="Arial" w:cs="Arial" w:eastAsia="Arial" w:hAnsi="Arial"/>
                <w:sz w:val="18"/>
                <w:szCs w:val="18"/>
                <w:color w:val="auto"/>
                <w:w w:val="88"/>
              </w:rPr>
              <w:t>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center"/>
              <w:ind w:left="213"/>
              <w:spacing w:after="0"/>
              <w:rPr>
                <w:sz w:val="20"/>
                <w:szCs w:val="20"/>
                <w:color w:val="auto"/>
              </w:rPr>
            </w:pPr>
            <w:r>
              <w:rPr>
                <w:rFonts w:ascii="Arial" w:cs="Arial" w:eastAsia="Arial" w:hAnsi="Arial"/>
                <w:sz w:val="18"/>
                <w:szCs w:val="18"/>
                <w:color w:val="auto"/>
                <w:w w:val="88"/>
              </w:rPr>
              <w:t>Other</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260" w:type="dxa"/>
            <w:vAlign w:val="bottom"/>
            <w:gridSpan w:val="9"/>
          </w:tcPr>
          <w:p>
            <w:pPr>
              <w:jc w:val="center"/>
              <w:ind w:right="80"/>
              <w:spacing w:after="0"/>
              <w:rPr>
                <w:sz w:val="20"/>
                <w:szCs w:val="20"/>
                <w:color w:val="auto"/>
              </w:rPr>
            </w:pPr>
            <w:r>
              <w:rPr>
                <w:rFonts w:ascii="Arial" w:cs="Arial" w:eastAsia="Arial" w:hAnsi="Arial"/>
                <w:sz w:val="18"/>
                <w:szCs w:val="18"/>
                <w:color w:val="auto"/>
                <w:w w:val="87"/>
              </w:rPr>
              <w:t>Comprehensive</w:t>
            </w: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1260" w:type="dxa"/>
            <w:vAlign w:val="bottom"/>
            <w:gridSpan w:val="8"/>
          </w:tcPr>
          <w:p>
            <w:pPr>
              <w:jc w:val="center"/>
              <w:ind w:right="60"/>
              <w:spacing w:after="0"/>
              <w:rPr>
                <w:sz w:val="20"/>
                <w:szCs w:val="20"/>
                <w:color w:val="auto"/>
              </w:rPr>
            </w:pPr>
            <w:r>
              <w:rPr>
                <w:rFonts w:ascii="Arial" w:cs="Arial" w:eastAsia="Arial" w:hAnsi="Arial"/>
                <w:sz w:val="18"/>
                <w:szCs w:val="18"/>
                <w:color w:val="auto"/>
                <w:w w:val="88"/>
              </w:rPr>
              <w:t>Comprehensive</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5"/>
          </w:tcPr>
          <w:p>
            <w:pPr>
              <w:jc w:val="center"/>
              <w:ind w:left="73"/>
              <w:spacing w:after="0"/>
              <w:rPr>
                <w:sz w:val="20"/>
                <w:szCs w:val="20"/>
                <w:color w:val="auto"/>
              </w:rPr>
            </w:pPr>
            <w:r>
              <w:rPr>
                <w:rFonts w:ascii="Arial" w:cs="Arial" w:eastAsia="Arial" w:hAnsi="Arial"/>
                <w:sz w:val="18"/>
                <w:szCs w:val="18"/>
                <w:color w:val="auto"/>
                <w:w w:val="91"/>
              </w:rPr>
              <w:t>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7"/>
          </w:tcPr>
          <w:p>
            <w:pPr>
              <w:jc w:val="center"/>
              <w:ind w:right="120"/>
              <w:spacing w:after="0"/>
              <w:rPr>
                <w:sz w:val="20"/>
                <w:szCs w:val="20"/>
                <w:color w:val="auto"/>
              </w:rPr>
            </w:pPr>
            <w:r>
              <w:rPr>
                <w:rFonts w:ascii="Arial" w:cs="Arial" w:eastAsia="Arial" w:hAnsi="Arial"/>
                <w:sz w:val="18"/>
                <w:szCs w:val="18"/>
                <w:color w:val="auto"/>
                <w:w w:val="91"/>
              </w:rPr>
              <w:t>Income (Loss)</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7"/>
          </w:tcPr>
          <w:p>
            <w:pPr>
              <w:jc w:val="center"/>
              <w:ind w:right="240"/>
              <w:spacing w:after="0"/>
              <w:rPr>
                <w:sz w:val="20"/>
                <w:szCs w:val="20"/>
                <w:color w:val="auto"/>
              </w:rPr>
            </w:pPr>
            <w:r>
              <w:rPr>
                <w:rFonts w:ascii="Arial" w:cs="Arial" w:eastAsia="Arial" w:hAnsi="Arial"/>
                <w:sz w:val="18"/>
                <w:szCs w:val="18"/>
                <w:color w:val="auto"/>
                <w:w w:val="92"/>
              </w:rPr>
              <w:t>into Income</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Location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7"/>
          </w:tcPr>
          <w:p>
            <w:pPr>
              <w:jc w:val="center"/>
              <w:ind w:right="83"/>
              <w:spacing w:after="0"/>
              <w:rPr>
                <w:sz w:val="20"/>
                <w:szCs w:val="20"/>
                <w:color w:val="auto"/>
              </w:rPr>
            </w:pPr>
            <w:r>
              <w:rPr>
                <w:rFonts w:ascii="Arial" w:cs="Arial" w:eastAsia="Arial" w:hAnsi="Arial"/>
                <w:sz w:val="18"/>
                <w:szCs w:val="18"/>
                <w:color w:val="auto"/>
                <w:w w:val="90"/>
              </w:rPr>
              <w:t>Gain (Loss)</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8"/>
                <w:szCs w:val="18"/>
                <w:color w:val="auto"/>
                <w:w w:val="93"/>
              </w:rPr>
              <w:t>(Effective</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into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7"/>
          </w:tcPr>
          <w:p>
            <w:pPr>
              <w:jc w:val="center"/>
              <w:ind w:right="240"/>
              <w:spacing w:after="0"/>
              <w:rPr>
                <w:sz w:val="20"/>
                <w:szCs w:val="20"/>
                <w:color w:val="auto"/>
              </w:rPr>
            </w:pPr>
            <w:r>
              <w:rPr>
                <w:rFonts w:ascii="Arial" w:cs="Arial" w:eastAsia="Arial" w:hAnsi="Arial"/>
                <w:sz w:val="18"/>
                <w:szCs w:val="18"/>
                <w:color w:val="auto"/>
                <w:w w:val="93"/>
              </w:rPr>
              <w:t>(Effective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Gain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7"/>
          </w:tcPr>
          <w:p>
            <w:pPr>
              <w:jc w:val="center"/>
              <w:ind w:right="83"/>
              <w:spacing w:after="0"/>
              <w:rPr>
                <w:sz w:val="20"/>
                <w:szCs w:val="20"/>
                <w:color w:val="auto"/>
              </w:rPr>
            </w:pPr>
            <w:r>
              <w:rPr>
                <w:rFonts w:ascii="Arial" w:cs="Arial" w:eastAsia="Arial" w:hAnsi="Arial"/>
                <w:sz w:val="18"/>
                <w:szCs w:val="18"/>
                <w:color w:val="auto"/>
                <w:w w:val="88"/>
              </w:rPr>
              <w:t>Recognized</w:t>
            </w:r>
          </w:p>
        </w:tc>
        <w:tc>
          <w:tcPr>
            <w:tcW w:w="0" w:type="dxa"/>
            <w:vAlign w:val="bottom"/>
          </w:tcPr>
          <w:p>
            <w:pPr>
              <w:spacing w:after="0"/>
              <w:rPr>
                <w:sz w:val="1"/>
                <w:szCs w:val="1"/>
                <w:color w:val="auto"/>
              </w:rPr>
            </w:pPr>
          </w:p>
        </w:tc>
      </w:tr>
      <w:tr>
        <w:trPr>
          <w:trHeight w:val="231"/>
        </w:trPr>
        <w:tc>
          <w:tcPr>
            <w:tcW w:w="4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7"/>
          </w:tcPr>
          <w:p>
            <w:pPr>
              <w:jc w:val="center"/>
              <w:ind w:right="100"/>
              <w:spacing w:after="0"/>
              <w:rPr>
                <w:sz w:val="20"/>
                <w:szCs w:val="20"/>
                <w:color w:val="auto"/>
              </w:rPr>
            </w:pPr>
            <w:r>
              <w:rPr>
                <w:rFonts w:ascii="Arial" w:cs="Arial" w:eastAsia="Arial" w:hAnsi="Arial"/>
                <w:sz w:val="18"/>
                <w:szCs w:val="18"/>
                <w:color w:val="auto"/>
                <w:w w:val="91"/>
              </w:rPr>
              <w:t>Portion)</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(Effective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7"/>
          </w:tcPr>
          <w:p>
            <w:pPr>
              <w:jc w:val="center"/>
              <w:ind w:right="240"/>
              <w:spacing w:after="0"/>
              <w:rPr>
                <w:sz w:val="20"/>
                <w:szCs w:val="20"/>
                <w:color w:val="auto"/>
              </w:rPr>
            </w:pPr>
            <w:r>
              <w:rPr>
                <w:rFonts w:ascii="Arial" w:cs="Arial" w:eastAsia="Arial" w:hAnsi="Arial"/>
                <w:sz w:val="18"/>
                <w:szCs w:val="18"/>
                <w:color w:val="auto"/>
                <w:w w:val="91"/>
              </w:rPr>
              <w:t>Portion)</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Recognized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7"/>
          </w:tcPr>
          <w:p>
            <w:pPr>
              <w:jc w:val="center"/>
              <w:ind w:right="63"/>
              <w:spacing w:after="0"/>
              <w:rPr>
                <w:sz w:val="20"/>
                <w:szCs w:val="20"/>
                <w:color w:val="auto"/>
              </w:rPr>
            </w:pPr>
            <w:r>
              <w:rPr>
                <w:rFonts w:ascii="Arial" w:cs="Arial" w:eastAsia="Arial" w:hAnsi="Arial"/>
                <w:sz w:val="18"/>
                <w:szCs w:val="18"/>
                <w:color w:val="auto"/>
                <w:w w:val="89"/>
              </w:rPr>
              <w:t>in Income</w:t>
            </w: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2021</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Portion)</w:t>
            </w:r>
          </w:p>
        </w:tc>
        <w:tc>
          <w:tcPr>
            <w:tcW w:w="56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2021</w:t>
            </w: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Income</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4"/>
              </w:rPr>
              <w:t>2021</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2020</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vMerge w:val="restart"/>
          </w:tcPr>
          <w:p>
            <w:pPr>
              <w:spacing w:after="0"/>
              <w:rPr>
                <w:sz w:val="20"/>
                <w:szCs w:val="20"/>
                <w:color w:val="auto"/>
              </w:rPr>
            </w:pPr>
            <w:r>
              <w:rPr>
                <w:rFonts w:ascii="Arial" w:cs="Arial" w:eastAsia="Arial" w:hAnsi="Arial"/>
                <w:sz w:val="18"/>
                <w:szCs w:val="18"/>
                <w:color w:val="auto"/>
              </w:rPr>
              <w:t>Fair Value Hedges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80" w:type="dxa"/>
            <w:vAlign w:val="bottom"/>
            <w:gridSpan w:val="5"/>
          </w:tcPr>
          <w:p>
            <w:pPr>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Pay-fixed interest rate swap agreement - Commercial loan</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and fees on loans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0"/>
        </w:trPr>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line="200" w:lineRule="exact"/>
              <w:rPr>
                <w:sz w:val="20"/>
                <w:szCs w:val="20"/>
                <w:color w:val="auto"/>
              </w:rPr>
            </w:pPr>
            <w:r>
              <w:rPr>
                <w:rFonts w:ascii="Arial" w:cs="Arial" w:eastAsia="Arial" w:hAnsi="Arial"/>
                <w:sz w:val="18"/>
                <w:szCs w:val="18"/>
                <w:color w:val="auto"/>
              </w:rPr>
              <w:t>Interest on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tcPr>
          <w:p>
            <w:pPr>
              <w:ind w:left="160"/>
              <w:spacing w:after="0"/>
              <w:rPr>
                <w:sz w:val="20"/>
                <w:szCs w:val="20"/>
                <w:color w:val="auto"/>
              </w:rPr>
            </w:pPr>
            <w:r>
              <w:rPr>
                <w:rFonts w:ascii="Arial" w:cs="Arial" w:eastAsia="Arial" w:hAnsi="Arial"/>
                <w:sz w:val="18"/>
                <w:szCs w:val="18"/>
                <w:color w:val="auto"/>
              </w:rPr>
              <w:t>Pay-fixed interest rate swap agreement - Securities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w w:val="99"/>
              </w:rPr>
              <w:t>available for sale - tax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320"/>
              <w:spacing w:after="0"/>
              <w:rPr>
                <w:sz w:val="20"/>
                <w:szCs w:val="20"/>
                <w:color w:val="auto"/>
              </w:rPr>
            </w:pPr>
            <w:r>
              <w:rPr>
                <w:rFonts w:ascii="Arial" w:cs="Arial" w:eastAsia="Arial" w:hAnsi="Arial"/>
                <w:sz w:val="18"/>
                <w:szCs w:val="18"/>
                <w:color w:val="auto"/>
              </w:rPr>
              <w:t>available for sale</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exempt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Arial" w:cs="Arial" w:eastAsia="Arial" w:hAnsi="Arial"/>
                <w:sz w:val="18"/>
                <w:szCs w:val="18"/>
                <w:color w:val="auto"/>
              </w:rPr>
              <w:t>Cash Flow Hedges</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500" w:type="dxa"/>
            <w:vAlign w:val="bottom"/>
            <w:gridSpan w:val="2"/>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2"/>
              </w:rPr>
              <w:t>126 Interest expense $</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28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(413)</w:t>
            </w:r>
          </w:p>
        </w:tc>
        <w:tc>
          <w:tcPr>
            <w:tcW w:w="2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8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86"/>
              </w:rPr>
              <w:t>(480)Interest expense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(233)</w:t>
            </w:r>
          </w:p>
        </w:tc>
        <w:tc>
          <w:tcPr>
            <w:tcW w:w="2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w w:val="85"/>
              </w:rPr>
              <w:t>(354)</w:t>
            </w: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w w:val="7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(646)</w:t>
            </w:r>
          </w:p>
        </w:tc>
        <w:tc>
          <w:tcPr>
            <w:tcW w:w="2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280" w:type="dxa"/>
            <w:vAlign w:val="bottom"/>
          </w:tcPr>
          <w:p>
            <w:pPr>
              <w:spacing w:after="0" w:line="205" w:lineRule="exact"/>
              <w:rPr>
                <w:sz w:val="20"/>
                <w:szCs w:val="20"/>
                <w:color w:val="auto"/>
              </w:rPr>
            </w:pPr>
            <w:r>
              <w:rPr>
                <w:rFonts w:ascii="Arial" w:cs="Arial" w:eastAsia="Arial" w:hAnsi="Arial"/>
                <w:sz w:val="18"/>
                <w:szCs w:val="18"/>
                <w:color w:val="auto"/>
              </w:rPr>
              <w:t>No hedge designation</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Rate-lock mortgage loan commitments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Net gains on mortgage loans $</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(3,485)</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6,944</w:t>
            </w:r>
          </w:p>
        </w:tc>
        <w:tc>
          <w:tcPr>
            <w:tcW w:w="0" w:type="dxa"/>
            <w:vAlign w:val="bottom"/>
          </w:tcPr>
          <w:p>
            <w:pPr>
              <w:spacing w:after="0"/>
              <w:rPr>
                <w:sz w:val="1"/>
                <w:szCs w:val="1"/>
                <w:color w:val="auto"/>
              </w:rPr>
            </w:pPr>
          </w:p>
        </w:tc>
      </w:tr>
      <w:tr>
        <w:trPr>
          <w:trHeight w:val="212"/>
        </w:trPr>
        <w:tc>
          <w:tcPr>
            <w:tcW w:w="4280" w:type="dxa"/>
            <w:vAlign w:val="bottom"/>
          </w:tcPr>
          <w:p>
            <w:pPr>
              <w:ind w:left="160"/>
              <w:spacing w:after="0"/>
              <w:rPr>
                <w:sz w:val="20"/>
                <w:szCs w:val="20"/>
                <w:color w:val="auto"/>
              </w:rPr>
            </w:pPr>
            <w:r>
              <w:rPr>
                <w:rFonts w:ascii="Arial" w:cs="Arial" w:eastAsia="Arial" w:hAnsi="Arial"/>
                <w:sz w:val="18"/>
                <w:szCs w:val="18"/>
                <w:color w:val="auto"/>
              </w:rPr>
              <w:t>Mandatory commitments to sell mortgage loans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w w:val="87"/>
              </w:rPr>
              <w:t>Net gains on mortgage loans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swaption agreement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w w:val="87"/>
              </w:rPr>
              <w:t>Net gains on mortgage loans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80" w:type="dxa"/>
            <w:vAlign w:val="bottom"/>
          </w:tcPr>
          <w:p>
            <w:pPr>
              <w:ind w:left="160"/>
              <w:spacing w:after="0"/>
              <w:rPr>
                <w:sz w:val="20"/>
                <w:szCs w:val="20"/>
                <w:color w:val="auto"/>
              </w:rPr>
            </w:pPr>
            <w:r>
              <w:rPr>
                <w:rFonts w:ascii="Arial" w:cs="Arial" w:eastAsia="Arial" w:hAnsi="Arial"/>
                <w:sz w:val="18"/>
                <w:szCs w:val="18"/>
                <w:color w:val="auto"/>
                <w:w w:val="95"/>
              </w:rPr>
              <w:t>Pay-fixed interest rate swap agreements - commercial</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(7,170)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Pay-variable interest rate swap agreements - commercial</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7,170</w:t>
            </w:r>
          </w:p>
        </w:tc>
        <w:tc>
          <w:tcPr>
            <w:tcW w:w="0" w:type="dxa"/>
            <w:vAlign w:val="bottom"/>
          </w:tcPr>
          <w:p>
            <w:pPr>
              <w:spacing w:after="0"/>
              <w:rPr>
                <w:sz w:val="1"/>
                <w:szCs w:val="1"/>
                <w:color w:val="auto"/>
              </w:rPr>
            </w:pPr>
          </w:p>
        </w:tc>
      </w:tr>
      <w:tr>
        <w:trPr>
          <w:trHeight w:val="212"/>
        </w:trPr>
        <w:tc>
          <w:tcPr>
            <w:tcW w:w="4280" w:type="dxa"/>
            <w:vAlign w:val="bottom"/>
          </w:tcPr>
          <w:p>
            <w:pPr>
              <w:ind w:left="160"/>
              <w:spacing w:after="0"/>
              <w:rPr>
                <w:sz w:val="20"/>
                <w:szCs w:val="20"/>
                <w:color w:val="auto"/>
              </w:rPr>
            </w:pPr>
            <w:r>
              <w:rPr>
                <w:rFonts w:ascii="Arial" w:cs="Arial" w:eastAsia="Arial" w:hAnsi="Arial"/>
                <w:sz w:val="18"/>
                <w:szCs w:val="18"/>
                <w:color w:val="auto"/>
              </w:rPr>
              <w:t>Pay-fixed interest rate swap agreements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 agreements</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2"/>
        </w:trPr>
        <w:tc>
          <w:tcPr>
            <w:tcW w:w="4280" w:type="dxa"/>
            <w:vAlign w:val="bottom"/>
          </w:tcPr>
          <w:p>
            <w:pPr>
              <w:ind w:left="160"/>
              <w:spacing w:after="0"/>
              <w:rPr>
                <w:sz w:val="20"/>
                <w:szCs w:val="20"/>
                <w:color w:val="auto"/>
              </w:rPr>
            </w:pPr>
            <w:r>
              <w:rPr>
                <w:rFonts w:ascii="Arial" w:cs="Arial" w:eastAsia="Arial" w:hAnsi="Arial"/>
                <w:sz w:val="18"/>
                <w:szCs w:val="18"/>
                <w:color w:val="auto"/>
              </w:rPr>
              <w:t>Purchased options</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Written options</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2"/>
        </w:trPr>
        <w:tc>
          <w:tcPr>
            <w:tcW w:w="4280" w:type="dxa"/>
            <w:vAlign w:val="bottom"/>
          </w:tcPr>
          <w:p>
            <w:pPr>
              <w:ind w:left="3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(1,820)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6,573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vMerge w:val="restart"/>
          </w:tcPr>
          <w:p>
            <w:pPr>
              <w:jc w:val="right"/>
              <w:ind w:right="913"/>
              <w:spacing w:after="0"/>
              <w:rPr>
                <w:sz w:val="20"/>
                <w:szCs w:val="20"/>
                <w:color w:val="auto"/>
              </w:rPr>
            </w:pPr>
            <w:r>
              <w:rPr>
                <w:rFonts w:ascii="Arial" w:cs="Arial" w:eastAsia="Arial" w:hAnsi="Arial"/>
                <w:sz w:val="14"/>
                <w:szCs w:val="14"/>
                <w:color w:val="auto"/>
                <w:w w:val="89"/>
              </w:rPr>
              <w:t>42</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auto"/>
              </w:rPr>
              <w:t>7.  Goodwill and Other Intangibles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3"/>
        </w:trPr>
        <w:tc>
          <w:tcPr>
            <w:tcW w:w="5980" w:type="dxa"/>
            <w:vAlign w:val="bottom"/>
            <w:gridSpan w:val="3"/>
          </w:tcPr>
          <w:p>
            <w:pPr>
              <w:spacing w:after="0"/>
              <w:rPr>
                <w:sz w:val="20"/>
                <w:szCs w:val="20"/>
                <w:color w:val="auto"/>
              </w:rPr>
            </w:pPr>
            <w:r>
              <w:rPr>
                <w:rFonts w:ascii="Arial" w:cs="Arial" w:eastAsia="Arial" w:hAnsi="Arial"/>
                <w:sz w:val="18"/>
                <w:szCs w:val="18"/>
                <w:color w:val="auto"/>
              </w:rPr>
              <w:t>The following table summarizes intangible assets, net of amortization: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December 31, 2020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0"/>
        </w:trPr>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80"/>
              <w:spacing w:after="0" w:line="200" w:lineRule="exact"/>
              <w:rPr>
                <w:sz w:val="20"/>
                <w:szCs w:val="20"/>
                <w:color w:val="auto"/>
              </w:rPr>
            </w:pPr>
            <w:r>
              <w:rPr>
                <w:rFonts w:ascii="Arial" w:cs="Arial" w:eastAsia="Arial" w:hAnsi="Arial"/>
                <w:sz w:val="18"/>
                <w:szCs w:val="18"/>
                <w:color w:val="auto"/>
                <w:w w:val="83"/>
              </w:rPr>
              <w:t>Gross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80"/>
              <w:spacing w:after="0" w:line="200" w:lineRule="exact"/>
              <w:rPr>
                <w:sz w:val="20"/>
                <w:szCs w:val="20"/>
                <w:color w:val="auto"/>
              </w:rPr>
            </w:pPr>
            <w:r>
              <w:rPr>
                <w:rFonts w:ascii="Arial" w:cs="Arial" w:eastAsia="Arial" w:hAnsi="Arial"/>
                <w:sz w:val="18"/>
                <w:szCs w:val="18"/>
                <w:color w:val="auto"/>
                <w:w w:val="87"/>
              </w:rPr>
              <w:t>Gross</w:t>
            </w:r>
          </w:p>
        </w:tc>
        <w:tc>
          <w:tcPr>
            <w:tcW w:w="6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Carrying</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r>
      <w:tr>
        <w:trPr>
          <w:trHeight w:val="231"/>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r>
      <w:tr>
        <w:trPr>
          <w:trHeight w:val="223"/>
        </w:trPr>
        <w:tc>
          <w:tcPr>
            <w:tcW w:w="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ind w:left="600"/>
              <w:spacing w:after="0"/>
              <w:rPr>
                <w:sz w:val="20"/>
                <w:szCs w:val="20"/>
                <w:color w:val="auto"/>
              </w:rPr>
            </w:pPr>
            <w:r>
              <w:rPr>
                <w:rFonts w:ascii="Arial" w:cs="Arial" w:eastAsia="Arial" w:hAnsi="Arial"/>
                <w:sz w:val="18"/>
                <w:szCs w:val="18"/>
                <w:color w:val="auto"/>
              </w:rPr>
              <w:t>(In thousands)</w:t>
            </w: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5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11,916</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7,610</w:t>
            </w:r>
          </w:p>
        </w:tc>
        <w:tc>
          <w:tcPr>
            <w:tcW w:w="100" w:type="dxa"/>
            <w:vAlign w:val="bottom"/>
            <w:shd w:val="clear" w:color="auto" w:fill="CCEEFF"/>
          </w:tcPr>
          <w:p>
            <w:pPr>
              <w:spacing w:after="0"/>
              <w:rPr>
                <w:sz w:val="20"/>
                <w:szCs w:val="20"/>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5"/>
        </w:trPr>
        <w:tc>
          <w:tcPr>
            <w:tcW w:w="5980" w:type="dxa"/>
            <w:vAlign w:val="bottom"/>
            <w:gridSpan w:val="3"/>
          </w:tcPr>
          <w:p>
            <w:pPr>
              <w:spacing w:after="0" w:line="205" w:lineRule="exact"/>
              <w:rPr>
                <w:sz w:val="20"/>
                <w:szCs w:val="20"/>
                <w:color w:val="auto"/>
              </w:rPr>
            </w:pPr>
            <w:r>
              <w:rPr>
                <w:rFonts w:ascii="Arial" w:cs="Arial" w:eastAsia="Arial" w:hAnsi="Arial"/>
                <w:sz w:val="18"/>
                <w:szCs w:val="18"/>
                <w:color w:val="auto"/>
              </w:rPr>
              <w:t>Unamortized intangible assets - goodwill</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28,300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28,300</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7220" w:type="dxa"/>
            <w:vAlign w:val="bottom"/>
            <w:gridSpan w:val="6"/>
          </w:tcPr>
          <w:p>
            <w:pPr>
              <w:spacing w:after="0"/>
              <w:rPr>
                <w:sz w:val="20"/>
                <w:szCs w:val="20"/>
                <w:color w:val="auto"/>
              </w:rPr>
            </w:pPr>
            <w:r>
              <w:rPr>
                <w:rFonts w:ascii="Arial" w:cs="Arial" w:eastAsia="Arial" w:hAnsi="Arial"/>
                <w:sz w:val="18"/>
                <w:szCs w:val="18"/>
                <w:color w:val="auto"/>
                <w:w w:val="96"/>
              </w:rPr>
              <w:t>A summary of estimated core deposits intangible amortization at September 30, 2021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6"/>
              </w:rPr>
              <w:t>(In thousands)</w:t>
            </w:r>
          </w:p>
        </w:tc>
      </w:tr>
      <w:tr>
        <w:trPr>
          <w:trHeight w:val="213"/>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9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Three months ending December 31,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2"/>
        </w:trPr>
        <w:tc>
          <w:tcPr>
            <w:tcW w:w="2560" w:type="dxa"/>
            <w:vAlign w:val="bottom"/>
            <w:gridSpan w:val="2"/>
          </w:tcPr>
          <w:p>
            <w:pPr>
              <w:spacing w:after="0"/>
              <w:rPr>
                <w:sz w:val="20"/>
                <w:szCs w:val="20"/>
                <w:color w:val="auto"/>
              </w:rPr>
            </w:pPr>
            <w:r>
              <w:rPr>
                <w:rFonts w:ascii="Arial" w:cs="Arial" w:eastAsia="Arial" w:hAnsi="Arial"/>
                <w:sz w:val="18"/>
                <w:szCs w:val="18"/>
                <w:color w:val="auto"/>
              </w:rPr>
              <w:t>2022</w:t>
            </w: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2"/>
        </w:trPr>
        <w:tc>
          <w:tcPr>
            <w:tcW w:w="2560" w:type="dxa"/>
            <w:vAlign w:val="bottom"/>
            <w:gridSpan w:val="2"/>
          </w:tcPr>
          <w:p>
            <w:pPr>
              <w:spacing w:after="0"/>
              <w:rPr>
                <w:sz w:val="20"/>
                <w:szCs w:val="20"/>
                <w:color w:val="auto"/>
              </w:rPr>
            </w:pPr>
            <w:r>
              <w:rPr>
                <w:rFonts w:ascii="Arial" w:cs="Arial" w:eastAsia="Arial" w:hAnsi="Arial"/>
                <w:sz w:val="18"/>
                <w:szCs w:val="18"/>
                <w:color w:val="auto"/>
              </w:rPr>
              <w:t>2024</w:t>
            </w: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r>
      <w:tr>
        <w:trPr>
          <w:trHeight w:val="212"/>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3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8"/>
        </w:trPr>
        <w:tc>
          <w:tcPr>
            <w:tcW w:w="5980" w:type="dxa"/>
            <w:vAlign w:val="bottom"/>
            <w:gridSpan w:val="3"/>
          </w:tcPr>
          <w:p>
            <w:pPr>
              <w:spacing w:after="0"/>
              <w:rPr>
                <w:sz w:val="20"/>
                <w:szCs w:val="20"/>
                <w:color w:val="auto"/>
              </w:rPr>
            </w:pPr>
            <w:r>
              <w:rPr>
                <w:rFonts w:ascii="Arial" w:cs="Arial" w:eastAsia="Arial" w:hAnsi="Arial"/>
                <w:sz w:val="18"/>
                <w:szCs w:val="18"/>
                <w:color w:val="auto"/>
              </w:rPr>
              <w:t>2026 and thereafter</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1,001</w:t>
            </w:r>
          </w:p>
        </w:tc>
        <w:tc>
          <w:tcPr>
            <w:tcW w:w="100" w:type="dxa"/>
            <w:vAlign w:val="bottom"/>
          </w:tcPr>
          <w:p>
            <w:pPr>
              <w:spacing w:after="0"/>
              <w:rPr>
                <w:sz w:val="19"/>
                <w:szCs w:val="19"/>
                <w:color w:val="auto"/>
              </w:rPr>
            </w:pPr>
          </w:p>
        </w:tc>
      </w:tr>
      <w:tr>
        <w:trPr>
          <w:trHeight w:val="252"/>
        </w:trPr>
        <w:tc>
          <w:tcPr>
            <w:tcW w:w="5980" w:type="dxa"/>
            <w:vAlign w:val="bottom"/>
            <w:tcBorders>
              <w:bottom w:val="single" w:sz="8" w:color="CCEEFF"/>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3,579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u w:val="single" w:color="auto"/>
          <w:color w:val="auto"/>
        </w:rPr>
        <w:t>Share Based Compensation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0.7 million shares of common stock as of September 30, 2021. The non-employee director stock purchase plan permits the issuance of additional share based payments for up to 0.1 million shares of common stock as of September 30, 2021. Share based awards and payments are measured at fair value at the date of grant and are expensed over the requisite service period. Common shares issued upon exercise of stock options come from currently authorized but unissued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stock units (“PSU”) granted pursuant to our long-term incentive plan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2740" w:type="dxa"/>
            <w:vAlign w:val="bottom"/>
            <w:gridSpan w:val="6"/>
          </w:tcPr>
          <w:p>
            <w:pPr>
              <w:jc w:val="center"/>
              <w:ind w:right="200"/>
              <w:spacing w:after="0"/>
              <w:rPr>
                <w:sz w:val="20"/>
                <w:szCs w:val="20"/>
                <w:color w:val="auto"/>
              </w:rPr>
            </w:pPr>
            <w:r>
              <w:rPr>
                <w:rFonts w:ascii="Arial" w:cs="Arial" w:eastAsia="Arial" w:hAnsi="Arial"/>
                <w:sz w:val="18"/>
                <w:szCs w:val="18"/>
                <w:color w:val="auto"/>
                <w:w w:val="89"/>
              </w:rPr>
              <w:t>Three Months Ended</w:t>
            </w: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Nine Months Ended</w:t>
            </w:r>
          </w:p>
        </w:tc>
      </w:tr>
      <w:tr>
        <w:trPr>
          <w:trHeight w:val="231"/>
        </w:trPr>
        <w:tc>
          <w:tcPr>
            <w:tcW w:w="5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September 30,</w:t>
            </w:r>
          </w:p>
        </w:tc>
      </w:tr>
      <w:tr>
        <w:trPr>
          <w:trHeight w:val="218"/>
        </w:trPr>
        <w:tc>
          <w:tcPr>
            <w:tcW w:w="59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2"/>
        </w:trPr>
        <w:tc>
          <w:tcPr>
            <w:tcW w:w="672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55,996</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5"/>
        </w:trPr>
        <w:tc>
          <w:tcPr>
            <w:tcW w:w="5960" w:type="dxa"/>
            <w:vAlign w:val="bottom"/>
          </w:tcPr>
          <w:p>
            <w:pPr>
              <w:spacing w:after="0" w:line="205" w:lineRule="exact"/>
              <w:rPr>
                <w:sz w:val="20"/>
                <w:szCs w:val="20"/>
                <w:color w:val="auto"/>
              </w:rPr>
            </w:pPr>
            <w:r>
              <w:rPr>
                <w:rFonts w:ascii="Arial" w:cs="Arial" w:eastAsia="Arial" w:hAnsi="Arial"/>
                <w:sz w:val="18"/>
                <w:szCs w:val="18"/>
                <w:color w:val="auto"/>
              </w:rPr>
              <w:t>PSU</w:t>
            </w:r>
          </w:p>
        </w:tc>
        <w:tc>
          <w:tcPr>
            <w:tcW w:w="760" w:type="dxa"/>
            <w:vAlign w:val="bottom"/>
          </w:tcPr>
          <w:p>
            <w:pPr>
              <w:spacing w:after="0"/>
              <w:rPr>
                <w:sz w:val="17"/>
                <w:szCs w:val="17"/>
                <w:color w:val="auto"/>
              </w:rPr>
            </w:pPr>
          </w:p>
        </w:tc>
        <w:tc>
          <w:tcPr>
            <w:tcW w:w="38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23,981</w:t>
            </w:r>
          </w:p>
        </w:tc>
        <w:tc>
          <w:tcPr>
            <w:tcW w:w="12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20,897</w:t>
            </w:r>
          </w:p>
        </w:tc>
      </w:tr>
      <w:tr>
        <w:trPr>
          <w:trHeight w:val="20"/>
        </w:trPr>
        <w:tc>
          <w:tcPr>
            <w:tcW w:w="5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of restricted stock and PSUs shown in the above table cliff vest after a period of three years. The performance feature of the PSUs is based on a comparison of our total shareholder return over the three year period starting on the grant date to the total shareholder return over that period for an index of our banking peers.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 fair value of our common stock and vest immediately. During the nine month periods ended September 30, 2021 and 2020 we issued 0.014 million and 0.016 million shares, respectively and expensed their value during those same periods.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Total compensation expense recognized for grants pursuant to our long-term incentive plan was $0.4 million and $1.2 million during the three and nine month periods ended September 30, 2021, respectively, and was $0.4 million and $1.2 million during the same periods in 2020, respectively. The corresponding tax benefit relating to this expense was $0.1 million and $0.2 million for the three and nine month periods ended September 30, 2021, respectively and $0.1 million and $0.3 million for the same periods in 2020. Total expense recognized for non-employee director share based payments was $0.09 million and $0.28 million during the three and nine month periods ended September 30, 2021, respectively, and was $0.09 million and $0.26 million during the same periods in 2020, respectively. The corresponding tax benefit relating to this expense was $0.02 million and $0.06 million for the three and nine month periods ended September 30, 2021, respectively and $0.02 million and $0.05 million during the same periods in 2020.</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2021, the total expected compensation cost related to non-vested restricted stock and PSUs not yet recognized was $2.5 million. The weighted-average period over which this amount will be recognized is 2.0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Aggregated</w:t>
            </w:r>
          </w:p>
        </w:tc>
      </w:tr>
      <w:tr>
        <w:trPr>
          <w:trHeight w:val="212"/>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r>
      <w:tr>
        <w:trPr>
          <w:trHeight w:val="231"/>
        </w:trPr>
        <w:tc>
          <w:tcPr>
            <w:tcW w:w="4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Term (Years)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r>
      <w:tr>
        <w:trPr>
          <w:trHeight w:val="212"/>
        </w:trPr>
        <w:tc>
          <w:tcPr>
            <w:tcW w:w="4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(In thousands)</w:t>
            </w:r>
          </w:p>
        </w:tc>
        <w:tc>
          <w:tcPr>
            <w:tcW w:w="100" w:type="dxa"/>
            <w:vAlign w:val="bottom"/>
          </w:tcPr>
          <w:p>
            <w:pPr>
              <w:spacing w:after="0"/>
              <w:rPr>
                <w:sz w:val="18"/>
                <w:szCs w:val="18"/>
                <w:color w:val="auto"/>
              </w:rPr>
            </w:pPr>
          </w:p>
        </w:tc>
      </w:tr>
      <w:tr>
        <w:trPr>
          <w:trHeight w:val="21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121,189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80" w:type="dxa"/>
            <w:vAlign w:val="bottom"/>
          </w:tcPr>
          <w:p>
            <w:pPr>
              <w:ind w:left="140"/>
              <w:spacing w:after="0"/>
              <w:rPr>
                <w:sz w:val="20"/>
                <w:szCs w:val="20"/>
                <w:color w:val="auto"/>
              </w:rPr>
            </w:pPr>
            <w:r>
              <w:rPr>
                <w:rFonts w:ascii="Arial" w:cs="Arial" w:eastAsia="Arial" w:hAnsi="Arial"/>
                <w:sz w:val="18"/>
                <w:szCs w:val="18"/>
                <w:color w:val="auto"/>
              </w:rPr>
              <w:t>Granted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5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r>
      <w:tr>
        <w:trPr>
          <w:trHeight w:val="20"/>
        </w:trPr>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458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32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Vested and expected to vest at September 30, 2021</w:t>
            </w:r>
          </w:p>
        </w:tc>
        <w:tc>
          <w:tcPr>
            <w:tcW w:w="13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1,299</w:t>
            </w:r>
          </w:p>
        </w:tc>
      </w:tr>
      <w:tr>
        <w:trPr>
          <w:trHeight w:val="20"/>
        </w:trPr>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Exercisable at September 30, 2021</w:t>
            </w:r>
          </w:p>
        </w:tc>
        <w:tc>
          <w:tcPr>
            <w:tcW w:w="1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82,539</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5.74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40"/>
        </w:trPr>
        <w:tc>
          <w:tcPr>
            <w:tcW w:w="4580" w:type="dxa"/>
            <w:vAlign w:val="bottom"/>
          </w:tcPr>
          <w:p>
            <w:pPr>
              <w:spacing w:after="0"/>
              <w:rPr>
                <w:sz w:val="24"/>
                <w:szCs w:val="24"/>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color w:val="auto"/>
              </w:rPr>
              <w:t>44</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outstanding non-vested restricted stock and PSUs and related transactions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Weighted-</w:t>
            </w:r>
          </w:p>
        </w:tc>
      </w:tr>
      <w:tr>
        <w:trPr>
          <w:trHeight w:val="212"/>
        </w:trPr>
        <w:tc>
          <w:tcPr>
            <w:tcW w:w="8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r>
      <w:tr>
        <w:trPr>
          <w:trHeight w:val="212"/>
        </w:trPr>
        <w:tc>
          <w:tcPr>
            <w:tcW w:w="86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Number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Grant Date</w:t>
            </w:r>
          </w:p>
        </w:tc>
      </w:tr>
      <w:tr>
        <w:trPr>
          <w:trHeight w:val="231"/>
        </w:trPr>
        <w:tc>
          <w:tcPr>
            <w:tcW w:w="868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of Shares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Fair Value</w:t>
            </w: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18"/>
                <w:szCs w:val="18"/>
                <w:color w:val="auto"/>
              </w:rPr>
            </w:pPr>
          </w:p>
        </w:tc>
      </w:tr>
      <w:tr>
        <w:trPr>
          <w:trHeight w:val="212"/>
        </w:trPr>
        <w:tc>
          <w:tcPr>
            <w:tcW w:w="8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109,565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r>
      <w:tr>
        <w:trPr>
          <w:trHeight w:val="212"/>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(73,081)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w:t>
            </w:r>
          </w:p>
        </w:tc>
      </w:tr>
      <w:tr>
        <w:trPr>
          <w:trHeight w:val="218"/>
        </w:trPr>
        <w:tc>
          <w:tcPr>
            <w:tcW w:w="86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(13,907)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r>
      <w:tr>
        <w:trPr>
          <w:trHeight w:val="252"/>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30,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229,694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Certain information regarding options exercised during the periods follows:</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5980" w:type="dxa"/>
            <w:vAlign w:val="bottom"/>
          </w:tcPr>
          <w:p>
            <w:pPr>
              <w:spacing w:after="0"/>
              <w:rPr>
                <w:sz w:val="24"/>
                <w:szCs w:val="24"/>
                <w:color w:val="auto"/>
              </w:rPr>
            </w:pPr>
          </w:p>
        </w:tc>
        <w:tc>
          <w:tcPr>
            <w:tcW w:w="2220" w:type="dxa"/>
            <w:vAlign w:val="bottom"/>
            <w:gridSpan w:val="4"/>
          </w:tcPr>
          <w:p>
            <w:pPr>
              <w:jc w:val="right"/>
              <w:ind w:right="132"/>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color w:val="auto"/>
              </w:rPr>
              <w:t>Nine Months Ended</w:t>
            </w:r>
          </w:p>
        </w:tc>
      </w:tr>
      <w:tr>
        <w:trPr>
          <w:trHeight w:val="231"/>
        </w:trPr>
        <w:tc>
          <w:tcPr>
            <w:tcW w:w="5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gridSpan w:val="3"/>
          </w:tcPr>
          <w:p>
            <w:pPr>
              <w:jc w:val="right"/>
              <w:ind w:right="372"/>
              <w:spacing w:after="0"/>
              <w:rPr>
                <w:sz w:val="20"/>
                <w:szCs w:val="20"/>
                <w:color w:val="auto"/>
              </w:rPr>
            </w:pPr>
            <w:r>
              <w:rPr>
                <w:rFonts w:ascii="Arial" w:cs="Arial" w:eastAsia="Arial" w:hAnsi="Arial"/>
                <w:sz w:val="18"/>
                <w:szCs w:val="18"/>
                <w:color w:val="auto"/>
                <w:w w:val="84"/>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September 30,</w:t>
            </w:r>
          </w:p>
        </w:tc>
      </w:tr>
      <w:tr>
        <w:trPr>
          <w:trHeight w:val="218"/>
        </w:trPr>
        <w:tc>
          <w:tcPr>
            <w:tcW w:w="5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2"/>
        </w:trPr>
        <w:tc>
          <w:tcPr>
            <w:tcW w:w="5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w w:val="85"/>
              </w:rPr>
              <w:t>(In</w:t>
            </w:r>
          </w:p>
        </w:tc>
        <w:tc>
          <w:tcPr>
            <w:tcW w:w="1080" w:type="dxa"/>
            <w:vAlign w:val="bottom"/>
            <w:gridSpan w:val="2"/>
          </w:tcPr>
          <w:p>
            <w:pPr>
              <w:jc w:val="right"/>
              <w:ind w:right="372"/>
              <w:spacing w:after="0"/>
              <w:rPr>
                <w:sz w:val="20"/>
                <w:szCs w:val="20"/>
                <w:color w:val="auto"/>
              </w:rPr>
            </w:pPr>
            <w:r>
              <w:rPr>
                <w:rFonts w:ascii="Arial" w:cs="Arial" w:eastAsia="Arial" w:hAnsi="Arial"/>
                <w:sz w:val="17"/>
                <w:szCs w:val="17"/>
                <w:color w:val="auto"/>
                <w:w w:val="71"/>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32"/>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740" w:type="dxa"/>
            <w:vAlign w:val="bottom"/>
            <w:shd w:val="clear" w:color="auto" w:fill="CCEEFF"/>
          </w:tcPr>
          <w:p>
            <w:pPr>
              <w:jc w:val="right"/>
              <w:ind w:right="578"/>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r>
      <w:tr>
        <w:trPr>
          <w:trHeight w:val="20"/>
        </w:trPr>
        <w:tc>
          <w:tcPr>
            <w:tcW w:w="5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5"/>
        </w:trPr>
        <w:tc>
          <w:tcPr>
            <w:tcW w:w="5980" w:type="dxa"/>
            <w:vAlign w:val="bottom"/>
          </w:tcPr>
          <w:p>
            <w:pPr>
              <w:spacing w:after="0" w:line="205" w:lineRule="exact"/>
              <w:rPr>
                <w:sz w:val="20"/>
                <w:szCs w:val="20"/>
                <w:color w:val="auto"/>
              </w:rPr>
            </w:pPr>
            <w:r>
              <w:rPr>
                <w:rFonts w:ascii="Arial" w:cs="Arial" w:eastAsia="Arial" w:hAnsi="Arial"/>
                <w:sz w:val="18"/>
                <w:szCs w:val="18"/>
                <w:color w:val="auto"/>
              </w:rPr>
              <w:t>Cash proceeds received</w:t>
            </w:r>
          </w:p>
        </w:tc>
        <w:tc>
          <w:tcPr>
            <w:tcW w:w="740" w:type="dxa"/>
            <w:vAlign w:val="bottom"/>
          </w:tcPr>
          <w:p>
            <w:pPr>
              <w:jc w:val="right"/>
              <w:ind w:right="57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5"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860" w:type="dxa"/>
            <w:vAlign w:val="bottom"/>
          </w:tcPr>
          <w:p>
            <w:pPr>
              <w:jc w:val="right"/>
              <w:ind w:right="672"/>
              <w:spacing w:after="0" w:line="205"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4</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3"/>
              <w:spacing w:after="0" w:line="205" w:lineRule="exact"/>
              <w:rPr>
                <w:sz w:val="20"/>
                <w:szCs w:val="20"/>
                <w:color w:val="auto"/>
              </w:rPr>
            </w:pPr>
            <w:r>
              <w:rPr>
                <w:rFonts w:ascii="Arial" w:cs="Arial" w:eastAsia="Arial" w:hAnsi="Arial"/>
                <w:sz w:val="18"/>
                <w:szCs w:val="18"/>
                <w:color w:val="auto"/>
              </w:rPr>
              <w:t>109</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46</w:t>
            </w:r>
          </w:p>
        </w:tc>
      </w:tr>
      <w:tr>
        <w:trPr>
          <w:trHeight w:val="20"/>
        </w:trPr>
        <w:tc>
          <w:tcPr>
            <w:tcW w:w="59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right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Tax benefit realized</w:t>
            </w:r>
          </w:p>
        </w:tc>
        <w:tc>
          <w:tcPr>
            <w:tcW w:w="74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right w:val="single" w:sz="8" w:color="CCEEFF"/>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2"/>
              <w:spacing w:after="0" w:line="205"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u w:val="single" w:color="auto"/>
          <w:color w:val="auto"/>
        </w:rPr>
        <w:t>Income Tax</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Income tax expense was $3.7 million and $4.8 million during the three month periods ended September 30, 2021 and 2020, respectively and $11.5 million and $9.2 million during the nine months ended September 30, 2021 and 2020,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2021 include (reductions) of ($0.003) million and ($0.168) million, respectively, of income tax expense related to the impact of the excess value of stock awards that vested and stock options that were exercised as compared to the initial fair values that were expensed. These amounts during the same periods in 2020 were increases (reductions) of $0.006 million and ($0.191) million, respectively.</w:t>
      </w:r>
    </w:p>
    <w:p>
      <w:pPr>
        <w:spacing w:after="0" w:line="185"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2021, September 30, 2020 and December 31, 2020 that the realization of substantially all of our deferred tax assets continues to be more likely than not.</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both September 30, 2021 and December 31, 2020, we had approximately $0.2 million, of gross unrecognized tax benefits. We do not expect the total amount of unrecognized tax benefits to significantly increase or decrease during the balance of 2021.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p>
    <w:p>
      <w:pPr>
        <w:spacing w:after="0" w:line="21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2021, the Bank had positive undivided profits of $95.1 million. It is not our intent to have dividends paid in amounts that would reduce the capital of our Bank to levels below those which we consider prudent or that would not be in accordance with guidelines of regulatory authorities.</w:t>
      </w:r>
    </w:p>
    <w:p>
      <w:pPr>
        <w:spacing w:after="0" w:line="151"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2021 and December 31, 2020, categorized our Bank as well capitalized. Management is not aware of any conditions or events that would have changed the most recent Federal Deposit Insurance Corporation (“FDIC”) categorization.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Arial" w:cs="Arial" w:eastAsia="Arial" w:hAnsi="Arial"/>
                <w:sz w:val="18"/>
                <w:szCs w:val="18"/>
                <w:color w:val="auto"/>
                <w:w w:val="99"/>
              </w:rPr>
              <w:t>Our actual capital amounts and ratios follow (1):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Minimum for</w:t>
            </w:r>
          </w:p>
        </w:tc>
        <w:tc>
          <w:tcPr>
            <w:tcW w:w="160" w:type="dxa"/>
            <w:vAlign w:val="bottom"/>
          </w:tcPr>
          <w:p>
            <w:pPr>
              <w:spacing w:after="0"/>
              <w:rPr>
                <w:sz w:val="24"/>
                <w:szCs w:val="24"/>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color w:val="auto"/>
                <w:w w:val="96"/>
              </w:rPr>
              <w:t>Minimum for</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Adequately Capitalized</w:t>
            </w:r>
          </w:p>
        </w:tc>
        <w:tc>
          <w:tcPr>
            <w:tcW w:w="160" w:type="dxa"/>
            <w:vAlign w:val="bottom"/>
          </w:tcPr>
          <w:p>
            <w:pPr>
              <w:spacing w:after="0"/>
              <w:rPr>
                <w:sz w:val="18"/>
                <w:szCs w:val="18"/>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color w:val="auto"/>
                <w:w w:val="92"/>
              </w:rPr>
              <w:t>Well-Capitalized</w:t>
            </w: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Actual</w:t>
            </w:r>
          </w:p>
        </w:tc>
        <w:tc>
          <w:tcPr>
            <w:tcW w:w="7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8"/>
                <w:szCs w:val="18"/>
                <w:color w:val="auto"/>
                <w:w w:val="92"/>
              </w:rPr>
              <w:t>Institutions</w:t>
            </w:r>
          </w:p>
        </w:tc>
        <w:tc>
          <w:tcPr>
            <w:tcW w:w="7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2"/>
              <w:spacing w:after="0"/>
              <w:rPr>
                <w:sz w:val="20"/>
                <w:szCs w:val="20"/>
                <w:color w:val="auto"/>
              </w:rPr>
            </w:pPr>
            <w:r>
              <w:rPr>
                <w:rFonts w:ascii="Arial" w:cs="Arial" w:eastAsia="Arial" w:hAnsi="Arial"/>
                <w:sz w:val="18"/>
                <w:szCs w:val="18"/>
                <w:color w:val="auto"/>
                <w:w w:val="92"/>
              </w:rPr>
              <w:t>Institutions</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0"/>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481,639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257,926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431,416</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257,701</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8.00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322,127</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Tier 1 capital to risk-weighted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391,147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193,276</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6.00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257,701</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w w:val="90"/>
              </w:rPr>
              <w:t>Common equity tier 1 capital to risk-weighted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362,984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145,084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391,147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144,957</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4.50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209,382</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401,335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178,771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391,147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8.75</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178,895</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223,618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455,072</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228,214</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401,005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228,111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285,139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379,395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171,161</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228,111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equity tier 1 capital to risk-weighted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341,095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128,370</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128,312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185,340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379,395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165,825</w:t>
            </w:r>
          </w:p>
        </w:tc>
        <w:tc>
          <w:tcPr>
            <w:tcW w:w="280" w:type="dxa"/>
            <w:vAlign w:val="bottom"/>
          </w:tcPr>
          <w:p>
            <w:pPr>
              <w:spacing w:after="0"/>
              <w:rPr>
                <w:sz w:val="18"/>
                <w:szCs w:val="18"/>
                <w:color w:val="auto"/>
              </w:rPr>
            </w:pPr>
          </w:p>
        </w:tc>
        <w:tc>
          <w:tcPr>
            <w:tcW w:w="980" w:type="dxa"/>
            <w:vAlign w:val="bottom"/>
            <w:gridSpan w:val="2"/>
          </w:tcPr>
          <w:p>
            <w:pPr>
              <w:ind w:left="4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Independent Bank</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365,343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165,828</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207,285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213677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36775" cy="16510"/>
                    </a:xfrm>
                    <a:prstGeom prst="rect">
                      <a:avLst/>
                    </a:prstGeom>
                    <a:noFill/>
                  </pic:spPr>
                </pic:pic>
              </a:graphicData>
            </a:graphic>
          </wp:anchor>
        </w:drawing>
      </w:r>
    </w:p>
    <w:p>
      <w:pPr>
        <w:spacing w:after="0" w:line="392" w:lineRule="exact"/>
        <w:rPr>
          <w:sz w:val="20"/>
          <w:szCs w:val="20"/>
          <w:color w:val="auto"/>
        </w:rPr>
      </w:pPr>
    </w:p>
    <w:p>
      <w:pPr>
        <w:ind w:right="2920" w:firstLine="6"/>
        <w:spacing w:after="0" w:line="264" w:lineRule="auto"/>
        <w:tabs>
          <w:tab w:leader="none" w:pos="3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These ratios do not reflect a capital conservation buffer of 2.50% at September 30, 2021 and December 31, 2020. NA - Not applicable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The components of our regulatory capital are as follows: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5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8"/>
                <w:szCs w:val="18"/>
                <w:color w:val="auto"/>
              </w:rPr>
              <w:t>Independent Bank</w:t>
            </w:r>
          </w:p>
        </w:tc>
      </w:tr>
      <w:tr>
        <w:trPr>
          <w:trHeight w:val="200"/>
        </w:trPr>
        <w:tc>
          <w:tcPr>
            <w:tcW w:w="5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Borders>
              <w:top w:val="single" w:sz="8" w:color="auto"/>
            </w:tcBorders>
            <w:gridSpan w:val="3"/>
          </w:tcPr>
          <w:p>
            <w:pPr>
              <w:jc w:val="right"/>
              <w:ind w:right="220"/>
              <w:spacing w:after="0" w:line="200" w:lineRule="exact"/>
              <w:rPr>
                <w:sz w:val="20"/>
                <w:szCs w:val="20"/>
                <w:color w:val="auto"/>
              </w:rPr>
            </w:pPr>
            <w:r>
              <w:rPr>
                <w:rFonts w:ascii="Arial" w:cs="Arial" w:eastAsia="Arial" w:hAnsi="Arial"/>
                <w:sz w:val="18"/>
                <w:szCs w:val="18"/>
                <w:color w:val="auto"/>
                <w:w w:val="89"/>
              </w:rPr>
              <w:t>September 30,</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w w:val="93"/>
              </w:rPr>
              <w:t>December 31,</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260"/>
              <w:spacing w:after="0" w:line="200" w:lineRule="exact"/>
              <w:rPr>
                <w:sz w:val="20"/>
                <w:szCs w:val="20"/>
                <w:color w:val="auto"/>
              </w:rPr>
            </w:pPr>
            <w:r>
              <w:rPr>
                <w:rFonts w:ascii="Arial" w:cs="Arial" w:eastAsia="Arial" w:hAnsi="Arial"/>
                <w:sz w:val="18"/>
                <w:szCs w:val="18"/>
                <w:color w:val="auto"/>
                <w:w w:val="88"/>
              </w:rPr>
              <w:t>September 30,</w:t>
            </w:r>
          </w:p>
        </w:tc>
        <w:tc>
          <w:tcPr>
            <w:tcW w:w="11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31"/>
        </w:trPr>
        <w:tc>
          <w:tcPr>
            <w:tcW w:w="5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5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400,031</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389,522</w:t>
            </w: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428,194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413,770</w:t>
            </w: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Add (deduct)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Accumulated other comprehensive income for regulatory purposes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(15,821)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(15,821)</w:t>
            </w:r>
          </w:p>
        </w:tc>
      </w:tr>
      <w:tr>
        <w:trPr>
          <w:trHeight w:val="212"/>
        </w:trPr>
        <w:tc>
          <w:tcPr>
            <w:tcW w:w="5500" w:type="dxa"/>
            <w:vAlign w:val="bottom"/>
          </w:tcPr>
          <w:p>
            <w:pPr>
              <w:ind w:left="320"/>
              <w:spacing w:after="0"/>
              <w:rPr>
                <w:sz w:val="20"/>
                <w:szCs w:val="20"/>
                <w:color w:val="auto"/>
              </w:rPr>
            </w:pPr>
            <w:r>
              <w:rPr>
                <w:rFonts w:ascii="Arial" w:cs="Arial" w:eastAsia="Arial" w:hAnsi="Arial"/>
                <w:sz w:val="18"/>
                <w:szCs w:val="18"/>
                <w:color w:val="auto"/>
              </w:rPr>
              <w:t>Goodwill and other intangibles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(32,606)</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(31,879)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(32,606)</w:t>
            </w:r>
          </w:p>
        </w:tc>
      </w:tr>
      <w:tr>
        <w:trPr>
          <w:trHeight w:val="212"/>
        </w:trPr>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CECL (1)</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500" w:type="dxa"/>
            <w:vAlign w:val="bottom"/>
          </w:tcPr>
          <w:p>
            <w:pPr>
              <w:ind w:left="480"/>
              <w:spacing w:after="0"/>
              <w:rPr>
                <w:sz w:val="20"/>
                <w:szCs w:val="20"/>
                <w:color w:val="auto"/>
              </w:rPr>
            </w:pPr>
            <w:r>
              <w:rPr>
                <w:rFonts w:ascii="Arial" w:cs="Arial" w:eastAsia="Arial" w:hAnsi="Arial"/>
                <w:sz w:val="18"/>
                <w:szCs w:val="18"/>
                <w:color w:val="auto"/>
              </w:rPr>
              <w:t>Common equity tier 1 capital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362,984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341,095</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391,147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365,343</w:t>
            </w:r>
          </w:p>
        </w:tc>
      </w:tr>
      <w:tr>
        <w:trPr>
          <w:trHeight w:val="212"/>
        </w:trPr>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Qualifying trust preferred securities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500" w:type="dxa"/>
            <w:vAlign w:val="bottom"/>
          </w:tcPr>
          <w:p>
            <w:pPr>
              <w:ind w:left="460"/>
              <w:spacing w:after="0"/>
              <w:rPr>
                <w:sz w:val="20"/>
                <w:szCs w:val="20"/>
                <w:color w:val="auto"/>
              </w:rPr>
            </w:pPr>
            <w:r>
              <w:rPr>
                <w:rFonts w:ascii="Arial" w:cs="Arial" w:eastAsia="Arial" w:hAnsi="Arial"/>
                <w:sz w:val="18"/>
                <w:szCs w:val="18"/>
                <w:color w:val="auto"/>
              </w:rPr>
              <w:t>Tier 1 capital</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401,335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379,395</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391,147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365,343</w:t>
            </w:r>
          </w:p>
        </w:tc>
      </w:tr>
      <w:tr>
        <w:trPr>
          <w:trHeight w:val="212"/>
        </w:trPr>
        <w:tc>
          <w:tcPr>
            <w:tcW w:w="5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0"/>
        </w:trPr>
        <w:tc>
          <w:tcPr>
            <w:tcW w:w="5500" w:type="dxa"/>
            <w:vAlign w:val="bottom"/>
          </w:tcPr>
          <w:p>
            <w:pPr>
              <w:ind w:left="320"/>
              <w:spacing w:after="0" w:line="200" w:lineRule="exact"/>
              <w:rPr>
                <w:sz w:val="20"/>
                <w:szCs w:val="20"/>
                <w:color w:val="auto"/>
              </w:rPr>
            </w:pPr>
            <w:r>
              <w:rPr>
                <w:rFonts w:ascii="Arial" w:cs="Arial" w:eastAsia="Arial" w:hAnsi="Arial"/>
                <w:sz w:val="18"/>
                <w:szCs w:val="18"/>
                <w:color w:val="auto"/>
              </w:rPr>
              <w:t>Allowance for credit losses and allowance for unfunded lending</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5500" w:type="dxa"/>
            <w:vAlign w:val="bottom"/>
          </w:tcPr>
          <w:p>
            <w:pPr>
              <w:ind w:left="460"/>
              <w:spacing w:after="0"/>
              <w:rPr>
                <w:sz w:val="20"/>
                <w:szCs w:val="20"/>
                <w:color w:val="auto"/>
              </w:rPr>
            </w:pPr>
            <w:r>
              <w:rPr>
                <w:rFonts w:ascii="Arial" w:cs="Arial" w:eastAsia="Arial" w:hAnsi="Arial"/>
                <w:sz w:val="18"/>
                <w:szCs w:val="18"/>
                <w:color w:val="auto"/>
              </w:rPr>
              <w:t>commitments limited to 1.25% of total risk-weighted assets (2)</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40,304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35,677</w:t>
            </w: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40,269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35,662</w:t>
            </w:r>
          </w:p>
        </w:tc>
      </w:tr>
      <w:tr>
        <w:trPr>
          <w:trHeight w:val="252"/>
        </w:trPr>
        <w:tc>
          <w:tcPr>
            <w:tcW w:w="55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risk-based capital</w:t>
            </w: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481,639</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455,072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431,416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elected the three year CECL transition method for regulatory purposes.</w:t>
      </w:r>
    </w:p>
    <w:p>
      <w:pPr>
        <w:spacing w:after="0" w:line="16" w:lineRule="exact"/>
        <w:rPr>
          <w:rFonts w:ascii="Arial" w:cs="Arial" w:eastAsia="Arial" w:hAnsi="Arial"/>
          <w:sz w:val="18"/>
          <w:szCs w:val="18"/>
          <w:color w:val="auto"/>
        </w:rPr>
      </w:pPr>
    </w:p>
    <w:p>
      <w:pPr>
        <w:ind w:left="320" w:hanging="314"/>
        <w:spacing w:after="0" w:line="251"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Beginning January 1, 2021, calculation of allowances are based on CECL methodology. Prior to January 1, 2021, calculation was based on the probable incurred loss methodology.</w:t>
      </w:r>
    </w:p>
    <w:p>
      <w:pPr>
        <w:spacing w:after="0" w:line="192"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Fair Value Disclosures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21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88"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Where quoted market prices are available in an active market, securities available for sale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The fair value of mortgage loans held for sale, carried at fair value is based on agency cash window loan pricing for comparable assets (recurring Level 2).</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u w:val="single" w:color="auto"/>
          <w:color w:val="auto"/>
        </w:rPr>
        <w:t>Collateral dependent loans with specific loss allocations based on collateral value</w:t>
      </w:r>
      <w:r>
        <w:rPr>
          <w:rFonts w:ascii="Arial" w:cs="Arial" w:eastAsia="Arial" w:hAnsi="Arial"/>
          <w:sz w:val="18"/>
          <w:szCs w:val="18"/>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u w:val="single" w:color="auto"/>
          <w:color w:val="auto"/>
        </w:rPr>
        <w:t>Other real estate</w:t>
      </w:r>
      <w:r>
        <w:rPr>
          <w:rFonts w:ascii="Arial" w:cs="Arial" w:eastAsia="Arial" w:hAnsi="Arial"/>
          <w:sz w:val="15"/>
          <w:szCs w:val="15"/>
          <w:color w:val="auto"/>
        </w:rPr>
        <w:t>: At the time of acquisition, other real estate is recorded at fair value, less estimated costs to sell, which becomes the property’s new basis. Subsequent write-downs to reflect declines in value since the time of acquisition may occur from time to time and are recorded in net (gains) losses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u w:val="single" w:color="auto"/>
          <w:color w:val="auto"/>
        </w:rPr>
        <w:t>Capitalized mortgage loan servicing rights</w:t>
      </w:r>
      <w:r>
        <w:rPr>
          <w:rFonts w:ascii="Arial" w:cs="Arial" w:eastAsia="Arial" w:hAnsi="Arial"/>
          <w:sz w:val="18"/>
          <w:szCs w:val="18"/>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The fair value of rate-lock mortgage loan commitments is based on agency cash window loan pricing for comparable assets and the fair value of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Fair Value Measurements Using</w:t>
            </w:r>
          </w:p>
        </w:tc>
        <w:tc>
          <w:tcPr>
            <w:tcW w:w="0" w:type="dxa"/>
            <w:vAlign w:val="bottom"/>
          </w:tcPr>
          <w:p>
            <w:pPr>
              <w:spacing w:after="0"/>
              <w:rPr>
                <w:sz w:val="1"/>
                <w:szCs w:val="1"/>
                <w:color w:val="auto"/>
              </w:rPr>
            </w:pPr>
          </w:p>
        </w:tc>
      </w:tr>
      <w:tr>
        <w:trPr>
          <w:trHeight w:val="200"/>
        </w:trPr>
        <w:tc>
          <w:tcPr>
            <w:tcW w:w="4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left="192"/>
              <w:spacing w:after="0" w:line="200"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94"/>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90"/>
              </w:rPr>
              <w:t>Markets</w:t>
            </w:r>
          </w:p>
        </w:tc>
        <w:tc>
          <w:tcPr>
            <w:tcW w:w="480" w:type="dxa"/>
            <w:vAlign w:val="bottom"/>
          </w:tcPr>
          <w:p>
            <w:pPr>
              <w:spacing w:after="0"/>
              <w:rPr>
                <w:sz w:val="18"/>
                <w:szCs w:val="18"/>
                <w:color w:val="auto"/>
              </w:rPr>
            </w:pPr>
          </w:p>
        </w:tc>
        <w:tc>
          <w:tcPr>
            <w:tcW w:w="1100" w:type="dxa"/>
            <w:vAlign w:val="bottom"/>
          </w:tcPr>
          <w:p>
            <w:pPr>
              <w:jc w:val="center"/>
              <w:ind w:right="152"/>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91"/>
              </w:rPr>
              <w:t>Significant</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color w:val="auto"/>
                <w:w w:val="87"/>
              </w:rPr>
              <w:t>Fair Value</w:t>
            </w: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92"/>
              </w:rPr>
              <w:t>Identical</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6"/>
              </w:rPr>
              <w:t>Observable</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86"/>
              </w:rPr>
              <w:t>observable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color w:val="auto"/>
                <w:w w:val="89"/>
              </w:rPr>
              <w:t>Measure-</w:t>
            </w: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85"/>
              </w:rPr>
              <w:t>Assets</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9"/>
              </w:rPr>
              <w:t>Inputs</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85"/>
              </w:rPr>
              <w:t>ments</w:t>
            </w:r>
          </w:p>
        </w:tc>
        <w:tc>
          <w:tcPr>
            <w:tcW w:w="11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1"/>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(Level 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1"/>
              </w:rPr>
              <w:t>(Level 3)</w:t>
            </w:r>
          </w:p>
        </w:tc>
        <w:tc>
          <w:tcPr>
            <w:tcW w:w="0" w:type="dxa"/>
            <w:vAlign w:val="bottom"/>
          </w:tcPr>
          <w:p>
            <w:pPr>
              <w:spacing w:after="0"/>
              <w:rPr>
                <w:sz w:val="1"/>
                <w:szCs w:val="1"/>
                <w:color w:val="auto"/>
              </w:rPr>
            </w:pPr>
          </w:p>
        </w:tc>
      </w:tr>
      <w:tr>
        <w:trPr>
          <w:trHeight w:val="223"/>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September 30, 2021:</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00" w:type="dxa"/>
            <w:vAlign w:val="bottom"/>
            <w:gridSpan w:val="3"/>
          </w:tcPr>
          <w:p>
            <w:pPr>
              <w:jc w:val="right"/>
              <w:ind w:right="772"/>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40" w:type="dxa"/>
            <w:vAlign w:val="bottom"/>
            <w:gridSpan w:val="2"/>
          </w:tcPr>
          <w:p>
            <w:pPr>
              <w:spacing w:after="0" w:line="200" w:lineRule="exact"/>
              <w:rPr>
                <w:sz w:val="20"/>
                <w:szCs w:val="20"/>
                <w:color w:val="auto"/>
              </w:rPr>
            </w:pPr>
            <w:r>
              <w:rPr>
                <w:rFonts w:ascii="Arial" w:cs="Arial" w:eastAsia="Arial" w:hAnsi="Arial"/>
                <w:sz w:val="18"/>
                <w:szCs w:val="18"/>
                <w:color w:val="auto"/>
              </w:rPr>
              <w:t>Measured at Fair Value on a Recurring Basis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13,418</w:t>
            </w:r>
          </w:p>
        </w:tc>
        <w:tc>
          <w:tcPr>
            <w:tcW w:w="11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337,860</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337,860</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18,608</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18,608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82,311</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82,311</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176,121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176,121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564,222</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564,222</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153,503</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153,503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1,826</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1,826</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Loans held for sale, carried at fair value</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78,731</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78,731</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24,208</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24,208</w:t>
            </w: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Derivatives (1)</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13,559</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13,559</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Derivatives (2)</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6,583</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6,583</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Collateral dependent loans (3)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 family owner occupied - non-jumbo</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1-4 family non-owner occupied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 family - 2nd lien</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Resort lending</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Installment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Boat lending</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Recreational vehicle lending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120" w:type="dxa"/>
            <w:vAlign w:val="bottom"/>
          </w:tcPr>
          <w:p>
            <w:pPr>
              <w:spacing w:after="0"/>
              <w:rPr>
                <w:sz w:val="19"/>
                <w:szCs w:val="19"/>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88"/>
        </w:trPr>
        <w:tc>
          <w:tcPr>
            <w:tcW w:w="4500" w:type="dxa"/>
            <w:vAlign w:val="bottom"/>
            <w:tcBorders>
              <w:bottom w:val="single" w:sz="8" w:color="auto"/>
            </w:tcBorders>
          </w:tcPr>
          <w:p>
            <w:pPr>
              <w:spacing w:after="0"/>
              <w:rPr>
                <w:sz w:val="7"/>
                <w:szCs w:val="7"/>
                <w:color w:val="auto"/>
              </w:rPr>
            </w:pPr>
          </w:p>
        </w:tc>
        <w:tc>
          <w:tcPr>
            <w:tcW w:w="1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Only includes individually evaluated loans with specific loss allocations based on collateral value.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Fair Value Measurements Using</w:t>
            </w:r>
          </w:p>
        </w:tc>
        <w:tc>
          <w:tcPr>
            <w:tcW w:w="0" w:type="dxa"/>
            <w:vAlign w:val="bottom"/>
          </w:tcPr>
          <w:p>
            <w:pPr>
              <w:spacing w:after="0"/>
              <w:rPr>
                <w:sz w:val="1"/>
                <w:szCs w:val="1"/>
                <w:color w:val="auto"/>
              </w:rPr>
            </w:pPr>
          </w:p>
        </w:tc>
      </w:tr>
      <w:tr>
        <w:trPr>
          <w:trHeight w:val="200"/>
        </w:trPr>
        <w:tc>
          <w:tcPr>
            <w:tcW w:w="4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ind w:left="192"/>
              <w:spacing w:after="0" w:line="200" w:lineRule="exact"/>
              <w:rPr>
                <w:sz w:val="20"/>
                <w:szCs w:val="20"/>
                <w:color w:val="auto"/>
              </w:rPr>
            </w:pPr>
            <w:r>
              <w:rPr>
                <w:rFonts w:ascii="Arial" w:cs="Arial" w:eastAsia="Arial" w:hAnsi="Arial"/>
                <w:sz w:val="18"/>
                <w:szCs w:val="18"/>
                <w:color w:val="auto"/>
                <w:w w:val="87"/>
              </w:rPr>
              <w:t>Quoted</w:t>
            </w: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87"/>
              </w:rPr>
              <w:t>Prices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94"/>
              </w:rPr>
              <w:t>in Active</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90"/>
              </w:rPr>
              <w:t>Markets</w:t>
            </w:r>
          </w:p>
        </w:tc>
        <w:tc>
          <w:tcPr>
            <w:tcW w:w="480" w:type="dxa"/>
            <w:vAlign w:val="bottom"/>
          </w:tcPr>
          <w:p>
            <w:pPr>
              <w:spacing w:after="0"/>
              <w:rPr>
                <w:sz w:val="18"/>
                <w:szCs w:val="18"/>
                <w:color w:val="auto"/>
              </w:rPr>
            </w:pPr>
          </w:p>
        </w:tc>
        <w:tc>
          <w:tcPr>
            <w:tcW w:w="1100" w:type="dxa"/>
            <w:vAlign w:val="bottom"/>
          </w:tcPr>
          <w:p>
            <w:pPr>
              <w:jc w:val="center"/>
              <w:ind w:right="152"/>
              <w:spacing w:after="0"/>
              <w:rPr>
                <w:sz w:val="20"/>
                <w:szCs w:val="20"/>
                <w:color w:val="auto"/>
              </w:rPr>
            </w:pPr>
            <w:r>
              <w:rPr>
                <w:rFonts w:ascii="Arial" w:cs="Arial" w:eastAsia="Arial" w:hAnsi="Arial"/>
                <w:sz w:val="18"/>
                <w:szCs w:val="18"/>
                <w:color w:val="auto"/>
                <w:w w:val="93"/>
              </w:rPr>
              <w:t>Significant</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91"/>
              </w:rPr>
              <w:t>Significant</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jc w:val="center"/>
              <w:ind w:left="192"/>
              <w:spacing w:after="0"/>
              <w:rPr>
                <w:sz w:val="20"/>
                <w:szCs w:val="20"/>
                <w:color w:val="auto"/>
              </w:rPr>
            </w:pPr>
            <w:r>
              <w:rPr>
                <w:rFonts w:ascii="Arial" w:cs="Arial" w:eastAsia="Arial" w:hAnsi="Arial"/>
                <w:sz w:val="18"/>
                <w:szCs w:val="18"/>
                <w:color w:val="auto"/>
                <w:w w:val="94"/>
              </w:rPr>
              <w:t>for</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color w:val="auto"/>
                <w:w w:val="87"/>
              </w:rPr>
              <w:t>Fair Value</w:t>
            </w: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92"/>
              </w:rPr>
              <w:t>Identical</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6"/>
              </w:rPr>
              <w:t>Observable</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86"/>
              </w:rPr>
              <w:t>observable</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center"/>
              <w:ind w:right="172"/>
              <w:spacing w:after="0"/>
              <w:rPr>
                <w:sz w:val="20"/>
                <w:szCs w:val="20"/>
                <w:color w:val="auto"/>
              </w:rPr>
            </w:pPr>
            <w:r>
              <w:rPr>
                <w:rFonts w:ascii="Arial" w:cs="Arial" w:eastAsia="Arial" w:hAnsi="Arial"/>
                <w:sz w:val="18"/>
                <w:szCs w:val="18"/>
                <w:color w:val="auto"/>
                <w:w w:val="89"/>
              </w:rPr>
              <w:t>Measure-</w:t>
            </w:r>
          </w:p>
        </w:tc>
        <w:tc>
          <w:tcPr>
            <w:tcW w:w="1120" w:type="dxa"/>
            <w:vAlign w:val="bottom"/>
          </w:tcPr>
          <w:p>
            <w:pPr>
              <w:jc w:val="center"/>
              <w:ind w:left="172"/>
              <w:spacing w:after="0"/>
              <w:rPr>
                <w:sz w:val="20"/>
                <w:szCs w:val="20"/>
                <w:color w:val="auto"/>
              </w:rPr>
            </w:pPr>
            <w:r>
              <w:rPr>
                <w:rFonts w:ascii="Arial" w:cs="Arial" w:eastAsia="Arial" w:hAnsi="Arial"/>
                <w:sz w:val="18"/>
                <w:szCs w:val="18"/>
                <w:color w:val="auto"/>
                <w:w w:val="85"/>
              </w:rPr>
              <w:t>Assets</w:t>
            </w:r>
          </w:p>
        </w:tc>
        <w:tc>
          <w:tcPr>
            <w:tcW w:w="480" w:type="dxa"/>
            <w:vAlign w:val="bottom"/>
          </w:tcPr>
          <w:p>
            <w:pPr>
              <w:spacing w:after="0"/>
              <w:rPr>
                <w:sz w:val="18"/>
                <w:szCs w:val="18"/>
                <w:color w:val="auto"/>
              </w:rPr>
            </w:pPr>
          </w:p>
        </w:tc>
        <w:tc>
          <w:tcPr>
            <w:tcW w:w="1100" w:type="dxa"/>
            <w:vAlign w:val="bottom"/>
          </w:tcPr>
          <w:p>
            <w:pPr>
              <w:jc w:val="center"/>
              <w:ind w:right="132"/>
              <w:spacing w:after="0"/>
              <w:rPr>
                <w:sz w:val="20"/>
                <w:szCs w:val="20"/>
                <w:color w:val="auto"/>
              </w:rPr>
            </w:pPr>
            <w:r>
              <w:rPr>
                <w:rFonts w:ascii="Arial" w:cs="Arial" w:eastAsia="Arial" w:hAnsi="Arial"/>
                <w:sz w:val="18"/>
                <w:szCs w:val="18"/>
                <w:color w:val="auto"/>
                <w:w w:val="89"/>
              </w:rPr>
              <w:t>Inputs</w:t>
            </w:r>
          </w:p>
        </w:tc>
        <w:tc>
          <w:tcPr>
            <w:tcW w:w="24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85"/>
              </w:rPr>
              <w:t>ments</w:t>
            </w:r>
          </w:p>
        </w:tc>
        <w:tc>
          <w:tcPr>
            <w:tcW w:w="112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1"/>
              </w:rPr>
              <w:t>(Level 1)</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(Level 2)</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1"/>
              </w:rPr>
              <w:t>(Level 3)</w:t>
            </w:r>
          </w:p>
        </w:tc>
        <w:tc>
          <w:tcPr>
            <w:tcW w:w="0" w:type="dxa"/>
            <w:vAlign w:val="bottom"/>
          </w:tcPr>
          <w:p>
            <w:pPr>
              <w:spacing w:after="0"/>
              <w:rPr>
                <w:sz w:val="1"/>
                <w:szCs w:val="1"/>
                <w:color w:val="auto"/>
              </w:rPr>
            </w:pPr>
          </w:p>
        </w:tc>
      </w:tr>
      <w:tr>
        <w:trPr>
          <w:trHeight w:val="223"/>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700" w:type="dxa"/>
            <w:vAlign w:val="bottom"/>
            <w:gridSpan w:val="3"/>
          </w:tcPr>
          <w:p>
            <w:pPr>
              <w:jc w:val="right"/>
              <w:ind w:right="772"/>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40" w:type="dxa"/>
            <w:vAlign w:val="bottom"/>
            <w:gridSpan w:val="2"/>
          </w:tcPr>
          <w:p>
            <w:pPr>
              <w:spacing w:after="0" w:line="200" w:lineRule="exact"/>
              <w:rPr>
                <w:sz w:val="20"/>
                <w:szCs w:val="20"/>
                <w:color w:val="auto"/>
              </w:rPr>
            </w:pPr>
            <w:r>
              <w:rPr>
                <w:rFonts w:ascii="Arial" w:cs="Arial" w:eastAsia="Arial" w:hAnsi="Arial"/>
                <w:sz w:val="18"/>
                <w:szCs w:val="18"/>
                <w:color w:val="auto"/>
              </w:rPr>
              <w:t>Measured at Fair Value on a Recurring Basis</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10,748</w:t>
            </w:r>
          </w:p>
        </w:tc>
        <w:tc>
          <w:tcPr>
            <w:tcW w:w="11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U.S. agency residential mortgage-backed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344,582</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344,582</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U.S. agency commercial mortgage-backed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7,195</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7,195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Private label mortgage-backed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42,829</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42,829</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asset backed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254,181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254,181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324,293</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324,293</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86,017</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86,017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Trust preferred</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1,798</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Foreign government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Loans held for sale, carried at fair value</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92,434</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92,434</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Capitalized mortgage loan servicing rights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16,904</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Derivatives (1)</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16,782</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16,782</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Derivatives (2)</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11,754</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11,754</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8"/>
                <w:szCs w:val="18"/>
                <w:color w:val="auto"/>
              </w:rPr>
              <w:t>Measured at Fair Value on a Non-recurring Basis: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320"/>
              <w:spacing w:after="0"/>
              <w:rPr>
                <w:sz w:val="20"/>
                <w:szCs w:val="20"/>
                <w:color w:val="auto"/>
              </w:rPr>
            </w:pPr>
            <w:r>
              <w:rPr>
                <w:rFonts w:ascii="Arial" w:cs="Arial" w:eastAsia="Arial" w:hAnsi="Arial"/>
                <w:sz w:val="18"/>
                <w:szCs w:val="18"/>
                <w:color w:val="auto"/>
              </w:rPr>
              <w:t>Impaired loans (3)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Commercial and industrial</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1,468</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6,586</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Mortgage</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 family owner occupied - jumbo</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1-4 family owner occupied - non-jumbo</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321</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 family non-owner occupied</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1-4 family - 2nd lien</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324</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Resort lending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Installment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Boat lending</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5840" w:type="dxa"/>
            <w:vAlign w:val="bottom"/>
            <w:gridSpan w:val="2"/>
          </w:tcPr>
          <w:p>
            <w:pPr>
              <w:ind w:left="640"/>
              <w:spacing w:after="0"/>
              <w:rPr>
                <w:sz w:val="20"/>
                <w:szCs w:val="20"/>
                <w:color w:val="auto"/>
              </w:rPr>
            </w:pPr>
            <w:r>
              <w:rPr>
                <w:rFonts w:ascii="Arial" w:cs="Arial" w:eastAsia="Arial" w:hAnsi="Arial"/>
                <w:sz w:val="18"/>
                <w:szCs w:val="18"/>
                <w:color w:val="auto"/>
              </w:rPr>
              <w:t>Recreational vehicle lending</w:t>
            </w: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120" w:type="dxa"/>
            <w:vAlign w:val="bottom"/>
          </w:tcPr>
          <w:p>
            <w:pPr>
              <w:spacing w:after="0"/>
              <w:rPr>
                <w:sz w:val="18"/>
                <w:szCs w:val="18"/>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2"/>
        </w:trPr>
        <w:tc>
          <w:tcPr>
            <w:tcW w:w="5840" w:type="dxa"/>
            <w:vAlign w:val="bottom"/>
            <w:gridSpan w:val="2"/>
          </w:tcPr>
          <w:p>
            <w:pPr>
              <w:ind w:left="480"/>
              <w:spacing w:after="0"/>
              <w:rPr>
                <w:sz w:val="20"/>
                <w:szCs w:val="20"/>
                <w:color w:val="auto"/>
              </w:rPr>
            </w:pPr>
            <w:r>
              <w:rPr>
                <w:rFonts w:ascii="Arial" w:cs="Arial" w:eastAsia="Arial" w:hAnsi="Arial"/>
                <w:sz w:val="18"/>
                <w:szCs w:val="18"/>
                <w:color w:val="auto"/>
              </w:rPr>
              <w:t>Other real estate (4)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1-4 family owner occupied - non-jumbo</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99"/>
        </w:trPr>
        <w:tc>
          <w:tcPr>
            <w:tcW w:w="450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Changes in fair values for financial assets which we have elected the fair value option for the periods presented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4020" w:type="dxa"/>
            <w:vAlign w:val="bottom"/>
            <w:gridSpan w:val="6"/>
          </w:tcPr>
          <w:p>
            <w:pPr>
              <w:jc w:val="center"/>
              <w:spacing w:after="0"/>
              <w:rPr>
                <w:sz w:val="20"/>
                <w:szCs w:val="20"/>
                <w:color w:val="auto"/>
              </w:rPr>
            </w:pPr>
            <w:r>
              <w:rPr>
                <w:rFonts w:ascii="Arial" w:cs="Arial" w:eastAsia="Arial" w:hAnsi="Arial"/>
                <w:sz w:val="18"/>
                <w:szCs w:val="18"/>
                <w:color w:val="auto"/>
                <w:w w:val="88"/>
              </w:rPr>
              <w:t>Changes in Fair Values for the Nine-Month Periods</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4020" w:type="dxa"/>
            <w:vAlign w:val="bottom"/>
            <w:gridSpan w:val="6"/>
          </w:tcPr>
          <w:p>
            <w:pPr>
              <w:jc w:val="center"/>
              <w:spacing w:after="0"/>
              <w:rPr>
                <w:sz w:val="20"/>
                <w:szCs w:val="20"/>
                <w:color w:val="auto"/>
              </w:rPr>
            </w:pPr>
            <w:r>
              <w:rPr>
                <w:rFonts w:ascii="Arial" w:cs="Arial" w:eastAsia="Arial" w:hAnsi="Arial"/>
                <w:sz w:val="18"/>
                <w:szCs w:val="18"/>
                <w:color w:val="auto"/>
                <w:w w:val="88"/>
              </w:rPr>
              <w:t>Ended September 30 for Items Measured at Fair Value</w:t>
            </w:r>
          </w:p>
        </w:tc>
        <w:tc>
          <w:tcPr>
            <w:tcW w:w="0" w:type="dxa"/>
            <w:vAlign w:val="bottom"/>
          </w:tcPr>
          <w:p>
            <w:pPr>
              <w:spacing w:after="0"/>
              <w:rPr>
                <w:sz w:val="1"/>
                <w:szCs w:val="1"/>
                <w:color w:val="auto"/>
              </w:rPr>
            </w:pPr>
          </w:p>
        </w:tc>
      </w:tr>
      <w:tr>
        <w:trPr>
          <w:trHeight w:val="231"/>
        </w:trPr>
        <w:tc>
          <w:tcPr>
            <w:tcW w:w="7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5"/>
          </w:tcPr>
          <w:p>
            <w:pPr>
              <w:jc w:val="center"/>
              <w:ind w:right="152"/>
              <w:spacing w:after="0"/>
              <w:rPr>
                <w:sz w:val="20"/>
                <w:szCs w:val="20"/>
                <w:color w:val="auto"/>
              </w:rPr>
            </w:pPr>
            <w:r>
              <w:rPr>
                <w:rFonts w:ascii="Arial" w:cs="Arial" w:eastAsia="Arial" w:hAnsi="Arial"/>
                <w:sz w:val="18"/>
                <w:szCs w:val="18"/>
                <w:color w:val="auto"/>
                <w:w w:val="89"/>
              </w:rPr>
              <w:t>Pursuant to Election of the Fair Value Option</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192"/>
              <w:spacing w:after="0" w:line="200" w:lineRule="exact"/>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1"/>
              </w:rPr>
              <w:t>in Fair</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83"/>
              </w:rPr>
              <w:t>Values</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292"/>
              <w:spacing w:after="0"/>
              <w:rPr>
                <w:sz w:val="20"/>
                <w:szCs w:val="20"/>
                <w:color w:val="auto"/>
              </w:rPr>
            </w:pPr>
            <w:r>
              <w:rPr>
                <w:rFonts w:ascii="Arial" w:cs="Arial" w:eastAsia="Arial" w:hAnsi="Arial"/>
                <w:sz w:val="18"/>
                <w:szCs w:val="18"/>
                <w:color w:val="auto"/>
                <w:w w:val="89"/>
              </w:rPr>
              <w:t>Net Gains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1"/>
              </w:rPr>
              <w:t>Included</w:t>
            </w:r>
          </w:p>
        </w:tc>
        <w:tc>
          <w:tcPr>
            <w:tcW w:w="0" w:type="dxa"/>
            <w:vAlign w:val="bottom"/>
          </w:tcPr>
          <w:p>
            <w:pPr>
              <w:spacing w:after="0"/>
              <w:rPr>
                <w:sz w:val="1"/>
                <w:szCs w:val="1"/>
                <w:color w:val="auto"/>
              </w:rPr>
            </w:pPr>
          </w:p>
        </w:tc>
      </w:tr>
      <w:tr>
        <w:trPr>
          <w:trHeight w:val="231"/>
        </w:trPr>
        <w:tc>
          <w:tcPr>
            <w:tcW w:w="7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color w:val="auto"/>
                <w:w w:val="85"/>
              </w:rPr>
              <w:t>on Assets</w:t>
            </w:r>
          </w:p>
        </w:tc>
        <w:tc>
          <w:tcPr>
            <w:tcW w:w="280" w:type="dxa"/>
            <w:vAlign w:val="bottom"/>
          </w:tcPr>
          <w:p>
            <w:pPr>
              <w:spacing w:after="0"/>
              <w:rPr>
                <w:sz w:val="20"/>
                <w:szCs w:val="20"/>
                <w:color w:val="auto"/>
              </w:rPr>
            </w:pPr>
          </w:p>
        </w:tc>
        <w:tc>
          <w:tcPr>
            <w:tcW w:w="1100" w:type="dxa"/>
            <w:vAlign w:val="bottom"/>
          </w:tcPr>
          <w:p>
            <w:pPr>
              <w:jc w:val="right"/>
              <w:ind w:right="252"/>
              <w:spacing w:after="0"/>
              <w:rPr>
                <w:sz w:val="20"/>
                <w:szCs w:val="20"/>
                <w:color w:val="auto"/>
              </w:rPr>
            </w:pPr>
            <w:r>
              <w:rPr>
                <w:rFonts w:ascii="Arial" w:cs="Arial" w:eastAsia="Arial" w:hAnsi="Arial"/>
                <w:sz w:val="18"/>
                <w:szCs w:val="18"/>
                <w:color w:val="auto"/>
                <w:w w:val="97"/>
              </w:rPr>
              <w:t>Mortgage</w:t>
            </w:r>
          </w:p>
        </w:tc>
        <w:tc>
          <w:tcPr>
            <w:tcW w:w="180" w:type="dxa"/>
            <w:vAlign w:val="bottom"/>
          </w:tcPr>
          <w:p>
            <w:pPr>
              <w:spacing w:after="0"/>
              <w:rPr>
                <w:sz w:val="20"/>
                <w:szCs w:val="20"/>
                <w:color w:val="auto"/>
              </w:rPr>
            </w:pPr>
          </w:p>
        </w:tc>
        <w:tc>
          <w:tcPr>
            <w:tcW w:w="1080" w:type="dxa"/>
            <w:vAlign w:val="bottom"/>
          </w:tcPr>
          <w:p>
            <w:pPr>
              <w:jc w:val="center"/>
              <w:ind w:right="192"/>
              <w:spacing w:after="0"/>
              <w:rPr>
                <w:sz w:val="20"/>
                <w:szCs w:val="20"/>
                <w:color w:val="auto"/>
              </w:rPr>
            </w:pPr>
            <w:r>
              <w:rPr>
                <w:rFonts w:ascii="Arial" w:cs="Arial" w:eastAsia="Arial" w:hAnsi="Arial"/>
                <w:sz w:val="18"/>
                <w:szCs w:val="18"/>
                <w:color w:val="auto"/>
                <w:w w:val="91"/>
              </w:rPr>
              <w:t>in Current</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292"/>
              <w:spacing w:after="0" w:line="200" w:lineRule="exact"/>
              <w:rPr>
                <w:sz w:val="20"/>
                <w:szCs w:val="20"/>
                <w:color w:val="auto"/>
              </w:rPr>
            </w:pPr>
            <w:r>
              <w:rPr>
                <w:rFonts w:ascii="Arial" w:cs="Arial" w:eastAsia="Arial" w:hAnsi="Arial"/>
                <w:sz w:val="18"/>
                <w:szCs w:val="18"/>
                <w:color w:val="auto"/>
                <w:w w:val="89"/>
              </w:rPr>
              <w:t>Mortgage</w:t>
            </w:r>
          </w:p>
        </w:tc>
        <w:tc>
          <w:tcPr>
            <w:tcW w:w="280" w:type="dxa"/>
            <w:vAlign w:val="bottom"/>
          </w:tcPr>
          <w:p>
            <w:pPr>
              <w:spacing w:after="0"/>
              <w:rPr>
                <w:sz w:val="17"/>
                <w:szCs w:val="17"/>
                <w:color w:val="auto"/>
              </w:rPr>
            </w:pPr>
          </w:p>
        </w:tc>
        <w:tc>
          <w:tcPr>
            <w:tcW w:w="1100" w:type="dxa"/>
            <w:vAlign w:val="bottom"/>
          </w:tcPr>
          <w:p>
            <w:pPr>
              <w:jc w:val="right"/>
              <w:ind w:right="432"/>
              <w:spacing w:after="0" w:line="200" w:lineRule="exact"/>
              <w:rPr>
                <w:sz w:val="20"/>
                <w:szCs w:val="20"/>
                <w:color w:val="auto"/>
              </w:rPr>
            </w:pPr>
            <w:r>
              <w:rPr>
                <w:rFonts w:ascii="Arial" w:cs="Arial" w:eastAsia="Arial" w:hAnsi="Arial"/>
                <w:sz w:val="18"/>
                <w:szCs w:val="18"/>
                <w:color w:val="auto"/>
              </w:rPr>
              <w:t>Loan</w:t>
            </w:r>
          </w:p>
        </w:tc>
        <w:tc>
          <w:tcPr>
            <w:tcW w:w="180" w:type="dxa"/>
            <w:vAlign w:val="bottom"/>
          </w:tcPr>
          <w:p>
            <w:pPr>
              <w:spacing w:after="0"/>
              <w:rPr>
                <w:sz w:val="17"/>
                <w:szCs w:val="17"/>
                <w:color w:val="auto"/>
              </w:rPr>
            </w:pPr>
          </w:p>
        </w:tc>
        <w:tc>
          <w:tcPr>
            <w:tcW w:w="1080" w:type="dxa"/>
            <w:vAlign w:val="bottom"/>
          </w:tcPr>
          <w:p>
            <w:pPr>
              <w:jc w:val="center"/>
              <w:ind w:right="212"/>
              <w:spacing w:after="0" w:line="200" w:lineRule="exact"/>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1"/>
        </w:trPr>
        <w:tc>
          <w:tcPr>
            <w:tcW w:w="7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color w:val="auto"/>
                <w:w w:val="89"/>
              </w:rPr>
              <w:t>Loans</w:t>
            </w:r>
          </w:p>
        </w:tc>
        <w:tc>
          <w:tcPr>
            <w:tcW w:w="13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color w:val="auto"/>
              </w:rPr>
              <w:t>Servicing, net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87"/>
              </w:rPr>
              <w:t>Earnings</w:t>
            </w:r>
          </w:p>
        </w:tc>
        <w:tc>
          <w:tcPr>
            <w:tcW w:w="0" w:type="dxa"/>
            <w:vAlign w:val="bottom"/>
          </w:tcPr>
          <w:p>
            <w:pPr>
              <w:spacing w:after="0"/>
              <w:rPr>
                <w:sz w:val="1"/>
                <w:szCs w:val="1"/>
                <w:color w:val="auto"/>
              </w:rPr>
            </w:pPr>
          </w:p>
        </w:tc>
      </w:tr>
      <w:tr>
        <w:trPr>
          <w:trHeight w:val="223"/>
        </w:trPr>
        <w:tc>
          <w:tcPr>
            <w:tcW w:w="722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2"/>
          </w:tcPr>
          <w:p>
            <w:pPr>
              <w:jc w:val="center"/>
              <w:ind w:right="32"/>
              <w:spacing w:after="0"/>
              <w:rPr>
                <w:sz w:val="20"/>
                <w:szCs w:val="20"/>
                <w:color w:val="auto"/>
              </w:rPr>
            </w:pPr>
            <w:r>
              <w:rPr>
                <w:rFonts w:ascii="Arial" w:cs="Arial" w:eastAsia="Arial" w:hAnsi="Arial"/>
                <w:sz w:val="18"/>
                <w:szCs w:val="18"/>
                <w:color w:val="auto"/>
                <w:w w:val="88"/>
              </w:rPr>
              <w:t>(In thousands)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2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2"/>
        </w:trPr>
        <w:tc>
          <w:tcPr>
            <w:tcW w:w="722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4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2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held for sale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2,081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3"/>
        </w:trPr>
        <w:tc>
          <w:tcPr>
            <w:tcW w:w="7220" w:type="dxa"/>
            <w:vAlign w:val="bottom"/>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4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(14,028)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represent impairment charges recognized during the three and nine month periods ended September 30, 2021 and 2020 relating to assets measured at fair value on a non-recurring basis:</w:t>
      </w:r>
    </w:p>
    <w:p>
      <w:pPr>
        <w:spacing w:after="0" w:line="181" w:lineRule="exact"/>
        <w:rPr>
          <w:sz w:val="20"/>
          <w:szCs w:val="20"/>
          <w:color w:val="auto"/>
        </w:rPr>
      </w:pPr>
    </w:p>
    <w:p>
      <w:pPr>
        <w:jc w:val="both"/>
        <w:ind w:left="640" w:hanging="316"/>
        <w:spacing w:after="0" w:line="263" w:lineRule="auto"/>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Loans that are individually evaluated using the fair value of collateral for collateral dependent loans had a carrying amount of $1.7 million, which is net of a valuation allowance of $0.9 million at September 30, 2021, and had a carrying amount of $9.1 million, which is net of a valuation allowance of $1.8 million at December 31, 2020. The provision for credit losses included in our results of operations relating to collateral dependent loans was a net expense of $0.2 million for both the three month periods ending September 30, 2021 and 2020, and a net expense of $0.2 million and $1.1 million for the nine month periods ending September 30, 2021 and 2020, respectively.</w:t>
      </w:r>
    </w:p>
    <w:p>
      <w:pPr>
        <w:jc w:val="both"/>
        <w:ind w:left="640" w:hanging="316"/>
        <w:spacing w:after="0" w:line="313" w:lineRule="auto"/>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Other real estate, which is measured using the fair value of the property, had a carrying amount of zero which is net of a valuation allowance of $0.03 million at September 30, 2021, and a carrying amount of $0.10 million which is net of a valuation allowance of $0.09 million, at December 31, 2020. Charges included in our results of operations relating to other real estate measured at fair value were zero during both the three and nine month periods ended September 30, 2021, and were zero and $0.09 million during the three and nine month periods ended September 30, 2020.</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for all assets measured at fair value on a recurring basis using significant unobservable inputs (Level 3)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0"/>
          </w:tcPr>
          <w:p>
            <w:pPr>
              <w:jc w:val="right"/>
              <w:ind w:right="32"/>
              <w:spacing w:after="0"/>
              <w:rPr>
                <w:sz w:val="20"/>
                <w:szCs w:val="20"/>
                <w:color w:val="auto"/>
              </w:rPr>
            </w:pPr>
            <w:r>
              <w:rPr>
                <w:rFonts w:ascii="Arial" w:cs="Arial" w:eastAsia="Arial" w:hAnsi="Arial"/>
                <w:sz w:val="18"/>
                <w:szCs w:val="18"/>
                <w:color w:val="auto"/>
              </w:rPr>
              <w:t>Capitalized Mortgage Loan Servicing Rights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tcPr>
          <w:p>
            <w:pPr>
              <w:jc w:val="right"/>
              <w:ind w:right="720"/>
              <w:spacing w:after="0" w:line="200" w:lineRule="exact"/>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7"/>
                <w:szCs w:val="17"/>
                <w:color w:val="auto"/>
              </w:rPr>
            </w:pPr>
          </w:p>
        </w:tc>
        <w:tc>
          <w:tcPr>
            <w:tcW w:w="2200" w:type="dxa"/>
            <w:vAlign w:val="bottom"/>
            <w:gridSpan w:val="4"/>
          </w:tcPr>
          <w:p>
            <w:pPr>
              <w:jc w:val="right"/>
              <w:ind w:right="432"/>
              <w:spacing w:after="0" w:line="200" w:lineRule="exact"/>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7"/>
                <w:szCs w:val="17"/>
                <w:color w:val="auto"/>
              </w:rPr>
            </w:pPr>
          </w:p>
        </w:tc>
      </w:tr>
      <w:tr>
        <w:trPr>
          <w:trHeight w:val="212"/>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820"/>
              <w:spacing w:after="0"/>
              <w:rPr>
                <w:sz w:val="20"/>
                <w:szCs w:val="20"/>
                <w:color w:val="auto"/>
              </w:rPr>
            </w:pPr>
            <w:r>
              <w:rPr>
                <w:rFonts w:ascii="Arial" w:cs="Arial" w:eastAsia="Arial" w:hAnsi="Arial"/>
                <w:sz w:val="18"/>
                <w:szCs w:val="18"/>
                <w:color w:val="auto"/>
              </w:rPr>
              <w:t>September 30,</w:t>
            </w:r>
          </w:p>
        </w:tc>
      </w:tr>
      <w:tr>
        <w:trPr>
          <w:trHeight w:val="231"/>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(In</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w w:val="73"/>
              </w:rPr>
              <w:t>thousands)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12"/>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22,431</w:t>
            </w: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16,904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r>
      <w:tr>
        <w:trPr>
          <w:trHeight w:val="212"/>
        </w:trPr>
        <w:tc>
          <w:tcPr>
            <w:tcW w:w="5820" w:type="dxa"/>
            <w:vAlign w:val="bottom"/>
          </w:tcPr>
          <w:p>
            <w:pPr>
              <w:ind w:left="140"/>
              <w:spacing w:after="0"/>
              <w:rPr>
                <w:sz w:val="20"/>
                <w:szCs w:val="20"/>
                <w:color w:val="auto"/>
              </w:rPr>
            </w:pPr>
            <w:r>
              <w:rPr>
                <w:rFonts w:ascii="Arial" w:cs="Arial" w:eastAsia="Arial" w:hAnsi="Arial"/>
                <w:sz w:val="18"/>
                <w:szCs w:val="18"/>
                <w:color w:val="auto"/>
              </w:rPr>
              <w:t>Total losses realized and unrealized: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Included in results of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(1,333)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(14,028)</w:t>
            </w:r>
          </w:p>
        </w:tc>
      </w:tr>
      <w:tr>
        <w:trPr>
          <w:trHeight w:val="212"/>
        </w:trPr>
        <w:tc>
          <w:tcPr>
            <w:tcW w:w="5820" w:type="dxa"/>
            <w:vAlign w:val="bottom"/>
          </w:tcPr>
          <w:p>
            <w:pPr>
              <w:ind w:left="320"/>
              <w:spacing w:after="0"/>
              <w:rPr>
                <w:sz w:val="20"/>
                <w:szCs w:val="20"/>
                <w:color w:val="auto"/>
              </w:rPr>
            </w:pPr>
            <w:r>
              <w:rPr>
                <w:rFonts w:ascii="Arial" w:cs="Arial" w:eastAsia="Arial" w:hAnsi="Arial"/>
                <w:sz w:val="18"/>
                <w:szCs w:val="18"/>
                <w:color w:val="auto"/>
              </w:rPr>
              <w:t>Included in other comprehensive income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issuances, settlements, maturities and calls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8,637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r>
      <w:tr>
        <w:trPr>
          <w:trHeight w:val="218"/>
        </w:trPr>
        <w:tc>
          <w:tcPr>
            <w:tcW w:w="5820" w:type="dxa"/>
            <w:vAlign w:val="bottom"/>
          </w:tcPr>
          <w:p>
            <w:pPr>
              <w:ind w:left="14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2"/>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5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5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7"/>
              </w:rPr>
              <w:t>Amount of total losses for the period included in earnings attributable to the</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change in unrealized gains (losses) relating to assets and liabilities still held at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(752)</w:t>
            </w: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(1,333)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(14,028)</w:t>
            </w: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14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Valuation</w:t>
            </w:r>
          </w:p>
        </w:tc>
        <w:tc>
          <w:tcPr>
            <w:tcW w:w="1120" w:type="dxa"/>
            <w:vAlign w:val="bottom"/>
          </w:tcPr>
          <w:p>
            <w:pPr>
              <w:ind w:left="60"/>
              <w:spacing w:after="0"/>
              <w:rPr>
                <w:sz w:val="20"/>
                <w:szCs w:val="20"/>
                <w:color w:val="auto"/>
              </w:rPr>
            </w:pPr>
            <w:r>
              <w:rPr>
                <w:rFonts w:ascii="Arial" w:cs="Arial" w:eastAsia="Arial" w:hAnsi="Arial"/>
                <w:sz w:val="18"/>
                <w:szCs w:val="18"/>
                <w:color w:val="auto"/>
                <w:w w:val="93"/>
              </w:rPr>
              <w:t>Unobservable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Weighted</w:t>
            </w:r>
          </w:p>
        </w:tc>
        <w:tc>
          <w:tcPr>
            <w:tcW w:w="0" w:type="dxa"/>
            <w:vAlign w:val="bottom"/>
          </w:tcPr>
          <w:p>
            <w:pPr>
              <w:spacing w:after="0"/>
              <w:rPr>
                <w:sz w:val="1"/>
                <w:szCs w:val="1"/>
                <w:color w:val="auto"/>
              </w:rPr>
            </w:pPr>
          </w:p>
        </w:tc>
      </w:tr>
      <w:tr>
        <w:trPr>
          <w:trHeight w:val="231"/>
        </w:trPr>
        <w:tc>
          <w:tcPr>
            <w:tcW w:w="4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Technique</w:t>
            </w:r>
          </w:p>
        </w:tc>
        <w:tc>
          <w:tcPr>
            <w:tcW w:w="1120" w:type="dxa"/>
            <w:vAlign w:val="bottom"/>
          </w:tcPr>
          <w:p>
            <w:pPr>
              <w:ind w:left="340"/>
              <w:spacing w:after="0"/>
              <w:rPr>
                <w:sz w:val="20"/>
                <w:szCs w:val="20"/>
                <w:color w:val="auto"/>
              </w:rPr>
            </w:pPr>
            <w:r>
              <w:rPr>
                <w:rFonts w:ascii="Arial" w:cs="Arial" w:eastAsia="Arial" w:hAnsi="Arial"/>
                <w:sz w:val="18"/>
                <w:szCs w:val="18"/>
                <w:color w:val="auto"/>
              </w:rPr>
              <w:t>Inputs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Range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6"/>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24,208</w:t>
            </w:r>
          </w:p>
        </w:tc>
        <w:tc>
          <w:tcPr>
            <w:tcW w:w="174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color w:val="auto"/>
                <w:w w:val="87"/>
              </w:rPr>
              <w:t>Present value of net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10.00% to 13.00%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servicing revenue</w:t>
            </w:r>
          </w:p>
        </w:tc>
        <w:tc>
          <w:tcPr>
            <w:tcW w:w="1120" w:type="dxa"/>
            <w:vAlign w:val="bottom"/>
          </w:tcPr>
          <w:p>
            <w:pPr>
              <w:spacing w:after="0"/>
              <w:rPr>
                <w:sz w:val="20"/>
                <w:szCs w:val="20"/>
                <w:color w:val="auto"/>
              </w:rPr>
            </w:pPr>
            <w:r>
              <w:rPr>
                <w:rFonts w:ascii="Arial" w:cs="Arial" w:eastAsia="Arial" w:hAnsi="Arial"/>
                <w:sz w:val="18"/>
                <w:szCs w:val="18"/>
                <w:color w:val="auto"/>
                <w:w w:val="92"/>
              </w:rPr>
              <w:t>Cost to service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 to $815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Ancillary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 to 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Float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Prepayment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7.02% to 44.43%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Arial" w:cs="Arial" w:eastAsia="Arial" w:hAnsi="Arial"/>
                <w:sz w:val="18"/>
                <w:szCs w:val="18"/>
                <w:color w:val="auto"/>
              </w:rPr>
              <w:t>December 31, 2020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87"/>
              </w:rPr>
              <w:t>Present value of</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10.00% to</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mortgage loan servicing rights</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16,904</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net</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servicing revenue</w:t>
            </w:r>
          </w:p>
        </w:tc>
        <w:tc>
          <w:tcPr>
            <w:tcW w:w="1120" w:type="dxa"/>
            <w:vAlign w:val="bottom"/>
          </w:tcPr>
          <w:p>
            <w:pPr>
              <w:spacing w:after="0"/>
              <w:rPr>
                <w:sz w:val="20"/>
                <w:szCs w:val="20"/>
                <w:color w:val="auto"/>
              </w:rPr>
            </w:pPr>
            <w:r>
              <w:rPr>
                <w:rFonts w:ascii="Arial" w:cs="Arial" w:eastAsia="Arial" w:hAnsi="Arial"/>
                <w:sz w:val="18"/>
                <w:szCs w:val="18"/>
                <w:color w:val="auto"/>
                <w:w w:val="92"/>
              </w:rPr>
              <w:t>Cost to service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 to $289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Ancillary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 to 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Float rate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0"/>
        </w:trPr>
        <w:tc>
          <w:tcPr>
            <w:tcW w:w="4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Prepayment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7.92% to 64.70%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559"/>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192"/>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Asset</w:t>
            </w: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40" w:type="dxa"/>
            <w:vAlign w:val="bottom"/>
          </w:tcPr>
          <w:p>
            <w:pPr>
              <w:spacing w:after="0"/>
              <w:rPr>
                <w:sz w:val="18"/>
                <w:szCs w:val="18"/>
                <w:color w:val="auto"/>
              </w:rPr>
            </w:pPr>
          </w:p>
        </w:tc>
        <w:tc>
          <w:tcPr>
            <w:tcW w:w="1220" w:type="dxa"/>
            <w:vAlign w:val="bottom"/>
          </w:tcPr>
          <w:p>
            <w:pPr>
              <w:ind w:left="280"/>
              <w:spacing w:after="0"/>
              <w:rPr>
                <w:sz w:val="20"/>
                <w:szCs w:val="20"/>
                <w:color w:val="auto"/>
              </w:rPr>
            </w:pPr>
            <w:r>
              <w:rPr>
                <w:rFonts w:ascii="Arial" w:cs="Arial" w:eastAsia="Arial" w:hAnsi="Arial"/>
                <w:sz w:val="18"/>
                <w:szCs w:val="18"/>
                <w:color w:val="auto"/>
              </w:rPr>
              <w:t>Valuation</w:t>
            </w:r>
          </w:p>
        </w:tc>
        <w:tc>
          <w:tcPr>
            <w:tcW w:w="12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w w:val="97"/>
              </w:rPr>
              <w:t>Unobservable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31"/>
        </w:trPr>
        <w:tc>
          <w:tcPr>
            <w:tcW w:w="3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40" w:type="dxa"/>
            <w:vAlign w:val="bottom"/>
          </w:tcPr>
          <w:p>
            <w:pPr>
              <w:spacing w:after="0"/>
              <w:rPr>
                <w:sz w:val="20"/>
                <w:szCs w:val="20"/>
                <w:color w:val="auto"/>
              </w:rPr>
            </w:pPr>
          </w:p>
        </w:tc>
        <w:tc>
          <w:tcPr>
            <w:tcW w:w="1220" w:type="dxa"/>
            <w:vAlign w:val="bottom"/>
          </w:tcPr>
          <w:p>
            <w:pPr>
              <w:ind w:left="260"/>
              <w:spacing w:after="0"/>
              <w:rPr>
                <w:sz w:val="20"/>
                <w:szCs w:val="20"/>
                <w:color w:val="auto"/>
              </w:rPr>
            </w:pPr>
            <w:r>
              <w:rPr>
                <w:rFonts w:ascii="Arial" w:cs="Arial" w:eastAsia="Arial" w:hAnsi="Arial"/>
                <w:sz w:val="18"/>
                <w:szCs w:val="18"/>
                <w:color w:val="auto"/>
              </w:rPr>
              <w:t>Technique</w:t>
            </w:r>
          </w:p>
        </w:tc>
        <w:tc>
          <w:tcPr>
            <w:tcW w:w="120" w:type="dxa"/>
            <w:vAlign w:val="bottom"/>
          </w:tcPr>
          <w:p>
            <w:pPr>
              <w:spacing w:after="0"/>
              <w:rPr>
                <w:sz w:val="20"/>
                <w:szCs w:val="20"/>
                <w:color w:val="auto"/>
              </w:rPr>
            </w:pPr>
          </w:p>
        </w:tc>
        <w:tc>
          <w:tcPr>
            <w:tcW w:w="1220" w:type="dxa"/>
            <w:vAlign w:val="bottom"/>
          </w:tcPr>
          <w:p>
            <w:pPr>
              <w:ind w:left="380"/>
              <w:spacing w:after="0"/>
              <w:rPr>
                <w:sz w:val="20"/>
                <w:szCs w:val="20"/>
                <w:color w:val="auto"/>
              </w:rPr>
            </w:pPr>
            <w:r>
              <w:rPr>
                <w:rFonts w:ascii="Arial" w:cs="Arial" w:eastAsia="Arial" w:hAnsi="Arial"/>
                <w:sz w:val="18"/>
                <w:szCs w:val="18"/>
                <w:color w:val="auto"/>
              </w:rPr>
              <w:t>Inputs</w:t>
            </w:r>
          </w:p>
        </w:tc>
        <w:tc>
          <w:tcPr>
            <w:tcW w:w="100" w:type="dxa"/>
            <w:vAlign w:val="bottom"/>
          </w:tcPr>
          <w:p>
            <w:pPr>
              <w:spacing w:after="0"/>
              <w:rPr>
                <w:sz w:val="20"/>
                <w:szCs w:val="20"/>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Range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23"/>
        </w:trPr>
        <w:tc>
          <w:tcPr>
            <w:tcW w:w="358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1200" w:type="dxa"/>
            <w:vAlign w:val="bottom"/>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58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160"/>
              <w:spacing w:after="0"/>
              <w:rPr>
                <w:sz w:val="20"/>
                <w:szCs w:val="20"/>
                <w:color w:val="auto"/>
              </w:rPr>
            </w:pPr>
            <w:r>
              <w:rPr>
                <w:rFonts w:ascii="Arial" w:cs="Arial" w:eastAsia="Arial" w:hAnsi="Arial"/>
                <w:sz w:val="18"/>
                <w:szCs w:val="18"/>
                <w:color w:val="auto"/>
              </w:rPr>
              <w:t>Collateral dependent loans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 for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differences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comparison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 to 12.0%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Adjustment for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differences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between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comparison</w:t>
            </w: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comparable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320"/>
              <w:spacing w:after="0"/>
              <w:rPr>
                <w:sz w:val="20"/>
                <w:szCs w:val="20"/>
                <w:color w:val="auto"/>
              </w:rPr>
            </w:pPr>
            <w:r>
              <w:rPr>
                <w:rFonts w:ascii="Arial" w:cs="Arial" w:eastAsia="Arial" w:hAnsi="Arial"/>
                <w:sz w:val="18"/>
                <w:szCs w:val="18"/>
                <w:color w:val="auto"/>
              </w:rPr>
              <w:t>Mortgage and Installment(1)</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1,216</w:t>
            </w:r>
          </w:p>
        </w:tc>
        <w:tc>
          <w:tcPr>
            <w:tcW w:w="4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approach</w:t>
            </w:r>
          </w:p>
        </w:tc>
        <w:tc>
          <w:tcPr>
            <w:tcW w:w="12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(24.2) to 76.9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3"/>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20"/>
                <w:szCs w:val="20"/>
                <w:color w:val="auto"/>
              </w:rPr>
            </w:pPr>
            <w:r>
              <w:rPr>
                <w:rFonts w:ascii="Arial" w:cs="Arial" w:eastAsia="Arial" w:hAnsi="Arial"/>
                <w:sz w:val="18"/>
                <w:szCs w:val="18"/>
                <w:color w:val="auto"/>
              </w:rPr>
              <w:t>December 31, 2020</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Collateral dependent loans</w:t>
            </w: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40" w:type="dxa"/>
            <w:vAlign w:val="bottom"/>
            <w:gridSpan w:val="2"/>
          </w:tcPr>
          <w:p>
            <w:pPr>
              <w:ind w:left="120"/>
              <w:spacing w:after="0" w:line="200" w:lineRule="exact"/>
              <w:rPr>
                <w:sz w:val="20"/>
                <w:szCs w:val="20"/>
                <w:color w:val="auto"/>
              </w:rPr>
            </w:pPr>
            <w:r>
              <w:rPr>
                <w:rFonts w:ascii="Arial" w:cs="Arial" w:eastAsia="Arial" w:hAnsi="Arial"/>
                <w:sz w:val="18"/>
                <w:szCs w:val="18"/>
                <w:color w:val="auto"/>
              </w:rPr>
              <w:t>Adjustment for</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differences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between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comparison</w:t>
            </w:r>
          </w:p>
        </w:tc>
        <w:tc>
          <w:tcPr>
            <w:tcW w:w="120" w:type="dxa"/>
            <w:vAlign w:val="bottom"/>
          </w:tcPr>
          <w:p>
            <w:pPr>
              <w:spacing w:after="0"/>
              <w:rPr>
                <w:sz w:val="18"/>
                <w:szCs w:val="18"/>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comparable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tcPr>
          <w:p>
            <w:pPr>
              <w:ind w:left="320"/>
              <w:spacing w:after="0"/>
              <w:rPr>
                <w:sz w:val="20"/>
                <w:szCs w:val="20"/>
                <w:color w:val="auto"/>
              </w:rPr>
            </w:pPr>
            <w:r>
              <w:rPr>
                <w:rFonts w:ascii="Arial" w:cs="Arial" w:eastAsia="Arial" w:hAnsi="Arial"/>
                <w:sz w:val="18"/>
                <w:szCs w:val="18"/>
                <w:color w:val="auto"/>
              </w:rPr>
              <w:t>Commercial</w:t>
            </w:r>
          </w:p>
        </w:tc>
        <w:tc>
          <w:tcPr>
            <w:tcW w:w="1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8,054</w:t>
            </w:r>
          </w:p>
        </w:tc>
        <w:tc>
          <w:tcPr>
            <w:tcW w:w="4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approach</w:t>
            </w:r>
          </w:p>
        </w:tc>
        <w:tc>
          <w:tcPr>
            <w:tcW w:w="120" w:type="dxa"/>
            <w:vAlign w:val="bottom"/>
          </w:tcPr>
          <w:p>
            <w:pPr>
              <w:spacing w:after="0"/>
              <w:rPr>
                <w:sz w:val="19"/>
                <w:szCs w:val="19"/>
                <w:color w:val="auto"/>
              </w:rPr>
            </w:pPr>
          </w:p>
        </w:tc>
        <w:tc>
          <w:tcPr>
            <w:tcW w:w="1220" w:type="dxa"/>
            <w:vAlign w:val="bottom"/>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(40.0)% to 75.0%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Adjustment for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differences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comparison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 and Installment(1)</w:t>
            </w: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 to 104.6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2"/>
        </w:trPr>
        <w:tc>
          <w:tcPr>
            <w:tcW w:w="3580" w:type="dxa"/>
            <w:vAlign w:val="bottom"/>
          </w:tcPr>
          <w:p>
            <w:pPr>
              <w:ind w:left="160"/>
              <w:spacing w:after="0"/>
              <w:rPr>
                <w:sz w:val="20"/>
                <w:szCs w:val="20"/>
                <w:color w:val="auto"/>
              </w:rPr>
            </w:pPr>
            <w:r>
              <w:rPr>
                <w:rFonts w:ascii="Arial" w:cs="Arial" w:eastAsia="Arial" w:hAnsi="Arial"/>
                <w:sz w:val="18"/>
                <w:szCs w:val="18"/>
                <w:color w:val="auto"/>
              </w:rPr>
              <w:t>Other real estate</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8"/>
                <w:szCs w:val="18"/>
                <w:color w:val="auto"/>
              </w:rPr>
              <w:t>Adjustment for</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differences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comparison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comparable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Mortgage</w:t>
            </w: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approach</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 to 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320" w:hanging="314"/>
        <w:spacing w:after="0" w:line="255"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valuation techniques and unobservable inputs discussed above, at September 30, 2021 and December 31, 2020 certain collateral dependent installment loans totaling approximately $0.19 million and $0.16 million, respectively are secured by collateral other than real estate. For the majority of these loans, we apply internal discount rates to industry valuation guides.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Aggregate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231"/>
        </w:trPr>
        <w:tc>
          <w:tcPr>
            <w:tcW w:w="3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w:t>
            </w:r>
          </w:p>
        </w:tc>
        <w:tc>
          <w:tcPr>
            <w:tcW w:w="0" w:type="dxa"/>
            <w:vAlign w:val="bottom"/>
          </w:tcPr>
          <w:p>
            <w:pPr>
              <w:spacing w:after="0"/>
              <w:rPr>
                <w:sz w:val="1"/>
                <w:szCs w:val="1"/>
                <w:color w:val="auto"/>
              </w:rPr>
            </w:pPr>
          </w:p>
        </w:tc>
      </w:tr>
      <w:tr>
        <w:trPr>
          <w:trHeight w:val="223"/>
        </w:trPr>
        <w:tc>
          <w:tcPr>
            <w:tcW w:w="3560" w:type="dxa"/>
            <w:vAlign w:val="bottom"/>
            <w:vMerge w:val="restart"/>
          </w:tcPr>
          <w:p>
            <w:pPr>
              <w:spacing w:after="0"/>
              <w:rPr>
                <w:sz w:val="20"/>
                <w:szCs w:val="20"/>
                <w:color w:val="auto"/>
              </w:rPr>
            </w:pPr>
            <w:r>
              <w:rPr>
                <w:rFonts w:ascii="Arial" w:cs="Arial" w:eastAsia="Arial" w:hAnsi="Arial"/>
                <w:sz w:val="18"/>
                <w:szCs w:val="18"/>
                <w:color w:val="auto"/>
              </w:rPr>
              <w:t>Loans held for sale</w:t>
            </w:r>
          </w:p>
        </w:tc>
        <w:tc>
          <w:tcPr>
            <w:tcW w:w="3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(In thousands)</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60" w:type="dxa"/>
            <w:vAlign w:val="bottom"/>
            <w:vMerge w:val="continue"/>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2021</w:t>
            </w:r>
          </w:p>
        </w:tc>
        <w:tc>
          <w:tcPr>
            <w:tcW w:w="3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77,174</w:t>
            </w:r>
          </w:p>
        </w:tc>
        <w:tc>
          <w:tcPr>
            <w:tcW w:w="0" w:type="dxa"/>
            <w:vAlign w:val="bottom"/>
          </w:tcPr>
          <w:p>
            <w:pPr>
              <w:spacing w:after="0"/>
              <w:rPr>
                <w:sz w:val="1"/>
                <w:szCs w:val="1"/>
                <w:color w:val="auto"/>
              </w:rPr>
            </w:pPr>
          </w:p>
        </w:tc>
      </w:tr>
      <w:tr>
        <w:trPr>
          <w:trHeight w:val="223"/>
        </w:trPr>
        <w:tc>
          <w:tcPr>
            <w:tcW w:w="3560" w:type="dxa"/>
            <w:vAlign w:val="bottom"/>
          </w:tcPr>
          <w:p>
            <w:pPr>
              <w:ind w:left="140"/>
              <w:spacing w:after="0"/>
              <w:rPr>
                <w:sz w:val="20"/>
                <w:szCs w:val="20"/>
                <w:color w:val="auto"/>
              </w:rPr>
            </w:pPr>
            <w:r>
              <w:rPr>
                <w:rFonts w:ascii="Arial" w:cs="Arial" w:eastAsia="Arial" w:hAnsi="Arial"/>
                <w:sz w:val="18"/>
                <w:szCs w:val="18"/>
                <w:color w:val="auto"/>
              </w:rPr>
              <w:t>December 31, 2020</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92,434</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88,578</w:t>
            </w:r>
          </w:p>
        </w:tc>
        <w:tc>
          <w:tcPr>
            <w:tcW w:w="0" w:type="dxa"/>
            <w:vAlign w:val="bottom"/>
          </w:tcPr>
          <w:p>
            <w:pPr>
              <w:spacing w:after="0"/>
              <w:rPr>
                <w:sz w:val="1"/>
                <w:szCs w:val="1"/>
                <w:color w:val="auto"/>
              </w:rPr>
            </w:pPr>
          </w:p>
        </w:tc>
      </w:tr>
      <w:tr>
        <w:trPr>
          <w:trHeight w:val="547"/>
        </w:trPr>
        <w:tc>
          <w:tcPr>
            <w:tcW w:w="3560" w:type="dxa"/>
            <w:vAlign w:val="bottom"/>
          </w:tcPr>
          <w:p>
            <w:pPr>
              <w:spacing w:after="0"/>
              <w:rPr>
                <w:sz w:val="24"/>
                <w:szCs w:val="24"/>
                <w:color w:val="auto"/>
              </w:rPr>
            </w:pPr>
          </w:p>
        </w:tc>
        <w:tc>
          <w:tcPr>
            <w:tcW w:w="3760" w:type="dxa"/>
            <w:vAlign w:val="bottom"/>
          </w:tcPr>
          <w:p>
            <w:pPr>
              <w:jc w:val="right"/>
              <w:ind w:right="1541"/>
              <w:spacing w:after="0"/>
              <w:rPr>
                <w:sz w:val="20"/>
                <w:szCs w:val="20"/>
                <w:color w:val="auto"/>
              </w:rPr>
            </w:pPr>
            <w:r>
              <w:rPr>
                <w:rFonts w:ascii="Arial" w:cs="Arial" w:eastAsia="Arial" w:hAnsi="Arial"/>
                <w:sz w:val="14"/>
                <w:szCs w:val="14"/>
                <w:color w:val="auto"/>
              </w:rPr>
              <w:t>55</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6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Fair Values of Financial Instruments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20"/>
                <w:szCs w:val="20"/>
                <w:color w:val="auto"/>
              </w:rPr>
            </w:pPr>
            <w:r>
              <w:rPr>
                <w:rFonts w:ascii="Arial" w:cs="Arial" w:eastAsia="Arial" w:hAnsi="Arial"/>
                <w:sz w:val="18"/>
                <w:szCs w:val="18"/>
                <w:color w:val="auto"/>
                <w:w w:val="93"/>
              </w:rPr>
              <w:t>The estimated recorded book balances and fair values follow:</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color w:val="auto"/>
                <w:w w:val="90"/>
              </w:rPr>
              <w:t>Fair Value Using</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line="200" w:lineRule="exact"/>
              <w:rPr>
                <w:sz w:val="20"/>
                <w:szCs w:val="20"/>
                <w:color w:val="auto"/>
              </w:rPr>
            </w:pPr>
            <w:r>
              <w:rPr>
                <w:rFonts w:ascii="Arial" w:cs="Arial" w:eastAsia="Arial" w:hAnsi="Arial"/>
                <w:sz w:val="18"/>
                <w:szCs w:val="18"/>
                <w:color w:val="auto"/>
                <w:w w:val="87"/>
              </w:rPr>
              <w:t>Quoted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Prices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Markets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Significant</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rPr>
              <w:t>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Other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Un-</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Recorded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Observable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observable</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Book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Inputs</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1"/>
        </w:trPr>
        <w:tc>
          <w:tcPr>
            <w:tcW w:w="4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4"/>
              </w:rPr>
              <w:t>(Level 2)</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1"/>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vMerge w:val="restart"/>
          </w:tcPr>
          <w:p>
            <w:pPr>
              <w:spacing w:after="0"/>
              <w:rPr>
                <w:sz w:val="20"/>
                <w:szCs w:val="20"/>
                <w:color w:val="auto"/>
              </w:rPr>
            </w:pPr>
            <w:r>
              <w:rPr>
                <w:rFonts w:ascii="Arial" w:cs="Arial" w:eastAsia="Arial" w:hAnsi="Arial"/>
                <w:sz w:val="18"/>
                <w:szCs w:val="18"/>
                <w:color w:val="auto"/>
              </w:rPr>
              <w:t>September 30, 2021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color w:val="auto"/>
                <w:w w:val="99"/>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140"/>
              <w:spacing w:after="0"/>
              <w:rPr>
                <w:sz w:val="20"/>
                <w:szCs w:val="20"/>
                <w:color w:val="auto"/>
              </w:rPr>
            </w:pPr>
            <w:r>
              <w:rPr>
                <w:rFonts w:ascii="Arial" w:cs="Arial" w:eastAsia="Arial" w:hAnsi="Arial"/>
                <w:sz w:val="18"/>
                <w:szCs w:val="18"/>
                <w:color w:val="auto"/>
              </w:rPr>
              <w:t>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due from banks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Interest bearing deposits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75,675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75,675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75,675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available for sale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1,348,378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1,348,378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1,348,378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w w:val="89"/>
              </w:rPr>
              <w:t>Federal Home Loan Bank and Federal Reserve Bank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loans and loans held for sale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2,915,910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2,949,021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2,870,290</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Accrued interest receivable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12,721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5,691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7,028</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Deposits with no stated maturity (1)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3,661,774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3,661,774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3,661,774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stated maturity (1)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350,294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351,269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351,269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Other borrowings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30,007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30,333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30,333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Subordinated debentures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29,474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29,474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payable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6,583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spacing w:after="0"/>
              <w:rPr>
                <w:sz w:val="20"/>
                <w:szCs w:val="20"/>
                <w:color w:val="auto"/>
              </w:rPr>
            </w:pPr>
            <w:r>
              <w:rPr>
                <w:rFonts w:ascii="Arial" w:cs="Arial" w:eastAsia="Arial" w:hAnsi="Arial"/>
                <w:sz w:val="18"/>
                <w:szCs w:val="18"/>
                <w:color w:val="auto"/>
              </w:rPr>
              <w:t>December 31,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Cash and due from banks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56,006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56,006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56,006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bearing deposits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Securities available for sale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1,072,159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1,072,159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1,072,159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Federal Home Loan Bank and Federal Reserve Bank Stock</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Net loans and loans held for sale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2,790,683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2,794,058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92,434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2,701,624</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receivable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Derivative financial instruments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16,782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16,782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Deposits with no stated maturity (1)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3,198,338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3,198,338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3,198,338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Deposits with stated maturity (1)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439,017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441,457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441,457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borrowings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30,844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Subordinated debt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39,281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41,417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41,417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Subordinated debentures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tcPr>
          <w:p>
            <w:pPr>
              <w:ind w:left="320"/>
              <w:spacing w:after="0"/>
              <w:rPr>
                <w:sz w:val="20"/>
                <w:szCs w:val="20"/>
                <w:color w:val="auto"/>
              </w:rPr>
            </w:pPr>
            <w:r>
              <w:rPr>
                <w:rFonts w:ascii="Arial" w:cs="Arial" w:eastAsia="Arial" w:hAnsi="Arial"/>
                <w:sz w:val="18"/>
                <w:szCs w:val="18"/>
                <w:color w:val="auto"/>
              </w:rPr>
              <w:t>Accrued interest payable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Derivative financial instruments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320" w:hanging="314"/>
        <w:spacing w:after="0" w:line="255"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$560.915 million and $518.400 million at September 30, 2021 and December 31, 2020, respectively. Deposits with a stated maturity include reciprocal deposits with a recorded book balance of $35.278 million and $37.785 million at September 30, 2021 and December 31, 2020,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81" w:lineRule="exact"/>
        <w:rPr>
          <w:sz w:val="20"/>
          <w:szCs w:val="20"/>
          <w:color w:val="auto"/>
        </w:rPr>
      </w:pPr>
    </w:p>
    <w:p>
      <w:pPr>
        <w:ind w:left="320" w:hanging="314"/>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Pandemic</w:t>
      </w:r>
    </w:p>
    <w:p>
      <w:pPr>
        <w:spacing w:after="0" w:line="21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COVID-19 pandemic and the related government restrictions and guidance have had and may continue to have a significant effect on us, our customers, and the markets we serve. Since the U.S. Food and Drug Administration (FDA) issued its first emergency use authorization for a COVID-19 vaccine on December 11, 2020, the Centers for Disease Control and Prevention (“CDC”) reports that almost 80% of the adult population in the U.S. has received at least one vaccination as of October 24, 2021. According to data reported by the State of Michigan as of October 22, 2021, 68.5% of Michigan residents ages 16 and older have had at least one vaccination. Widespread vaccinations have slowed the spread of the virus.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to financial and other markets, including as a result of concerns relating to possible variants of the original virus.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81" w:lineRule="exact"/>
        <w:rPr>
          <w:sz w:val="20"/>
          <w:szCs w:val="20"/>
          <w:color w:val="auto"/>
        </w:rPr>
      </w:pPr>
    </w:p>
    <w:p>
      <w:pPr>
        <w:ind w:left="640" w:hanging="316"/>
        <w:spacing w:after="0" w:line="25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encountered by our business customers in addressing the effects of the pandemic may cause increases in loan delinquencies, foreclosures and defaults;</w:t>
      </w: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there is increased cyber and payment fraud risk, as cybercriminals attempt to profit from the disruption, given increased online and remote activity;</w:t>
      </w:r>
    </w:p>
    <w:p>
      <w:pPr>
        <w:spacing w:after="0" w:line="39" w:lineRule="exact"/>
        <w:rPr>
          <w:rFonts w:ascii="Arial" w:cs="Arial" w:eastAsia="Arial" w:hAnsi="Arial"/>
          <w:sz w:val="15"/>
          <w:szCs w:val="15"/>
          <w:color w:val="auto"/>
        </w:rPr>
      </w:pPr>
    </w:p>
    <w:p>
      <w:pPr>
        <w:ind w:left="640" w:hanging="316"/>
        <w:spacing w:after="0" w:line="245"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extent to which the COVID-19 pandemic may impact our business, results of operations and financial condition will depend on future developments, which continue to be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know the potential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Certain industries (such as hotels and restaurants) have been more adversely impacted by the COVID-19 pandemic and related periodic shutdowns of our economy. We believe that the following industry concentrations within our commercial loan portfolio represent greater potential risk in the current economic environment. The balances below are as of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212"/>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1"/>
        </w:trPr>
        <w:tc>
          <w:tcPr>
            <w:tcW w:w="8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Amount</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Loans</w:t>
            </w:r>
          </w:p>
        </w:tc>
        <w:tc>
          <w:tcPr>
            <w:tcW w:w="0" w:type="dxa"/>
            <w:vAlign w:val="bottom"/>
          </w:tcPr>
          <w:p>
            <w:pPr>
              <w:spacing w:after="0"/>
              <w:rPr>
                <w:sz w:val="1"/>
                <w:szCs w:val="1"/>
                <w:color w:val="auto"/>
              </w:rPr>
            </w:pPr>
          </w:p>
        </w:tc>
      </w:tr>
      <w:tr>
        <w:trPr>
          <w:trHeight w:val="223"/>
        </w:trPr>
        <w:tc>
          <w:tcPr>
            <w:tcW w:w="8640" w:type="dxa"/>
            <w:vAlign w:val="bottom"/>
            <w:vMerge w:val="restart"/>
          </w:tcPr>
          <w:p>
            <w:pPr>
              <w:spacing w:after="0"/>
              <w:rPr>
                <w:sz w:val="20"/>
                <w:szCs w:val="20"/>
                <w:color w:val="auto"/>
              </w:rPr>
            </w:pPr>
            <w:r>
              <w:rPr>
                <w:rFonts w:ascii="Arial" w:cs="Arial" w:eastAsia="Arial" w:hAnsi="Arial"/>
                <w:sz w:val="18"/>
                <w:szCs w:val="18"/>
                <w:color w:val="auto"/>
              </w:rPr>
              <w:t>Commercial and industrial portfolio segment:</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in</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millions)</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Food service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2"/>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Commercial real estate portfolio segment: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Office</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Multifamily</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8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2021, we had no commercial loans in forbearance. However, we continue to closely monitor these industry concentrations and at present do not foresee any significant losses relative to this portion of our loan portfolio given the current economic conditions in Michigan and the fact that many businesses have reopened. However, a high degree of uncertainty still exists with respect to the impact of the COVID-19 pandemic and the related economic disruptions on the future performance of our loan portfolio, including these concentrations.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79"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Reimbursement Obligations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provision for loss reimbursement on sold loans represents our estimate of incurred losses related to mortgage loans that we have sold to investors (primarily Fannie Mae, Freddie Mac, Ginnie Mae and the Federal Home Loan Bank of Indianapolis). Since we sell mortgage loans without recourse, loss reimbursements only occur in those instances where we have breached a representation or warranty or other contractual requirement related to the loan sale. The provision for loss reimbursement on sold loans was an expense of $0.04 million and $0.05 million for the three month periods ended September 30, 2021 and 2020 and an expense of $0.10 million and $0.16 million for the nine month periods ended September 30, 2021 and 2020, respectively. The reserve for loss reimbursements on sold mortgage loans totaled $1.12 million and $1.02 million at September 30, 2021 and December 31, 2020, respectively. This reserve is included in accrued expenses and other liabilities in our Condensed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We believe that the amounts that we have accrued for incurred losses on sold mortgage loans are appropriate given our analyses. However, future losses could exceed our current estimate.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Stock</w:t>
      </w:r>
    </w:p>
    <w:p>
      <w:pPr>
        <w:spacing w:after="0" w:line="217"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1.6228 Class A shares for every 1 Class B share and the closing price of VISA Class A shares on September 30, 2021 of $222.75 per share, our 12,566 Class B shares would have a current “value” of approximately $4.5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ind w:right="6440" w:firstLine="6"/>
        <w:spacing w:after="0" w:line="491" w:lineRule="auto"/>
        <w:tabs>
          <w:tab w:leader="none" w:pos="31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 xml:space="preserve">Accumulated Other Comprehensive Income (Loss) (“AOCIL”) </w:t>
      </w:r>
      <w:r>
        <w:rPr>
          <w:rFonts w:ascii="Arial" w:cs="Arial" w:eastAsia="Arial" w:hAnsi="Arial"/>
          <w:sz w:val="18"/>
          <w:szCs w:val="18"/>
          <w:color w:val="auto"/>
        </w:rPr>
        <w:t>A summary of changes in AOCIL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Dispropor-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tionate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Tax Effects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Gains 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from</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Securities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Losses 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Available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Cash Flow</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for Sale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for Sale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6"/>
              </w:rPr>
              <w:t>Hedges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spacing w:after="0"/>
              <w:rPr>
                <w:sz w:val="20"/>
                <w:szCs w:val="20"/>
                <w:color w:val="auto"/>
              </w:rPr>
            </w:pPr>
            <w:r>
              <w:rPr>
                <w:rFonts w:ascii="Arial" w:cs="Arial" w:eastAsia="Arial" w:hAnsi="Arial"/>
                <w:sz w:val="18"/>
                <w:szCs w:val="18"/>
                <w:color w:val="auto"/>
              </w:rPr>
              <w:t>For the three months ended September 30, 2021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Amounts reclassified from AOCIL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596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Balances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11,315</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18"/>
        </w:trPr>
        <w:tc>
          <w:tcPr>
            <w:tcW w:w="5960" w:type="dxa"/>
            <w:vAlign w:val="bottom"/>
          </w:tcPr>
          <w:p>
            <w:pPr>
              <w:ind w:left="320"/>
              <w:spacing w:after="0"/>
              <w:rPr>
                <w:sz w:val="20"/>
                <w:szCs w:val="20"/>
                <w:color w:val="auto"/>
              </w:rPr>
            </w:pPr>
            <w:r>
              <w:rPr>
                <w:rFonts w:ascii="Arial" w:cs="Arial" w:eastAsia="Arial" w:hAnsi="Arial"/>
                <w:sz w:val="18"/>
                <w:szCs w:val="18"/>
                <w:color w:val="auto"/>
              </w:rPr>
              <w:t>Amounts reclassified from AOCIL</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8"/>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Balances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For the nine months ended September 30,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Balances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Amounts reclassified from AOCIL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5960" w:type="dxa"/>
            <w:vAlign w:val="bottom"/>
          </w:tcPr>
          <w:p>
            <w:pPr>
              <w:ind w:left="480"/>
              <w:spacing w:after="0"/>
              <w:rPr>
                <w:sz w:val="20"/>
                <w:szCs w:val="20"/>
                <w:color w:val="auto"/>
              </w:rPr>
            </w:pPr>
            <w:r>
              <w:rPr>
                <w:rFonts w:ascii="Arial" w:cs="Arial" w:eastAsia="Arial" w:hAnsi="Arial"/>
                <w:sz w:val="18"/>
                <w:szCs w:val="18"/>
                <w:color w:val="auto"/>
              </w:rPr>
              <w:t>Net current period other comprehensive loss</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52"/>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Balances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12,896</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Balances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3,739</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(1,727)</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w:t>
            </w:r>
          </w:p>
        </w:tc>
        <w:tc>
          <w:tcPr>
            <w:tcW w:w="0" w:type="dxa"/>
            <w:vAlign w:val="bottom"/>
          </w:tcPr>
          <w:p>
            <w:pPr>
              <w:spacing w:after="0"/>
              <w:rPr>
                <w:sz w:val="1"/>
                <w:szCs w:val="1"/>
                <w:color w:val="auto"/>
              </w:rPr>
            </w:pPr>
          </w:p>
        </w:tc>
      </w:tr>
      <w:tr>
        <w:trPr>
          <w:trHeight w:val="219"/>
        </w:trPr>
        <w:tc>
          <w:tcPr>
            <w:tcW w:w="5960" w:type="dxa"/>
            <w:vAlign w:val="bottom"/>
          </w:tcPr>
          <w:p>
            <w:pPr>
              <w:ind w:left="320"/>
              <w:spacing w:after="0"/>
              <w:rPr>
                <w:sz w:val="20"/>
                <w:szCs w:val="20"/>
                <w:color w:val="auto"/>
              </w:rPr>
            </w:pPr>
            <w:r>
              <w:rPr>
                <w:rFonts w:ascii="Arial" w:cs="Arial" w:eastAsia="Arial" w:hAnsi="Arial"/>
                <w:sz w:val="18"/>
                <w:szCs w:val="18"/>
                <w:color w:val="auto"/>
              </w:rPr>
              <w:t>Amounts reclassified from AOCIL</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8"/>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Balances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(5,798)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available for sale.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three months ended September 30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Amount</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Reclassified</w:t>
            </w: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From</w:t>
            </w:r>
          </w:p>
        </w:tc>
        <w:tc>
          <w:tcPr>
            <w:tcW w:w="4940" w:type="dxa"/>
            <w:vAlign w:val="bottom"/>
          </w:tcPr>
          <w:p>
            <w:pPr>
              <w:ind w:left="1300"/>
              <w:spacing w:after="0"/>
              <w:rPr>
                <w:sz w:val="20"/>
                <w:szCs w:val="20"/>
                <w:color w:val="auto"/>
              </w:rPr>
            </w:pPr>
            <w:r>
              <w:rPr>
                <w:rFonts w:ascii="Arial" w:cs="Arial" w:eastAsia="Arial" w:hAnsi="Arial"/>
                <w:sz w:val="18"/>
                <w:szCs w:val="18"/>
                <w:color w:val="auto"/>
              </w:rPr>
              <w:t>Affected Line Item in Condensed</w:t>
            </w:r>
          </w:p>
        </w:tc>
        <w:tc>
          <w:tcPr>
            <w:tcW w:w="0" w:type="dxa"/>
            <w:vAlign w:val="bottom"/>
          </w:tcPr>
          <w:p>
            <w:pPr>
              <w:spacing w:after="0"/>
              <w:rPr>
                <w:sz w:val="1"/>
                <w:szCs w:val="1"/>
                <w:color w:val="auto"/>
              </w:rPr>
            </w:pPr>
          </w:p>
        </w:tc>
      </w:tr>
      <w:tr>
        <w:trPr>
          <w:trHeight w:val="231"/>
        </w:trPr>
        <w:tc>
          <w:tcPr>
            <w:tcW w:w="5180" w:type="dxa"/>
            <w:vAlign w:val="bottom"/>
            <w:gridSpan w:val="3"/>
          </w:tcPr>
          <w:p>
            <w:pPr>
              <w:jc w:val="right"/>
              <w:ind w:right="1920"/>
              <w:spacing w:after="0"/>
              <w:rPr>
                <w:sz w:val="20"/>
                <w:szCs w:val="20"/>
                <w:color w:val="auto"/>
              </w:rPr>
            </w:pPr>
            <w:r>
              <w:rPr>
                <w:rFonts w:ascii="Arial" w:cs="Arial" w:eastAsia="Arial" w:hAnsi="Arial"/>
                <w:sz w:val="18"/>
                <w:szCs w:val="18"/>
                <w:color w:val="auto"/>
              </w:rPr>
              <w:t>AOCIL Component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AOCIL</w:t>
            </w:r>
          </w:p>
        </w:tc>
        <w:tc>
          <w:tcPr>
            <w:tcW w:w="4940" w:type="dxa"/>
            <w:vAlign w:val="bottom"/>
          </w:tcPr>
          <w:p>
            <w:pPr>
              <w:ind w:left="1120"/>
              <w:spacing w:after="0"/>
              <w:rPr>
                <w:sz w:val="20"/>
                <w:szCs w:val="20"/>
                <w:color w:val="auto"/>
              </w:rPr>
            </w:pPr>
            <w:r>
              <w:rPr>
                <w:rFonts w:ascii="Arial" w:cs="Arial" w:eastAsia="Arial" w:hAnsi="Arial"/>
                <w:sz w:val="18"/>
                <w:szCs w:val="18"/>
                <w:color w:val="auto"/>
              </w:rPr>
              <w:t>Consolidated Statements of Operations</w:t>
            </w:r>
          </w:p>
        </w:tc>
        <w:tc>
          <w:tcPr>
            <w:tcW w:w="0" w:type="dxa"/>
            <w:vAlign w:val="bottom"/>
          </w:tcPr>
          <w:p>
            <w:pPr>
              <w:spacing w:after="0"/>
              <w:rPr>
                <w:sz w:val="1"/>
                <w:szCs w:val="1"/>
                <w:color w:val="auto"/>
              </w:rPr>
            </w:pPr>
          </w:p>
        </w:tc>
      </w:tr>
      <w:tr>
        <w:trPr>
          <w:trHeight w:val="223"/>
        </w:trPr>
        <w:tc>
          <w:tcPr>
            <w:tcW w:w="4960" w:type="dxa"/>
            <w:vAlign w:val="bottom"/>
            <w:tcBorders>
              <w:top w:val="single" w:sz="8" w:color="auto"/>
            </w:tcBorders>
            <w:vMerge w:val="restart"/>
          </w:tcPr>
          <w:p>
            <w:pPr>
              <w:jc w:val="right"/>
              <w:ind w:right="4512"/>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9"/>
                <w:szCs w:val="19"/>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19"/>
                <w:szCs w:val="19"/>
                <w:color w:val="auto"/>
              </w:rPr>
            </w:pPr>
          </w:p>
        </w:tc>
        <w:tc>
          <w:tcPr>
            <w:tcW w:w="4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80" w:type="dxa"/>
            <w:vAlign w:val="bottom"/>
            <w:gridSpan w:val="3"/>
          </w:tcPr>
          <w:p>
            <w:pPr>
              <w:ind w:left="16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 available for sale</w:t>
            </w: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2"/>
        </w:trPr>
        <w:tc>
          <w:tcPr>
            <w:tcW w:w="5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jc w:val="right"/>
              <w:ind w:right="4512"/>
              <w:spacing w:after="0"/>
              <w:rPr>
                <w:sz w:val="20"/>
                <w:szCs w:val="20"/>
                <w:color w:val="auto"/>
              </w:rPr>
            </w:pPr>
            <w:r>
              <w:rPr>
                <w:rFonts w:ascii="Arial" w:cs="Arial" w:eastAsia="Arial" w:hAnsi="Arial"/>
                <w:sz w:val="18"/>
                <w:szCs w:val="18"/>
                <w:color w:val="auto"/>
                <w:w w:val="84"/>
              </w:rPr>
              <w:t>2020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gridSpan w:val="3"/>
          </w:tcPr>
          <w:p>
            <w:pPr>
              <w:ind w:left="160"/>
              <w:spacing w:after="0"/>
              <w:rPr>
                <w:sz w:val="20"/>
                <w:szCs w:val="20"/>
                <w:color w:val="auto"/>
              </w:rPr>
            </w:pPr>
            <w:r>
              <w:rPr>
                <w:rFonts w:ascii="Arial" w:cs="Arial" w:eastAsia="Arial" w:hAnsi="Arial"/>
                <w:sz w:val="18"/>
                <w:szCs w:val="18"/>
                <w:color w:val="auto"/>
              </w:rPr>
              <w:t>Unrealized gains on securities available for sale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on securities available for sale</w:t>
            </w:r>
          </w:p>
        </w:tc>
        <w:tc>
          <w:tcPr>
            <w:tcW w:w="0" w:type="dxa"/>
            <w:vAlign w:val="bottom"/>
          </w:tcPr>
          <w:p>
            <w:pPr>
              <w:spacing w:after="0"/>
              <w:rPr>
                <w:sz w:val="1"/>
                <w:szCs w:val="1"/>
                <w:color w:val="auto"/>
              </w:rPr>
            </w:pPr>
          </w:p>
        </w:tc>
      </w:tr>
      <w:tr>
        <w:trPr>
          <w:trHeight w:val="218"/>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Net impairment loss recognized in earnings</w:t>
            </w:r>
          </w:p>
        </w:tc>
        <w:tc>
          <w:tcPr>
            <w:tcW w:w="0" w:type="dxa"/>
            <w:vAlign w:val="bottom"/>
          </w:tcPr>
          <w:p>
            <w:pPr>
              <w:spacing w:after="0"/>
              <w:rPr>
                <w:sz w:val="1"/>
                <w:szCs w:val="1"/>
                <w:color w:val="auto"/>
              </w:rPr>
            </w:pPr>
          </w:p>
        </w:tc>
      </w:tr>
      <w:tr>
        <w:trPr>
          <w:trHeight w:val="212"/>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before tax</w:t>
            </w:r>
          </w:p>
        </w:tc>
        <w:tc>
          <w:tcPr>
            <w:tcW w:w="0" w:type="dxa"/>
            <w:vAlign w:val="bottom"/>
          </w:tcPr>
          <w:p>
            <w:pPr>
              <w:spacing w:after="0"/>
              <w:rPr>
                <w:sz w:val="1"/>
                <w:szCs w:val="1"/>
                <w:color w:val="auto"/>
              </w:rPr>
            </w:pPr>
          </w:p>
        </w:tc>
      </w:tr>
      <w:tr>
        <w:trPr>
          <w:trHeight w:val="219"/>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52"/>
        </w:trPr>
        <w:tc>
          <w:tcPr>
            <w:tcW w:w="508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 net of tax</w:t>
            </w:r>
          </w:p>
        </w:tc>
        <w:tc>
          <w:tcPr>
            <w:tcW w:w="0" w:type="dxa"/>
            <w:vAlign w:val="bottom"/>
          </w:tcPr>
          <w:p>
            <w:pPr>
              <w:spacing w:after="0"/>
              <w:rPr>
                <w:sz w:val="1"/>
                <w:szCs w:val="1"/>
                <w:color w:val="auto"/>
              </w:rPr>
            </w:pPr>
          </w:p>
        </w:tc>
      </w:tr>
      <w:tr>
        <w:trPr>
          <w:trHeight w:val="205"/>
        </w:trPr>
        <w:tc>
          <w:tcPr>
            <w:tcW w:w="518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49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8"/>
        </w:trPr>
        <w:tc>
          <w:tcPr>
            <w:tcW w:w="4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2"/>
        </w:trPr>
        <w:tc>
          <w:tcPr>
            <w:tcW w:w="50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245</w:t>
            </w:r>
          </w:p>
        </w:tc>
        <w:tc>
          <w:tcPr>
            <w:tcW w:w="4940" w:type="dxa"/>
            <w:vAlign w:val="bottom"/>
          </w:tcPr>
          <w:p>
            <w:pPr>
              <w:ind w:left="40"/>
              <w:spacing w:after="0"/>
              <w:rPr>
                <w:sz w:val="20"/>
                <w:szCs w:val="20"/>
                <w:color w:val="auto"/>
              </w:rPr>
            </w:pPr>
            <w:r>
              <w:rPr>
                <w:rFonts w:ascii="Arial" w:cs="Arial" w:eastAsia="Arial" w:hAnsi="Arial"/>
                <w:sz w:val="18"/>
                <w:szCs w:val="18"/>
                <w:color w:val="auto"/>
              </w:rPr>
              <w:t>Reclassification, net of tax</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180" w:type="dxa"/>
            <w:vAlign w:val="bottom"/>
            <w:gridSpan w:val="3"/>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4940" w:type="dxa"/>
            <w:vAlign w:val="bottom"/>
          </w:tcPr>
          <w:p>
            <w:pPr>
              <w:ind w:left="40"/>
              <w:spacing w:after="0"/>
              <w:rPr>
                <w:sz w:val="20"/>
                <w:szCs w:val="20"/>
                <w:color w:val="auto"/>
              </w:rPr>
            </w:pPr>
            <w:r>
              <w:rPr>
                <w:rFonts w:ascii="Arial" w:cs="Arial" w:eastAsia="Arial" w:hAnsi="Arial"/>
                <w:sz w:val="18"/>
                <w:szCs w:val="18"/>
                <w:color w:val="auto"/>
              </w:rPr>
              <w:t>Total reclassifications for the period, net of tax</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3"/>
              <w:spacing w:after="0"/>
              <w:rPr>
                <w:sz w:val="20"/>
                <w:szCs w:val="20"/>
                <w:color w:val="auto"/>
              </w:rPr>
            </w:pPr>
            <w:r>
              <w:rPr>
                <w:rFonts w:ascii="Arial" w:cs="Arial" w:eastAsia="Arial" w:hAnsi="Arial"/>
                <w:sz w:val="14"/>
                <w:szCs w:val="14"/>
                <w:color w:val="auto"/>
                <w:w w:val="89"/>
              </w:rPr>
              <w:t>63</w:t>
            </w:r>
          </w:p>
        </w:tc>
        <w:tc>
          <w:tcPr>
            <w:tcW w:w="1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each component of AOCIL for the nine months ended September 30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Reclassified</w:t>
            </w:r>
          </w:p>
        </w:tc>
        <w:tc>
          <w:tcPr>
            <w:tcW w:w="1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From</w:t>
            </w:r>
          </w:p>
        </w:tc>
        <w:tc>
          <w:tcPr>
            <w:tcW w:w="1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Affected Line Item in Condensed</w:t>
            </w:r>
          </w:p>
        </w:tc>
        <w:tc>
          <w:tcPr>
            <w:tcW w:w="0" w:type="dxa"/>
            <w:vAlign w:val="bottom"/>
          </w:tcPr>
          <w:p>
            <w:pPr>
              <w:spacing w:after="0"/>
              <w:rPr>
                <w:sz w:val="1"/>
                <w:szCs w:val="1"/>
                <w:color w:val="auto"/>
              </w:rPr>
            </w:pPr>
          </w:p>
        </w:tc>
      </w:tr>
      <w:tr>
        <w:trPr>
          <w:trHeight w:val="231"/>
        </w:trPr>
        <w:tc>
          <w:tcPr>
            <w:tcW w:w="4960" w:type="dxa"/>
            <w:vAlign w:val="bottom"/>
            <w:tcBorders>
              <w:bottom w:val="single" w:sz="8" w:color="auto"/>
            </w:tcBorders>
          </w:tcPr>
          <w:p>
            <w:pPr>
              <w:jc w:val="right"/>
              <w:ind w:right="1692"/>
              <w:spacing w:after="0"/>
              <w:rPr>
                <w:sz w:val="20"/>
                <w:szCs w:val="20"/>
                <w:color w:val="auto"/>
              </w:rPr>
            </w:pPr>
            <w:r>
              <w:rPr>
                <w:rFonts w:ascii="Arial" w:cs="Arial" w:eastAsia="Arial" w:hAnsi="Arial"/>
                <w:sz w:val="18"/>
                <w:szCs w:val="18"/>
                <w:color w:val="auto"/>
              </w:rPr>
              <w:t>AOCIL Component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AOCIL</w:t>
            </w:r>
          </w:p>
        </w:tc>
        <w:tc>
          <w:tcPr>
            <w:tcW w:w="1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Consolidated Statements of Operations</w:t>
            </w:r>
          </w:p>
        </w:tc>
        <w:tc>
          <w:tcPr>
            <w:tcW w:w="0" w:type="dxa"/>
            <w:vAlign w:val="bottom"/>
          </w:tcPr>
          <w:p>
            <w:pPr>
              <w:spacing w:after="0"/>
              <w:rPr>
                <w:sz w:val="1"/>
                <w:szCs w:val="1"/>
                <w:color w:val="auto"/>
              </w:rPr>
            </w:pPr>
          </w:p>
        </w:tc>
      </w:tr>
      <w:tr>
        <w:trPr>
          <w:trHeight w:val="223"/>
        </w:trPr>
        <w:tc>
          <w:tcPr>
            <w:tcW w:w="4960" w:type="dxa"/>
            <w:vAlign w:val="bottom"/>
            <w:vMerge w:val="restart"/>
          </w:tcPr>
          <w:p>
            <w:pPr>
              <w:jc w:val="right"/>
              <w:ind w:right="4512"/>
              <w:spacing w:after="0"/>
              <w:rPr>
                <w:sz w:val="20"/>
                <w:szCs w:val="20"/>
                <w:color w:val="auto"/>
              </w:rPr>
            </w:pPr>
            <w:r>
              <w:rPr>
                <w:rFonts w:ascii="Arial" w:cs="Arial" w:eastAsia="Arial" w:hAnsi="Arial"/>
                <w:sz w:val="18"/>
                <w:szCs w:val="18"/>
                <w:color w:val="auto"/>
                <w:w w:val="84"/>
              </w:rPr>
              <w:t>2021</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(In thousands)</w:t>
            </w: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60" w:type="dxa"/>
            <w:vAlign w:val="bottom"/>
          </w:tcPr>
          <w:p>
            <w:pPr>
              <w:jc w:val="right"/>
              <w:ind w:right="1332"/>
              <w:spacing w:after="0"/>
              <w:rPr>
                <w:sz w:val="20"/>
                <w:szCs w:val="20"/>
                <w:color w:val="auto"/>
              </w:rPr>
            </w:pPr>
            <w:r>
              <w:rPr>
                <w:rFonts w:ascii="Arial" w:cs="Arial" w:eastAsia="Arial" w:hAnsi="Arial"/>
                <w:sz w:val="18"/>
                <w:szCs w:val="18"/>
                <w:color w:val="auto"/>
                <w:w w:val="92"/>
              </w:rPr>
              <w:t>Unrealized gains on securities available for sale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800" w:hanging="719"/>
        <w:spacing w:after="0"/>
        <w:tabs>
          <w:tab w:leader="none" w:pos="5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1,421  Net gains on securities available for sale</w:t>
      </w:r>
    </w:p>
    <w:p>
      <w:pPr>
        <w:spacing w:after="0" w:line="5" w:lineRule="exact"/>
        <w:rPr>
          <w:rFonts w:ascii="Arial" w:cs="Arial" w:eastAsia="Arial" w:hAnsi="Arial"/>
          <w:sz w:val="18"/>
          <w:szCs w:val="18"/>
          <w:color w:val="auto"/>
        </w:rPr>
      </w:pPr>
    </w:p>
    <w:p>
      <w:pPr>
        <w:ind w:left="5920"/>
        <w:spacing w:after="0"/>
        <w:rPr>
          <w:rFonts w:ascii="Arial" w:cs="Arial" w:eastAsia="Arial" w:hAnsi="Arial"/>
          <w:sz w:val="18"/>
          <w:szCs w:val="18"/>
          <w:color w:val="auto"/>
        </w:rPr>
      </w:pPr>
      <w:r>
        <w:rPr>
          <w:rFonts w:ascii="Arial" w:cs="Arial" w:eastAsia="Arial" w:hAnsi="Arial"/>
          <w:sz w:val="18"/>
          <w:szCs w:val="18"/>
          <w:color w:val="auto"/>
        </w:rPr>
        <w:t>298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7134860"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3810</wp:posOffset>
            </wp:positionV>
            <wp:extent cx="7740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065" cy="16510"/>
                    </a:xfrm>
                    <a:prstGeom prst="rect">
                      <a:avLst/>
                    </a:prstGeom>
                    <a:noFill/>
                  </pic:spPr>
                </pic:pic>
              </a:graphicData>
            </a:graphic>
          </wp:anchor>
        </w:drawing>
      </w:r>
    </w:p>
    <w:p>
      <w:pPr>
        <w:ind w:left="5800" w:hanging="719"/>
        <w:spacing w:after="0"/>
        <w:tabs>
          <w:tab w:leader="none" w:pos="5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1,123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Unrealized gains on securities available for sale</w:t>
      </w:r>
    </w:p>
    <w:p>
      <w:pPr>
        <w:spacing w:after="0" w:line="5" w:lineRule="exact"/>
        <w:rPr>
          <w:sz w:val="20"/>
          <w:szCs w:val="20"/>
          <w:color w:val="auto"/>
        </w:rPr>
      </w:pPr>
    </w:p>
    <w:p>
      <w:pPr>
        <w:ind w:left="5920" w:hanging="839"/>
        <w:spacing w:after="0"/>
        <w:tabs>
          <w:tab w:leader="none" w:pos="5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253  Net gains on securities available for sale</w:t>
      </w:r>
    </w:p>
    <w:p>
      <w:pPr>
        <w:spacing w:after="0" w:line="5" w:lineRule="exact"/>
        <w:rPr>
          <w:rFonts w:ascii="Arial" w:cs="Arial" w:eastAsia="Arial" w:hAnsi="Arial"/>
          <w:sz w:val="18"/>
          <w:szCs w:val="18"/>
          <w:color w:val="auto"/>
        </w:rPr>
      </w:pPr>
    </w:p>
    <w:p>
      <w:pPr>
        <w:ind w:left="6340" w:hanging="205"/>
        <w:spacing w:after="0"/>
        <w:tabs>
          <w:tab w:leader="none" w:pos="63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-264795</wp:posOffset>
            </wp:positionV>
            <wp:extent cx="713486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3810</wp:posOffset>
            </wp:positionV>
            <wp:extent cx="7740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065" cy="17145"/>
                    </a:xfrm>
                    <a:prstGeom prst="rect">
                      <a:avLst/>
                    </a:prstGeom>
                    <a:noFill/>
                  </pic:spPr>
                </pic:pic>
              </a:graphicData>
            </a:graphic>
          </wp:anchor>
        </w:drawing>
      </w:r>
    </w:p>
    <w:p>
      <w:pPr>
        <w:ind w:left="5920"/>
        <w:spacing w:after="0"/>
        <w:tabs>
          <w:tab w:leader="none" w:pos="632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5"/>
          <w:szCs w:val="15"/>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6020"/>
        <w:spacing w:after="0"/>
        <w:tabs>
          <w:tab w:leader="none" w:pos="63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3810</wp:posOffset>
            </wp:positionV>
            <wp:extent cx="7740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065" cy="17145"/>
                    </a:xfrm>
                    <a:prstGeom prst="rect">
                      <a:avLst/>
                    </a:prstGeom>
                    <a:noFill/>
                  </pic:spPr>
                </pic:pic>
              </a:graphicData>
            </a:graphic>
          </wp:anchor>
        </w:drawing>
      </w:r>
    </w:p>
    <w:p>
      <w:pPr>
        <w:ind w:left="5920" w:hanging="839"/>
        <w:spacing w:after="0"/>
        <w:tabs>
          <w:tab w:leader="none" w:pos="5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200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6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Unrealized losses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5920" w:hanging="839"/>
        <w:spacing w:after="0"/>
        <w:tabs>
          <w:tab w:leader="none" w:pos="59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646  Interest expense</w:t>
      </w:r>
    </w:p>
    <w:p>
      <w:pPr>
        <w:spacing w:after="0" w:line="5" w:lineRule="exact"/>
        <w:rPr>
          <w:rFonts w:ascii="Arial" w:cs="Arial" w:eastAsia="Arial" w:hAnsi="Arial"/>
          <w:sz w:val="18"/>
          <w:szCs w:val="18"/>
          <w:color w:val="auto"/>
        </w:rPr>
      </w:pPr>
    </w:p>
    <w:p>
      <w:pPr>
        <w:ind w:left="5920"/>
        <w:spacing w:after="0"/>
        <w:rPr>
          <w:rFonts w:ascii="Arial" w:cs="Arial" w:eastAsia="Arial" w:hAnsi="Arial"/>
          <w:sz w:val="18"/>
          <w:szCs w:val="18"/>
          <w:color w:val="auto"/>
        </w:rPr>
      </w:pPr>
      <w:r>
        <w:rPr>
          <w:rFonts w:ascii="Arial" w:cs="Arial" w:eastAsia="Arial" w:hAnsi="Arial"/>
          <w:sz w:val="18"/>
          <w:szCs w:val="18"/>
          <w:color w:val="auto"/>
        </w:rPr>
        <w:t>136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51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5920" w:hanging="839"/>
        <w:spacing w:after="0"/>
        <w:tabs>
          <w:tab w:leader="none" w:pos="5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510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10795</wp:posOffset>
            </wp:positionV>
            <wp:extent cx="7740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36195</wp:posOffset>
            </wp:positionV>
            <wp:extent cx="7134860" cy="142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50" w:lineRule="exact"/>
        <w:rPr>
          <w:sz w:val="20"/>
          <w:szCs w:val="20"/>
          <w:color w:val="auto"/>
        </w:rPr>
      </w:pPr>
    </w:p>
    <w:p>
      <w:pPr>
        <w:ind w:left="5080"/>
        <w:spacing w:after="0"/>
        <w:tabs>
          <w:tab w:leader="none" w:pos="5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(310)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10795</wp:posOffset>
            </wp:positionV>
            <wp:extent cx="7740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3226435</wp:posOffset>
            </wp:positionH>
            <wp:positionV relativeFrom="paragraph">
              <wp:posOffset>36195</wp:posOffset>
            </wp:positionV>
            <wp:extent cx="7740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50" w:lineRule="exact"/>
        <w:rPr>
          <w:sz w:val="20"/>
          <w:szCs w:val="20"/>
          <w:color w:val="auto"/>
        </w:rPr>
      </w:pPr>
    </w:p>
    <w:p>
      <w:pPr>
        <w:ind w:left="320" w:hanging="314"/>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Revenue from Contracts with Customers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on securities available for sale, mortgage loan servicing, net and bank owned life insurance and were approximately 85.1% and 87.9% of total revenues for the nine month periods ending September 30, 2021 and 2020, respectively.</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2021 and December 31, 2020.</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u w:val="single" w:color="auto"/>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Interchange income:</w:t>
      </w:r>
      <w:r>
        <w:rPr>
          <w:rFonts w:ascii="Arial" w:cs="Arial" w:eastAsia="Arial" w:hAnsi="Arial"/>
          <w:sz w:val="18"/>
          <w:szCs w:val="18"/>
          <w:color w:val="auto"/>
        </w:rPr>
        <w:t xml:space="preserve"> Interchange income primarily includes debit card interchange and network revenues. Debit card interchange and network revenues are earned on debit card transactions conducted through payment networks such as MasterCard, NYCE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9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u w:val="single" w:color="auto"/>
          <w:color w:val="auto"/>
        </w:rPr>
        <w:t>Investment and insurance commissions:</w:t>
      </w:r>
      <w:r>
        <w:rPr>
          <w:rFonts w:ascii="Arial" w:cs="Arial" w:eastAsia="Arial" w:hAnsi="Arial"/>
          <w:sz w:val="15"/>
          <w:szCs w:val="15"/>
          <w:color w:val="auto"/>
        </w:rPr>
        <w:t xml:space="preserve"> Investment and insurance commissions include fees and commissions from asset management, custody, recordkeeping, investment advisory and other services provided to our customers. Revenue is recognized on an accrual basis at the time the services are performed and is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u w:val="single" w:color="auto"/>
          <w:color w:val="auto"/>
        </w:rPr>
        <w:t>Net (gains) losses on other real estate and repossessed assets:</w:t>
      </w:r>
      <w:r>
        <w:rPr>
          <w:rFonts w:ascii="Arial" w:cs="Arial" w:eastAsia="Arial" w:hAnsi="Arial"/>
          <w:sz w:val="15"/>
          <w:szCs w:val="15"/>
          <w:color w:val="auto"/>
        </w:rPr>
        <w:t xml:space="preserve">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2021 and 2020 that were financed by us.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Pr>
          <w:p>
            <w:pPr>
              <w:spacing w:after="0"/>
              <w:rPr>
                <w:sz w:val="20"/>
                <w:szCs w:val="20"/>
                <w:color w:val="auto"/>
              </w:rPr>
            </w:pPr>
            <w:r>
              <w:rPr>
                <w:rFonts w:ascii="Arial" w:cs="Arial" w:eastAsia="Arial" w:hAnsi="Arial"/>
                <w:sz w:val="18"/>
                <w:szCs w:val="18"/>
                <w:color w:val="auto"/>
                <w:w w:val="93"/>
              </w:rPr>
              <w:t>Disaggregation of our revenue sources by attribute follows: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420" w:type="dxa"/>
            <w:vAlign w:val="bottom"/>
          </w:tcPr>
          <w:p>
            <w:pPr>
              <w:spacing w:after="0"/>
              <w:rPr>
                <w:sz w:val="20"/>
                <w:szCs w:val="20"/>
                <w:color w:val="auto"/>
              </w:rPr>
            </w:pPr>
            <w:r>
              <w:rPr>
                <w:rFonts w:ascii="Arial" w:cs="Arial" w:eastAsia="Arial" w:hAnsi="Arial"/>
                <w:sz w:val="18"/>
                <w:szCs w:val="18"/>
                <w:color w:val="auto"/>
              </w:rPr>
              <w:t>Three months ending September 30, 2021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6"/>
              </w:rPr>
              <w:t>Service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8"/>
              </w:rPr>
              <w:t>Investment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Deposit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on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Income</w:t>
            </w: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42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2"/>
        </w:trPr>
        <w:tc>
          <w:tcPr>
            <w:tcW w:w="442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4420" w:type="dxa"/>
            <w:vAlign w:val="bottom"/>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44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8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deposit related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2"/>
        </w:trPr>
        <w:tc>
          <w:tcPr>
            <w:tcW w:w="4420" w:type="dxa"/>
            <w:vAlign w:val="bottom"/>
          </w:tcPr>
          <w:p>
            <w:pPr>
              <w:ind w:left="320"/>
              <w:spacing w:after="0"/>
              <w:rPr>
                <w:sz w:val="20"/>
                <w:szCs w:val="20"/>
                <w:color w:val="auto"/>
              </w:rPr>
            </w:pPr>
            <w:r>
              <w:rPr>
                <w:rFonts w:ascii="Arial" w:cs="Arial" w:eastAsia="Arial" w:hAnsi="Arial"/>
                <w:sz w:val="18"/>
                <w:szCs w:val="18"/>
                <w:color w:val="auto"/>
              </w:rPr>
              <w:t>Investment and insurance commissions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owned life insurance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Three months ending September 30, 2020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6"/>
              </w:rPr>
              <w:t>Service</w:t>
            </w:r>
          </w:p>
        </w:tc>
        <w:tc>
          <w:tcPr>
            <w:tcW w:w="120" w:type="dxa"/>
            <w:vAlign w:val="bottom"/>
          </w:tcPr>
          <w:p>
            <w:pPr>
              <w:spacing w:after="0"/>
              <w:rPr>
                <w:sz w:val="19"/>
                <w:szCs w:val="19"/>
                <w:color w:val="auto"/>
              </w:rPr>
            </w:pPr>
          </w:p>
        </w:tc>
        <w:tc>
          <w:tcPr>
            <w:tcW w:w="860" w:type="dxa"/>
            <w:vAlign w:val="bottom"/>
            <w:vMerge w:val="restart"/>
          </w:tcPr>
          <w:p>
            <w:pPr>
              <w:jc w:val="center"/>
              <w:ind w:left="212"/>
              <w:spacing w:after="0"/>
              <w:rPr>
                <w:sz w:val="20"/>
                <w:szCs w:val="20"/>
                <w:color w:val="auto"/>
              </w:rPr>
            </w:pPr>
            <w:r>
              <w:rPr>
                <w:rFonts w:ascii="Arial" w:cs="Arial" w:eastAsia="Arial" w:hAnsi="Arial"/>
                <w:sz w:val="18"/>
                <w:szCs w:val="18"/>
                <w:color w:val="auto"/>
                <w:w w:val="88"/>
              </w:rPr>
              <w:t>Other</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8"/>
              </w:rPr>
              <w:t>Investment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Charges</w:t>
            </w:r>
          </w:p>
        </w:tc>
        <w:tc>
          <w:tcPr>
            <w:tcW w:w="120" w:type="dxa"/>
            <w:vAlign w:val="bottom"/>
          </w:tcPr>
          <w:p>
            <w:pPr>
              <w:spacing w:after="0"/>
              <w:rPr>
                <w:sz w:val="18"/>
                <w:szCs w:val="18"/>
                <w:color w:val="auto"/>
              </w:rPr>
            </w:pPr>
          </w:p>
        </w:tc>
        <w:tc>
          <w:tcPr>
            <w:tcW w:w="860" w:type="dxa"/>
            <w:vAlign w:val="bottom"/>
          </w:tcPr>
          <w:p>
            <w:pPr>
              <w:jc w:val="center"/>
              <w:ind w:left="212"/>
              <w:spacing w:after="0"/>
              <w:rPr>
                <w:sz w:val="20"/>
                <w:szCs w:val="20"/>
                <w:color w:val="auto"/>
              </w:rPr>
            </w:pPr>
            <w:r>
              <w:rPr>
                <w:rFonts w:ascii="Arial" w:cs="Arial" w:eastAsia="Arial" w:hAnsi="Arial"/>
                <w:sz w:val="18"/>
                <w:szCs w:val="18"/>
                <w:color w:val="auto"/>
                <w:w w:val="91"/>
              </w:rPr>
              <w:t>Deposit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on Deposit</w:t>
            </w:r>
          </w:p>
        </w:tc>
        <w:tc>
          <w:tcPr>
            <w:tcW w:w="120" w:type="dxa"/>
            <w:vAlign w:val="bottom"/>
          </w:tcPr>
          <w:p>
            <w:pPr>
              <w:spacing w:after="0"/>
              <w:rPr>
                <w:sz w:val="18"/>
                <w:szCs w:val="18"/>
                <w:color w:val="auto"/>
              </w:rPr>
            </w:pPr>
          </w:p>
        </w:tc>
        <w:tc>
          <w:tcPr>
            <w:tcW w:w="860" w:type="dxa"/>
            <w:vAlign w:val="bottom"/>
          </w:tcPr>
          <w:p>
            <w:pPr>
              <w:jc w:val="center"/>
              <w:ind w:left="192"/>
              <w:spacing w:after="0"/>
              <w:rPr>
                <w:sz w:val="20"/>
                <w:szCs w:val="20"/>
                <w:color w:val="auto"/>
              </w:rPr>
            </w:pPr>
            <w:r>
              <w:rPr>
                <w:rFonts w:ascii="Arial" w:cs="Arial" w:eastAsia="Arial" w:hAnsi="Arial"/>
                <w:sz w:val="18"/>
                <w:szCs w:val="18"/>
                <w:color w:val="auto"/>
                <w:w w:val="86"/>
              </w:rPr>
              <w:t>Related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860" w:type="dxa"/>
            <w:vAlign w:val="bottom"/>
          </w:tcPr>
          <w:p>
            <w:pPr>
              <w:jc w:val="center"/>
              <w:ind w:left="212"/>
              <w:spacing w:after="0"/>
              <w:rPr>
                <w:sz w:val="20"/>
                <w:szCs w:val="20"/>
                <w:color w:val="auto"/>
              </w:rPr>
            </w:pPr>
            <w:r>
              <w:rPr>
                <w:rFonts w:ascii="Arial" w:cs="Arial" w:eastAsia="Arial" w:hAnsi="Arial"/>
                <w:sz w:val="18"/>
                <w:szCs w:val="18"/>
                <w:color w:val="auto"/>
                <w:w w:val="88"/>
              </w:rPr>
              <w:t>Income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1,371</w:t>
            </w:r>
          </w:p>
        </w:tc>
        <w:tc>
          <w:tcPr>
            <w:tcW w:w="98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184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5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600</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8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deposit related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2"/>
        </w:trPr>
        <w:tc>
          <w:tcPr>
            <w:tcW w:w="3860" w:type="dxa"/>
            <w:vAlign w:val="bottom"/>
          </w:tcPr>
          <w:p>
            <w:pPr>
              <w:ind w:left="320"/>
              <w:spacing w:after="0"/>
              <w:rPr>
                <w:sz w:val="20"/>
                <w:szCs w:val="20"/>
                <w:color w:val="auto"/>
              </w:rPr>
            </w:pPr>
            <w:r>
              <w:rPr>
                <w:rFonts w:ascii="Arial" w:cs="Arial" w:eastAsia="Arial" w:hAnsi="Arial"/>
                <w:sz w:val="18"/>
                <w:szCs w:val="18"/>
                <w:color w:val="auto"/>
              </w:rPr>
              <w:t>Investment and insurance commissions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owned life insurance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8"/>
        </w:trPr>
        <w:tc>
          <w:tcPr>
            <w:tcW w:w="3860" w:type="dxa"/>
            <w:vAlign w:val="bottom"/>
          </w:tcPr>
          <w:p>
            <w:pPr>
              <w:ind w:left="3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Nine months ending September 30, 2021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6"/>
              </w:rPr>
              <w:t>Service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8"/>
              </w:rPr>
              <w:t>Investment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Deposit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on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Income</w:t>
            </w: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5,746</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10,739</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8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deposit related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320"/>
              <w:spacing w:after="0"/>
              <w:rPr>
                <w:sz w:val="20"/>
                <w:szCs w:val="20"/>
                <w:color w:val="auto"/>
              </w:rPr>
            </w:pPr>
            <w:r>
              <w:rPr>
                <w:rFonts w:ascii="Arial" w:cs="Arial" w:eastAsia="Arial" w:hAnsi="Arial"/>
                <w:sz w:val="18"/>
                <w:szCs w:val="18"/>
                <w:color w:val="auto"/>
              </w:rPr>
              <w:t>Investment and insurance commissions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owned life insurance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8"/>
        </w:trPr>
        <w:tc>
          <w:tcPr>
            <w:tcW w:w="3860" w:type="dxa"/>
            <w:vAlign w:val="bottom"/>
          </w:tcPr>
          <w:p>
            <w:pPr>
              <w:ind w:left="3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52"/>
        </w:trPr>
        <w:tc>
          <w:tcPr>
            <w:tcW w:w="3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Nine months ending September 30, 2020</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6"/>
              </w:rPr>
              <w:t>Service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8"/>
              </w:rPr>
              <w:t>Investment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2"/>
              </w:rPr>
              <w:t>Charges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Deposit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on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Interchange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Insurance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Accounts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Income</w:t>
            </w:r>
          </w:p>
        </w:tc>
        <w:tc>
          <w:tcPr>
            <w:tcW w:w="1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Income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Commissions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860" w:type="dxa"/>
            <w:vAlign w:val="bottom"/>
            <w:vMerge w:val="restart"/>
          </w:tcPr>
          <w:p>
            <w:pPr>
              <w:spacing w:after="0"/>
              <w:rPr>
                <w:sz w:val="20"/>
                <w:szCs w:val="20"/>
                <w:color w:val="auto"/>
              </w:rPr>
            </w:pPr>
            <w:r>
              <w:rPr>
                <w:rFonts w:ascii="Arial" w:cs="Arial" w:eastAsia="Arial" w:hAnsi="Arial"/>
                <w:sz w:val="18"/>
                <w:szCs w:val="18"/>
                <w:color w:val="auto"/>
              </w:rPr>
              <w:t>Retail</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(In thousands)</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8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Overdraft fees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4,130</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Account service charges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Overdraft fees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ATM fees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20"/>
                <w:szCs w:val="20"/>
                <w:color w:val="auto"/>
              </w:rPr>
            </w:pPr>
            <w:r>
              <w:rPr>
                <w:rFonts w:ascii="Arial" w:cs="Arial" w:eastAsia="Arial" w:hAnsi="Arial"/>
                <w:sz w:val="18"/>
                <w:szCs w:val="18"/>
                <w:color w:val="auto"/>
              </w:rPr>
              <w:t>Asset management revenue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Transaction based 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9"/>
        </w:trPr>
        <w:tc>
          <w:tcPr>
            <w:tcW w:w="38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120" w:type="dxa"/>
            <w:vAlign w:val="bottom"/>
            <w:gridSpan w:val="2"/>
          </w:tcPr>
          <w:p>
            <w:pPr>
              <w:spacing w:after="0"/>
              <w:rPr>
                <w:sz w:val="19"/>
                <w:szCs w:val="19"/>
                <w:color w:val="auto"/>
              </w:rPr>
            </w:pPr>
          </w:p>
        </w:tc>
        <w:tc>
          <w:tcPr>
            <w:tcW w:w="320" w:type="dxa"/>
            <w:vAlign w:val="bottom"/>
            <w:gridSpan w:val="2"/>
          </w:tcPr>
          <w:p>
            <w:pPr>
              <w:spacing w:after="0"/>
              <w:rPr>
                <w:sz w:val="19"/>
                <w:szCs w:val="19"/>
                <w:color w:val="auto"/>
              </w:rPr>
            </w:pPr>
          </w:p>
        </w:tc>
        <w:tc>
          <w:tcPr>
            <w:tcW w:w="11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8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Reconciliation to Condensed Consolidated Statement of Operations: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140"/>
              <w:spacing w:after="0"/>
              <w:rPr>
                <w:sz w:val="20"/>
                <w:szCs w:val="20"/>
                <w:color w:val="auto"/>
              </w:rPr>
            </w:pPr>
            <w:r>
              <w:rPr>
                <w:rFonts w:ascii="Arial" w:cs="Arial" w:eastAsia="Arial" w:hAnsi="Arial"/>
                <w:sz w:val="18"/>
                <w:szCs w:val="18"/>
                <w:color w:val="auto"/>
              </w:rPr>
              <w:t>Non-interest income - other:</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deposit related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tcPr>
          <w:p>
            <w:pPr>
              <w:ind w:left="320"/>
              <w:spacing w:after="0"/>
              <w:rPr>
                <w:sz w:val="20"/>
                <w:szCs w:val="20"/>
                <w:color w:val="auto"/>
              </w:rPr>
            </w:pPr>
            <w:r>
              <w:rPr>
                <w:rFonts w:ascii="Arial" w:cs="Arial" w:eastAsia="Arial" w:hAnsi="Arial"/>
                <w:sz w:val="18"/>
                <w:szCs w:val="18"/>
                <w:color w:val="auto"/>
              </w:rPr>
              <w:t>Investment and insurance commissions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owned life insurance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3860" w:type="dxa"/>
            <w:vAlign w:val="bottom"/>
          </w:tcPr>
          <w:p>
            <w:pPr>
              <w:ind w:left="3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p>
    <w:p>
      <w:pPr>
        <w:spacing w:after="0" w:line="21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5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Leases are classified as operating or finance leases at the lease commencement date (we did not have any finance leases as of September 30, 2021).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in determining the present value of the lease payments.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INTERIM CONDENSED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The cost components of our operating leases follows:</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5960" w:type="dxa"/>
            <w:vAlign w:val="bottom"/>
          </w:tcPr>
          <w:p>
            <w:pPr>
              <w:spacing w:after="0"/>
              <w:rPr>
                <w:sz w:val="24"/>
                <w:szCs w:val="24"/>
                <w:color w:val="auto"/>
              </w:rPr>
            </w:pPr>
          </w:p>
        </w:tc>
        <w:tc>
          <w:tcPr>
            <w:tcW w:w="2200" w:type="dxa"/>
            <w:vAlign w:val="bottom"/>
            <w:gridSpan w:val="4"/>
          </w:tcPr>
          <w:p>
            <w:pPr>
              <w:jc w:val="right"/>
              <w:ind w:right="92"/>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ind w:left="260"/>
              <w:spacing w:after="0"/>
              <w:rPr>
                <w:sz w:val="20"/>
                <w:szCs w:val="20"/>
                <w:color w:val="auto"/>
              </w:rPr>
            </w:pPr>
            <w:r>
              <w:rPr>
                <w:rFonts w:ascii="Arial" w:cs="Arial" w:eastAsia="Arial" w:hAnsi="Arial"/>
                <w:sz w:val="18"/>
                <w:szCs w:val="18"/>
                <w:color w:val="auto"/>
              </w:rPr>
              <w:t>Nine Months Ended</w:t>
            </w:r>
          </w:p>
        </w:tc>
      </w:tr>
      <w:tr>
        <w:trPr>
          <w:trHeight w:val="212"/>
        </w:trPr>
        <w:tc>
          <w:tcPr>
            <w:tcW w:w="5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gridSpan w:val="3"/>
          </w:tcPr>
          <w:p>
            <w:pPr>
              <w:jc w:val="right"/>
              <w:ind w:right="332"/>
              <w:spacing w:after="0"/>
              <w:rPr>
                <w:sz w:val="20"/>
                <w:szCs w:val="20"/>
                <w:color w:val="auto"/>
              </w:rPr>
            </w:pPr>
            <w:r>
              <w:rPr>
                <w:rFonts w:ascii="Arial" w:cs="Arial" w:eastAsia="Arial" w:hAnsi="Arial"/>
                <w:sz w:val="18"/>
                <w:szCs w:val="18"/>
                <w:color w:val="auto"/>
                <w:w w:val="84"/>
              </w:rPr>
              <w:t>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September 30,</w:t>
            </w:r>
          </w:p>
        </w:tc>
      </w:tr>
      <w:tr>
        <w:trPr>
          <w:trHeight w:val="231"/>
        </w:trPr>
        <w:tc>
          <w:tcPr>
            <w:tcW w:w="59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5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w w:val="85"/>
              </w:rPr>
              <w:t>(In</w:t>
            </w:r>
          </w:p>
        </w:tc>
        <w:tc>
          <w:tcPr>
            <w:tcW w:w="1040" w:type="dxa"/>
            <w:vAlign w:val="bottom"/>
            <w:gridSpan w:val="2"/>
          </w:tcPr>
          <w:p>
            <w:pPr>
              <w:jc w:val="right"/>
              <w:ind w:right="332"/>
              <w:spacing w:after="0"/>
              <w:rPr>
                <w:sz w:val="20"/>
                <w:szCs w:val="20"/>
                <w:color w:val="auto"/>
              </w:rPr>
            </w:pPr>
            <w:r>
              <w:rPr>
                <w:rFonts w:ascii="Arial" w:cs="Arial" w:eastAsia="Arial" w:hAnsi="Arial"/>
                <w:sz w:val="17"/>
                <w:szCs w:val="17"/>
                <w:color w:val="auto"/>
                <w:w w:val="71"/>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60"/>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395</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1,259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Variable lease cost</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80" w:type="dxa"/>
            <w:vAlign w:val="bottom"/>
            <w:gridSpan w:val="2"/>
          </w:tcPr>
          <w:p>
            <w:pPr>
              <w:jc w:val="right"/>
              <w:ind w:right="123"/>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6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7"/>
        </w:trPr>
        <w:tc>
          <w:tcPr>
            <w:tcW w:w="59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5960" w:type="dxa"/>
            <w:vAlign w:val="bottom"/>
          </w:tcPr>
          <w:p>
            <w:pPr>
              <w:ind w:left="32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72"/>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Pr>
          <w:p>
            <w:pPr>
              <w:spacing w:after="0"/>
              <w:rPr>
                <w:sz w:val="18"/>
                <w:szCs w:val="18"/>
                <w:color w:val="auto"/>
              </w:rPr>
            </w:pPr>
          </w:p>
        </w:tc>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421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3"/>
              <w:spacing w:after="0"/>
              <w:rPr>
                <w:sz w:val="20"/>
                <w:szCs w:val="20"/>
                <w:color w:val="auto"/>
              </w:rPr>
            </w:pPr>
            <w:r>
              <w:rPr>
                <w:rFonts w:ascii="Arial" w:cs="Arial" w:eastAsia="Arial" w:hAnsi="Arial"/>
                <w:sz w:val="18"/>
                <w:szCs w:val="18"/>
                <w:color w:val="auto"/>
              </w:rPr>
              <w:t>1,352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r>
      <w:tr>
        <w:trPr>
          <w:trHeight w:val="20"/>
        </w:trPr>
        <w:tc>
          <w:tcPr>
            <w:tcW w:w="59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costs consist primarily of taxes, insurance, and common area or other maintenance costs for our leased facilities.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Supplemental balance sheet information related to our operating leases follows: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3"/>
        </w:trPr>
        <w:tc>
          <w:tcPr>
            <w:tcW w:w="8600" w:type="dxa"/>
            <w:vAlign w:val="bottom"/>
          </w:tcPr>
          <w:p>
            <w:pPr>
              <w:spacing w:after="0"/>
              <w:rPr>
                <w:sz w:val="24"/>
                <w:szCs w:val="24"/>
                <w:color w:val="auto"/>
              </w:rPr>
            </w:pPr>
          </w:p>
        </w:tc>
        <w:tc>
          <w:tcPr>
            <w:tcW w:w="1360" w:type="dxa"/>
            <w:vAlign w:val="bottom"/>
            <w:gridSpan w:val="3"/>
          </w:tcPr>
          <w:p>
            <w:pPr>
              <w:jc w:val="right"/>
              <w:ind w:right="228"/>
              <w:spacing w:after="0"/>
              <w:rPr>
                <w:sz w:val="20"/>
                <w:szCs w:val="20"/>
                <w:color w:val="auto"/>
              </w:rPr>
            </w:pPr>
            <w:r>
              <w:rPr>
                <w:rFonts w:ascii="Arial" w:cs="Arial" w:eastAsia="Arial" w:hAnsi="Arial"/>
                <w:sz w:val="18"/>
                <w:szCs w:val="18"/>
                <w:color w:val="auto"/>
                <w:w w:val="88"/>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color w:val="auto"/>
                <w:w w:val="86"/>
              </w:rPr>
              <w:t>December 31,</w:t>
            </w:r>
          </w:p>
        </w:tc>
      </w:tr>
      <w:tr>
        <w:trPr>
          <w:trHeight w:val="231"/>
        </w:trPr>
        <w:tc>
          <w:tcPr>
            <w:tcW w:w="8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r>
      <w:tr>
        <w:trPr>
          <w:trHeight w:val="212"/>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(Dollars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w w:val="72"/>
              </w:rPr>
              <w:t>in</w:t>
            </w:r>
          </w:p>
        </w:tc>
        <w:tc>
          <w:tcPr>
            <w:tcW w:w="11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18"/>
                <w:szCs w:val="18"/>
                <w:color w:val="auto"/>
              </w:rPr>
            </w:pPr>
          </w:p>
        </w:tc>
      </w:tr>
      <w:tr>
        <w:trPr>
          <w:trHeight w:val="232"/>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 right of use asset (1)</w:t>
            </w:r>
          </w:p>
        </w:tc>
        <w:tc>
          <w:tcPr>
            <w:tcW w:w="220" w:type="dxa"/>
            <w:vAlign w:val="bottom"/>
            <w:shd w:val="clear" w:color="auto" w:fill="CCEEFF"/>
          </w:tcPr>
          <w:p>
            <w:pPr>
              <w:jc w:val="right"/>
              <w:ind w:right="59"/>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7,646</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05"/>
        </w:trPr>
        <w:tc>
          <w:tcPr>
            <w:tcW w:w="8600" w:type="dxa"/>
            <w:vAlign w:val="bottom"/>
          </w:tcPr>
          <w:p>
            <w:pPr>
              <w:spacing w:after="0" w:line="205" w:lineRule="exact"/>
              <w:rPr>
                <w:sz w:val="20"/>
                <w:szCs w:val="20"/>
                <w:color w:val="auto"/>
              </w:rPr>
            </w:pPr>
            <w:r>
              <w:rPr>
                <w:rFonts w:ascii="Arial" w:cs="Arial" w:eastAsia="Arial" w:hAnsi="Arial"/>
                <w:sz w:val="18"/>
                <w:szCs w:val="18"/>
                <w:color w:val="auto"/>
              </w:rPr>
              <w:t>Lease liabilities (2)</w:t>
            </w:r>
          </w:p>
        </w:tc>
        <w:tc>
          <w:tcPr>
            <w:tcW w:w="22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5" w:lineRule="exact"/>
              <w:rPr>
                <w:sz w:val="20"/>
                <w:szCs w:val="20"/>
                <w:color w:val="auto"/>
              </w:rPr>
            </w:pPr>
            <w:r>
              <w:rPr>
                <w:rFonts w:ascii="Arial" w:cs="Arial" w:eastAsia="Arial" w:hAnsi="Arial"/>
                <w:sz w:val="18"/>
                <w:szCs w:val="18"/>
                <w:color w:val="auto"/>
              </w:rPr>
              <w:t>6,989</w:t>
            </w:r>
          </w:p>
        </w:tc>
        <w:tc>
          <w:tcPr>
            <w:tcW w:w="240" w:type="dxa"/>
            <w:vAlign w:val="bottom"/>
          </w:tcPr>
          <w:p>
            <w:pPr>
              <w:spacing w:after="0"/>
              <w:rPr>
                <w:sz w:val="17"/>
                <w:szCs w:val="17"/>
                <w:color w:val="auto"/>
              </w:rPr>
            </w:pPr>
          </w:p>
        </w:tc>
        <w:tc>
          <w:tcPr>
            <w:tcW w:w="240" w:type="dxa"/>
            <w:vAlign w:val="bottom"/>
          </w:tcPr>
          <w:p>
            <w:pPr>
              <w:ind w:left="20"/>
              <w:spacing w:after="0" w:line="205"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line="205" w:lineRule="exact"/>
              <w:rPr>
                <w:sz w:val="20"/>
                <w:szCs w:val="20"/>
                <w:color w:val="auto"/>
              </w:rPr>
            </w:pPr>
            <w:r>
              <w:rPr>
                <w:rFonts w:ascii="Arial" w:cs="Arial" w:eastAsia="Arial" w:hAnsi="Arial"/>
                <w:sz w:val="18"/>
                <w:szCs w:val="18"/>
                <w:color w:val="auto"/>
              </w:rPr>
              <w:t>7,868</w:t>
            </w:r>
          </w:p>
        </w:tc>
      </w:tr>
      <w:tr>
        <w:trPr>
          <w:trHeight w:val="20"/>
        </w:trPr>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5"/>
        </w:trPr>
        <w:tc>
          <w:tcPr>
            <w:tcW w:w="8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212"/>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7.12</w:t>
            </w:r>
          </w:p>
        </w:tc>
      </w:tr>
      <w:tr>
        <w:trPr>
          <w:trHeight w:val="20"/>
        </w:trPr>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86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Weighted average discount rate</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
              <w:spacing w:after="0" w:line="205"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2.4%</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hanging="314"/>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Accrued income and other assets in our Condensed Consolidated Statements of Financial Condition.</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 in our Condensed Consolidated Statements of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Maturity analysis of our lease liabilities at September 30, 2021 based on required contractual payments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r>
      <w:tr>
        <w:trPr>
          <w:trHeight w:val="213"/>
        </w:trPr>
        <w:tc>
          <w:tcPr>
            <w:tcW w:w="424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ending December 31, 2021</w:t>
            </w:r>
          </w:p>
        </w:tc>
        <w:tc>
          <w:tcPr>
            <w:tcW w:w="6180" w:type="dxa"/>
            <w:vAlign w:val="bottom"/>
            <w:gridSpan w:val="2"/>
            <w:shd w:val="clear" w:color="auto" w:fill="CCEEFF"/>
          </w:tcPr>
          <w:p>
            <w:pPr>
              <w:ind w:left="57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2022</w:t>
            </w: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8"/>
                <w:szCs w:val="18"/>
                <w:color w:val="auto"/>
              </w:rPr>
            </w:pP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8"/>
                <w:szCs w:val="18"/>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8"/>
                <w:szCs w:val="18"/>
                <w:color w:val="auto"/>
              </w:rPr>
              <w:t>2024</w:t>
            </w:r>
          </w:p>
        </w:tc>
        <w:tc>
          <w:tcPr>
            <w:tcW w:w="5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r>
      <w:tr>
        <w:trPr>
          <w:trHeight w:val="212"/>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18"/>
        </w:trPr>
        <w:tc>
          <w:tcPr>
            <w:tcW w:w="4240" w:type="dxa"/>
            <w:vAlign w:val="bottom"/>
          </w:tcPr>
          <w:p>
            <w:pPr>
              <w:spacing w:after="0"/>
              <w:rPr>
                <w:sz w:val="20"/>
                <w:szCs w:val="20"/>
                <w:color w:val="auto"/>
              </w:rPr>
            </w:pPr>
            <w:r>
              <w:rPr>
                <w:rFonts w:ascii="Arial" w:cs="Arial" w:eastAsia="Arial" w:hAnsi="Arial"/>
                <w:sz w:val="18"/>
                <w:szCs w:val="18"/>
                <w:color w:val="auto"/>
              </w:rPr>
              <w:t>2026 and thereafter</w:t>
            </w:r>
          </w:p>
        </w:tc>
        <w:tc>
          <w:tcPr>
            <w:tcW w:w="5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19"/>
                <w:szCs w:val="19"/>
                <w:color w:val="auto"/>
              </w:rPr>
            </w:pPr>
          </w:p>
        </w:tc>
      </w:tr>
      <w:tr>
        <w:trPr>
          <w:trHeight w:val="212"/>
        </w:trPr>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payments</w:t>
            </w:r>
          </w:p>
        </w:tc>
        <w:tc>
          <w:tcPr>
            <w:tcW w:w="5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shd w:val="clear" w:color="auto" w:fill="CCEEFF"/>
          </w:tcPr>
          <w:p>
            <w:pPr>
              <w:spacing w:after="0"/>
              <w:rPr>
                <w:sz w:val="18"/>
                <w:szCs w:val="18"/>
                <w:color w:val="auto"/>
              </w:rPr>
            </w:pPr>
          </w:p>
        </w:tc>
      </w:tr>
      <w:tr>
        <w:trPr>
          <w:trHeight w:val="219"/>
        </w:trPr>
        <w:tc>
          <w:tcPr>
            <w:tcW w:w="4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r>
      <w:tr>
        <w:trPr>
          <w:trHeight w:val="252"/>
        </w:trPr>
        <w:tc>
          <w:tcPr>
            <w:tcW w:w="4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764"/>
        </w:trPr>
        <w:tc>
          <w:tcPr>
            <w:tcW w:w="4240" w:type="dxa"/>
            <w:vAlign w:val="bottom"/>
          </w:tcPr>
          <w:p>
            <w:pPr>
              <w:spacing w:after="0"/>
              <w:rPr>
                <w:sz w:val="24"/>
                <w:szCs w:val="24"/>
                <w:color w:val="auto"/>
              </w:rPr>
            </w:pPr>
          </w:p>
        </w:tc>
        <w:tc>
          <w:tcPr>
            <w:tcW w:w="5780" w:type="dxa"/>
            <w:vAlign w:val="bottom"/>
          </w:tcPr>
          <w:p>
            <w:pPr>
              <w:jc w:val="right"/>
              <w:ind w:right="4241"/>
              <w:spacing w:after="0"/>
              <w:rPr>
                <w:sz w:val="20"/>
                <w:szCs w:val="20"/>
                <w:color w:val="auto"/>
              </w:rPr>
            </w:pPr>
            <w:r>
              <w:rPr>
                <w:rFonts w:ascii="Arial" w:cs="Arial" w:eastAsia="Arial" w:hAnsi="Arial"/>
                <w:sz w:val="14"/>
                <w:szCs w:val="14"/>
                <w:color w:val="auto"/>
              </w:rPr>
              <w:t>70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240" w:type="dxa"/>
            <w:vAlign w:val="bottom"/>
            <w:tcBorders>
              <w:bottom w:val="single" w:sz="8" w:color="auto"/>
            </w:tcBorders>
          </w:tcPr>
          <w:p>
            <w:pPr>
              <w:spacing w:after="0"/>
              <w:rPr>
                <w:sz w:val="3"/>
                <w:szCs w:val="3"/>
                <w:color w:val="auto"/>
              </w:rPr>
            </w:pPr>
          </w:p>
        </w:tc>
        <w:tc>
          <w:tcPr>
            <w:tcW w:w="5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1"/>
          <w:szCs w:val="11"/>
          <w:b w:val="1"/>
          <w:bCs w:val="1"/>
          <w:color w:val="auto"/>
        </w:rPr>
        <w:t>TEM</w:t>
      </w:r>
      <w:r>
        <w:rPr>
          <w:rFonts w:ascii="Arial" w:cs="Arial" w:eastAsia="Arial" w:hAnsi="Arial"/>
          <w:sz w:val="18"/>
          <w:szCs w:val="18"/>
          <w:b w:val="1"/>
          <w:bCs w:val="1"/>
          <w:color w:val="auto"/>
        </w:rPr>
        <w:t xml:space="preserve"> 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1"/>
          <w:szCs w:val="11"/>
          <w:b w:val="1"/>
          <w:bCs w:val="1"/>
          <w:color w:val="auto"/>
        </w:rPr>
        <w:t>ANAGEMENT</w:t>
      </w:r>
      <w:r>
        <w:rPr>
          <w:rFonts w:ascii="Arial" w:cs="Arial" w:eastAsia="Arial" w:hAnsi="Arial"/>
          <w:sz w:val="18"/>
          <w:szCs w:val="18"/>
          <w:b w:val="1"/>
          <w:bCs w:val="1"/>
          <w:color w:val="auto"/>
        </w:rPr>
        <w:t>’</w:t>
      </w:r>
      <w:r>
        <w:rPr>
          <w:rFonts w:ascii="Arial" w:cs="Arial" w:eastAsia="Arial" w:hAnsi="Arial"/>
          <w:sz w:val="11"/>
          <w:szCs w:val="11"/>
          <w:b w:val="1"/>
          <w:bCs w:val="1"/>
          <w:color w:val="auto"/>
        </w:rPr>
        <w:t>S</w:t>
      </w:r>
      <w:r>
        <w:rPr>
          <w:rFonts w:ascii="Arial" w:cs="Arial" w:eastAsia="Arial" w:hAnsi="Arial"/>
          <w:sz w:val="18"/>
          <w:szCs w:val="18"/>
          <w:b w:val="1"/>
          <w:bCs w:val="1"/>
          <w:color w:val="auto"/>
        </w:rPr>
        <w:t xml:space="preserve"> D</w:t>
      </w:r>
      <w:r>
        <w:rPr>
          <w:rFonts w:ascii="Arial" w:cs="Arial" w:eastAsia="Arial" w:hAnsi="Arial"/>
          <w:sz w:val="11"/>
          <w:szCs w:val="11"/>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1"/>
          <w:szCs w:val="11"/>
          <w:b w:val="1"/>
          <w:bCs w:val="1"/>
          <w:color w:val="auto"/>
        </w:rPr>
        <w:t>NALYSIS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2"/>
          <w:szCs w:val="12"/>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2"/>
          <w:szCs w:val="12"/>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2"/>
          <w:szCs w:val="12"/>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2"/>
          <w:szCs w:val="12"/>
          <w:b w:val="1"/>
          <w:bCs w:val="1"/>
          <w:color w:val="auto"/>
        </w:rPr>
        <w:t>PERATIONS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 The following section presents additional information to assess the financial condition and results of operations of Independent Bank</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(“IBCP”), its wholly-owned bank, Independent Bank (the “Bank”), and their subsidiaries. This section should be read in conjunction with the Condensed Consolidated Financial Statements. We also encourage you to read our 2020 Annual Report on Form 10-K filed with the U.S. Securities and Exchange Commission (“SEC”). That report includes a list of risk factors that you should consider in connection with any decision to buy or sell our securities.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Overview</w:t>
      </w:r>
      <w:r>
        <w:rPr>
          <w:rFonts w:ascii="Arial" w:cs="Arial" w:eastAsia="Arial" w:hAnsi="Arial"/>
          <w:sz w:val="17"/>
          <w:szCs w:val="17"/>
          <w:color w:val="auto"/>
        </w:rPr>
        <w:t>. We provide banking services to customers located primarily in Michigan’s Lower Peninsula. We also have two loan production offices in Ohio</w:t>
      </w:r>
      <w:r>
        <w:rPr>
          <w:rFonts w:ascii="Arial" w:cs="Arial" w:eastAsia="Arial" w:hAnsi="Arial"/>
          <w:sz w:val="17"/>
          <w:szCs w:val="17"/>
          <w:b w:val="1"/>
          <w:bCs w:val="1"/>
          <w:color w:val="auto"/>
        </w:rPr>
        <w:t xml:space="preserve"> </w:t>
      </w:r>
      <w:r>
        <w:rPr>
          <w:rFonts w:ascii="Arial" w:cs="Arial" w:eastAsia="Arial" w:hAnsi="Arial"/>
          <w:sz w:val="17"/>
          <w:szCs w:val="17"/>
          <w:color w:val="auto"/>
        </w:rPr>
        <w:t>(Columbus and Fairlawn). As a result, our success depends to a great extent upon the economic conditions in Michigan’s Lower Peninsula.</w:t>
      </w:r>
    </w:p>
    <w:p>
      <w:pPr>
        <w:spacing w:after="0" w:line="1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Recent Developments. </w:t>
      </w:r>
      <w:r>
        <w:rPr>
          <w:rFonts w:ascii="Arial" w:cs="Arial" w:eastAsia="Arial" w:hAnsi="Arial"/>
          <w:sz w:val="17"/>
          <w:szCs w:val="17"/>
          <w:color w:val="auto"/>
        </w:rPr>
        <w:t>The COVID-19 pandemic and the related government restrictions and guidance have had and may continue to have a significant effect</w:t>
      </w:r>
      <w:r>
        <w:rPr>
          <w:rFonts w:ascii="Arial" w:cs="Arial" w:eastAsia="Arial" w:hAnsi="Arial"/>
          <w:sz w:val="17"/>
          <w:szCs w:val="17"/>
          <w:b w:val="1"/>
          <w:bCs w:val="1"/>
          <w:color w:val="auto"/>
        </w:rPr>
        <w:t xml:space="preserve"> </w:t>
      </w:r>
      <w:r>
        <w:rPr>
          <w:rFonts w:ascii="Arial" w:cs="Arial" w:eastAsia="Arial" w:hAnsi="Arial"/>
          <w:sz w:val="17"/>
          <w:szCs w:val="17"/>
          <w:color w:val="auto"/>
        </w:rPr>
        <w:t>on us, our customers, and the markets we serve. Since the U.S. Food and Drug Administration (FDA) issued its first emergency use authorization for a COVID-19 vaccine on December 11, 2020, the Centers for Disease Control and Prevention (“CDC”) reports that almost 80% of the adult population in the U.S. has received at least one vaccination as of October 24, 2021. According to data reported by the State of Michigan as of October 22, 2021, 68.5% of Michigan residents ages 16 and older have had at least one vaccination.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in our markets, including as a result of concerns relating to possible variants of the original virus.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81" w:lineRule="exact"/>
        <w:rPr>
          <w:sz w:val="20"/>
          <w:szCs w:val="20"/>
          <w:color w:val="auto"/>
        </w:rPr>
      </w:pPr>
    </w:p>
    <w:p>
      <w:pPr>
        <w:ind w:left="640" w:hanging="316"/>
        <w:spacing w:after="0" w:line="252"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encountered by our business customers in addressing the effects of the pandemic may cause increases in loan delinquencies, foreclosures and defaults;</w:t>
      </w: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there is increased cyber and payment fraud risk, as cybercriminals attempt to profit from the disruption, given increased online and remote activity;</w:t>
      </w:r>
    </w:p>
    <w:p>
      <w:pPr>
        <w:spacing w:after="0" w:line="39" w:lineRule="exact"/>
        <w:rPr>
          <w:rFonts w:ascii="Arial" w:cs="Arial" w:eastAsia="Arial" w:hAnsi="Arial"/>
          <w:sz w:val="15"/>
          <w:szCs w:val="15"/>
          <w:color w:val="auto"/>
        </w:rPr>
      </w:pPr>
    </w:p>
    <w:p>
      <w:pPr>
        <w:ind w:left="640" w:hanging="316"/>
        <w:spacing w:after="0" w:line="245"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extent to which the COVID-19 pandemic may impact our business, results of operations and financial condition will depend on future developments, which continue to be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know the potential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99" w:lineRule="exact"/>
        <w:rPr>
          <w:sz w:val="20"/>
          <w:szCs w:val="20"/>
          <w:color w:val="auto"/>
        </w:rPr>
      </w:pPr>
    </w:p>
    <w:p>
      <w:pPr>
        <w:jc w:val="center"/>
        <w:ind w:right="280"/>
        <w:spacing w:after="0"/>
        <w:rPr>
          <w:sz w:val="20"/>
          <w:szCs w:val="20"/>
          <w:color w:val="auto"/>
        </w:rPr>
      </w:pPr>
      <w:r>
        <w:rPr>
          <w:rFonts w:ascii="Arial" w:cs="Arial" w:eastAsia="Arial" w:hAnsi="Arial"/>
          <w:sz w:val="15"/>
          <w:szCs w:val="15"/>
          <w:color w:val="auto"/>
        </w:rPr>
        <w:t>It is against this backdrop that we discuss our results of operations and financial condition in the first three quarters of 2021 as compared to earlier periods.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1"/>
          <w:szCs w:val="11"/>
          <w:b w:val="1"/>
          <w:bCs w:val="1"/>
          <w:color w:val="auto"/>
        </w:rPr>
        <w:t>ESULTS OF</w:t>
      </w:r>
      <w:r>
        <w:rPr>
          <w:rFonts w:ascii="Arial" w:cs="Arial" w:eastAsia="Arial" w:hAnsi="Arial"/>
          <w:sz w:val="18"/>
          <w:szCs w:val="18"/>
          <w:b w:val="1"/>
          <w:bCs w:val="1"/>
          <w:color w:val="auto"/>
        </w:rPr>
        <w:t xml:space="preserve"> O</w:t>
      </w:r>
      <w:r>
        <w:rPr>
          <w:rFonts w:ascii="Arial" w:cs="Arial" w:eastAsia="Arial" w:hAnsi="Arial"/>
          <w:sz w:val="11"/>
          <w:szCs w:val="11"/>
          <w:b w:val="1"/>
          <w:bCs w:val="1"/>
          <w:color w:val="auto"/>
        </w:rPr>
        <w:t>PERATIONS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$16.0 million and $19.6 million during the three months ended September 30, 2021 and 2020, respectively.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in 2021 third quarter results as compared to 2020 is primarily due to a decline in non-interest income and an increase in non-interest expense that were partially offset by an increase in net interest income and decreases in the provision for credit losses and income tax expense.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recorded net income of $50.4 million and $39.2 million during the nine months ended September 30, 2021 and 2020, respectively. The increase in 2021 year-to-date results as compared to 2020 is primarily due to increases in net interest income and non-interest income and a decrease in the provision for credit losses that was partially offset by increases in non-interest expense and income tax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spacing w:after="0"/>
              <w:rPr>
                <w:sz w:val="20"/>
                <w:szCs w:val="20"/>
                <w:color w:val="auto"/>
              </w:rPr>
            </w:pPr>
            <w:r>
              <w:rPr>
                <w:rFonts w:ascii="Arial" w:cs="Arial" w:eastAsia="Arial" w:hAnsi="Arial"/>
                <w:sz w:val="18"/>
                <w:szCs w:val="18"/>
                <w:b w:val="1"/>
                <w:bCs w:val="1"/>
                <w:color w:val="auto"/>
              </w:rPr>
              <w:t>Key performance ratios</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vMerge w:val="restart"/>
          </w:tcPr>
          <w:p>
            <w:pPr>
              <w:jc w:val="center"/>
              <w:ind w:right="520"/>
              <w:spacing w:after="0"/>
              <w:rPr>
                <w:sz w:val="20"/>
                <w:szCs w:val="20"/>
                <w:color w:val="auto"/>
              </w:rPr>
            </w:pPr>
            <w:r>
              <w:rPr>
                <w:rFonts w:ascii="Arial" w:cs="Arial" w:eastAsia="Arial" w:hAnsi="Arial"/>
                <w:sz w:val="18"/>
                <w:szCs w:val="18"/>
                <w:color w:val="auto"/>
                <w:w w:val="86"/>
              </w:rPr>
              <w:t>Three months ended</w:t>
            </w:r>
          </w:p>
        </w:tc>
        <w:tc>
          <w:tcPr>
            <w:tcW w:w="220" w:type="dxa"/>
            <w:vAlign w:val="bottom"/>
          </w:tcPr>
          <w:p>
            <w:pPr>
              <w:spacing w:after="0"/>
              <w:rPr>
                <w:sz w:val="19"/>
                <w:szCs w:val="19"/>
                <w:color w:val="auto"/>
              </w:rPr>
            </w:pPr>
          </w:p>
        </w:tc>
        <w:tc>
          <w:tcPr>
            <w:tcW w:w="2420" w:type="dxa"/>
            <w:vAlign w:val="bottom"/>
            <w:gridSpan w:val="5"/>
            <w:vMerge w:val="restart"/>
          </w:tcPr>
          <w:p>
            <w:pPr>
              <w:jc w:val="center"/>
              <w:ind w:right="380"/>
              <w:spacing w:after="0"/>
              <w:rPr>
                <w:sz w:val="20"/>
                <w:szCs w:val="20"/>
                <w:color w:val="auto"/>
              </w:rPr>
            </w:pPr>
            <w:r>
              <w:rPr>
                <w:rFonts w:ascii="Arial" w:cs="Arial" w:eastAsia="Arial" w:hAnsi="Arial"/>
                <w:sz w:val="18"/>
                <w:szCs w:val="18"/>
                <w:color w:val="auto"/>
                <w:w w:val="87"/>
              </w:rPr>
              <w:t>Nine months ended</w:t>
            </w:r>
          </w:p>
        </w:tc>
        <w:tc>
          <w:tcPr>
            <w:tcW w:w="0" w:type="dxa"/>
            <w:vAlign w:val="bottom"/>
          </w:tcPr>
          <w:p>
            <w:pPr>
              <w:spacing w:after="0"/>
              <w:rPr>
                <w:sz w:val="1"/>
                <w:szCs w:val="1"/>
                <w:color w:val="auto"/>
              </w:rPr>
            </w:pPr>
          </w:p>
        </w:tc>
      </w:tr>
      <w:tr>
        <w:trPr>
          <w:trHeight w:val="201"/>
        </w:trPr>
        <w:tc>
          <w:tcPr>
            <w:tcW w:w="39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6"/>
              </w:rPr>
              <w:t>September 30,</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20"/>
                <w:szCs w:val="20"/>
                <w:color w:val="auto"/>
              </w:rPr>
            </w:pPr>
            <w:r>
              <w:rPr>
                <w:rFonts w:ascii="Arial" w:cs="Arial" w:eastAsia="Arial" w:hAnsi="Arial"/>
                <w:sz w:val="18"/>
                <w:szCs w:val="18"/>
                <w:color w:val="auto"/>
              </w:rPr>
              <w:t>Net income (annualized) to</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2"/>
        </w:trPr>
        <w:tc>
          <w:tcPr>
            <w:tcW w:w="3900" w:type="dxa"/>
            <w:vAlign w:val="bottom"/>
          </w:tcPr>
          <w:p>
            <w:pPr>
              <w:ind w:left="160"/>
              <w:spacing w:after="0"/>
              <w:rPr>
                <w:sz w:val="20"/>
                <w:szCs w:val="20"/>
                <w:color w:val="auto"/>
              </w:rPr>
            </w:pPr>
            <w:r>
              <w:rPr>
                <w:rFonts w:ascii="Arial" w:cs="Arial" w:eastAsia="Arial" w:hAnsi="Arial"/>
                <w:sz w:val="18"/>
                <w:szCs w:val="18"/>
                <w:color w:val="auto"/>
              </w:rPr>
              <w:t>Average shareholders’ equity</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15.93%</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21.36%</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0.74</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39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3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547"/>
        </w:trPr>
        <w:tc>
          <w:tcPr>
            <w:tcW w:w="3900" w:type="dxa"/>
            <w:vAlign w:val="bottom"/>
          </w:tcPr>
          <w:p>
            <w:pPr>
              <w:spacing w:after="0"/>
              <w:rPr>
                <w:sz w:val="24"/>
                <w:szCs w:val="24"/>
                <w:color w:val="auto"/>
              </w:rPr>
            </w:pPr>
          </w:p>
        </w:tc>
        <w:tc>
          <w:tcPr>
            <w:tcW w:w="1940" w:type="dxa"/>
            <w:vAlign w:val="bottom"/>
          </w:tcPr>
          <w:p>
            <w:pPr>
              <w:jc w:val="right"/>
              <w:ind w:right="61"/>
              <w:spacing w:after="0"/>
              <w:rPr>
                <w:sz w:val="20"/>
                <w:szCs w:val="20"/>
                <w:color w:val="auto"/>
              </w:rPr>
            </w:pPr>
            <w:r>
              <w:rPr>
                <w:rFonts w:ascii="Arial" w:cs="Arial" w:eastAsia="Arial" w:hAnsi="Arial"/>
                <w:sz w:val="14"/>
                <w:szCs w:val="14"/>
                <w:color w:val="auto"/>
              </w:rPr>
              <w:t>72</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9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net interest income totaled $33.8 million during the third quarter of 2021, an increase of $1.8 million, or 5.7% from the year-ago period. This increase primarily reflects a $409.2 million increase in average interest-earning assets that was partially offset by a 13 basis point decrease in our tax equivalent net interest income as a percent of average interest-earning assets (the “net interest margin”).</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For the first nine months of 2021, net interest income totaled $95.5 million, an increase of $2.9 million, or 3.1% from 2020. This increase primarily reflects a $556.7 million increase in average interest-earning assets that was partially offset by a 33 basis point decrease in our net interest margin.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Due principally to the economic impact of COVID-19, the Federal Reserve has taken a variety of actions to stimulate the economy, including significantly lowering short-term interest rates. These lower interest rates combined with a higher allocation to lower yielding securities available for sale has placed continued pressure on our net interest margin.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average interest-earning assets in 2021 as compared to 2020 primarily reflects growth in securities available for sale funded from an increase in deposits.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Interest and fees on loans include $2.6 million and $6.5 million of accretion of net loan fees on PPP loans in the third quarter and first nine months of 2021, respectively, compared to $1.3 million and $2.3 million for the third quarter and first nine months of 2020. Interest and fees on loans also include $0.1 million and $0.7 million for the third quarter and first nine months of 2021, respectively, and include $0.3 million and $0.9 million for the third quarter and first nine months of 2020, respectively, of accretion of the discount recorded on loans acquired in the April 2018 acquisition of Traverse City State Bank (“TCSB”). In addition, the third quarter and first nine months 2020 included $0.5 million of discount accretion on a purchased commercial loan that was paid off during the quarter.</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net interest income is also adversely impacted by our level of non-accrual loans. In the third quarter and first nine months of 2021, non-accrual loans averaged $5.3 million and $6.4 million, respectively. In the third quarter and first nine months of 2020, non-accrual loans averaged $10.4 million and $12.4 million, respectively. In addition, in the third quarter and first nine months of 2021, we had net recoveries of $0.29 million and $0.89 million, respectively, of unpaid interest on loans placed on or taken off non-accrual during each period or on loans previously charged-off compared to net recoveries of $0.44 million and $0.85 million, respectively, during the same periods in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100" w:type="dxa"/>
            <w:vAlign w:val="bottom"/>
            <w:gridSpan w:val="5"/>
          </w:tcPr>
          <w:p>
            <w:pPr>
              <w:jc w:val="center"/>
              <w:ind w:right="120"/>
              <w:spacing w:after="0"/>
              <w:rPr>
                <w:sz w:val="20"/>
                <w:szCs w:val="20"/>
                <w:color w:val="auto"/>
              </w:rPr>
            </w:pPr>
            <w:r>
              <w:rPr>
                <w:rFonts w:ascii="Arial" w:cs="Arial" w:eastAsia="Arial" w:hAnsi="Arial"/>
                <w:sz w:val="18"/>
                <w:szCs w:val="18"/>
                <w:color w:val="auto"/>
                <w:w w:val="86"/>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w w:val="92"/>
              </w:rPr>
              <w:t>Average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w w:val="98"/>
              </w:rPr>
              <w:t xml:space="preserve">Rate </w:t>
            </w:r>
            <w:r>
              <w:rPr>
                <w:rFonts w:ascii="Arial" w:cs="Arial" w:eastAsia="Arial" w:hAnsi="Arial"/>
                <w:sz w:val="29"/>
                <w:szCs w:val="29"/>
                <w:color w:val="auto"/>
                <w:w w:val="98"/>
                <w:vertAlign w:val="superscript"/>
              </w:rPr>
              <w:t>(2)</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Interest</w:t>
            </w: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Interest</w:t>
            </w: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96"/>
              </w:rPr>
              <w:t>(Dollars</w:t>
            </w:r>
          </w:p>
        </w:tc>
        <w:tc>
          <w:tcPr>
            <w:tcW w:w="240" w:type="dxa"/>
            <w:vAlign w:val="bottom"/>
          </w:tcPr>
          <w:p>
            <w:pPr>
              <w:spacing w:after="0"/>
              <w:rPr>
                <w:sz w:val="20"/>
                <w:szCs w:val="20"/>
                <w:color w:val="auto"/>
              </w:rPr>
            </w:pPr>
            <w:r>
              <w:rPr>
                <w:rFonts w:ascii="Arial" w:cs="Arial" w:eastAsia="Arial" w:hAnsi="Arial"/>
                <w:sz w:val="18"/>
                <w:szCs w:val="18"/>
                <w:color w:val="auto"/>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2,896,552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30,061</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2,918,946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Tax-exempt loans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3,922</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733,977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line="212" w:lineRule="exact"/>
              <w:rPr>
                <w:sz w:val="20"/>
                <w:szCs w:val="20"/>
                <w:color w:val="auto"/>
              </w:rPr>
            </w:pPr>
            <w:r>
              <w:rPr>
                <w:rFonts w:ascii="Arial" w:cs="Arial" w:eastAsia="Arial" w:hAnsi="Arial"/>
                <w:sz w:val="15"/>
                <w:szCs w:val="15"/>
                <w:color w:val="auto"/>
              </w:rPr>
              <w:t>Tax-exempt securities available for sale</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2,070</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1,194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8"/>
        </w:trPr>
        <w:tc>
          <w:tcPr>
            <w:tcW w:w="49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18,427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45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Interest Earning Assets</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4,296,662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3.37</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3,887,455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57,151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52,676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162,187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45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4,513,774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4,102,318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4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Savings and interest-bearing checking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2,317,142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1,922,971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314,394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498,796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1,376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45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Interest Bearing Liabilities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2,740,444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2,052</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2,532,481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3,068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1,303,401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1,137,303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72,387</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67,820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0" w:type="dxa"/>
            <w:vAlign w:val="bottom"/>
            <w:tcBorders>
              <w:top w:val="single" w:sz="8" w:color="CCEEFF"/>
            </w:tcBorders>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20" w:type="dxa"/>
            <w:vAlign w:val="bottom"/>
            <w:shd w:val="clear" w:color="auto" w:fill="CCEEFF"/>
          </w:tcPr>
          <w:p>
            <w:pPr>
              <w:spacing w:after="0"/>
              <w:rPr>
                <w:sz w:val="21"/>
                <w:szCs w:val="21"/>
                <w:color w:val="auto"/>
              </w:rPr>
            </w:pPr>
          </w:p>
        </w:tc>
        <w:tc>
          <w:tcPr>
            <w:tcW w:w="45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4,513,774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4,102,318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gridSpan w:val="2"/>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gridSpan w:val="2"/>
          </w:tcPr>
          <w:p>
            <w:pPr>
              <w:spacing w:after="0"/>
              <w:rPr>
                <w:sz w:val="17"/>
                <w:szCs w:val="17"/>
                <w:color w:val="auto"/>
              </w:rPr>
            </w:pPr>
          </w:p>
        </w:tc>
        <w:tc>
          <w:tcPr>
            <w:tcW w:w="920" w:type="dxa"/>
            <w:vAlign w:val="bottom"/>
            <w:tcBorders>
              <w:top w:val="single" w:sz="8" w:color="CCEEFF"/>
            </w:tcBorders>
            <w:gridSpan w:val="2"/>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20" w:type="dxa"/>
            <w:vAlign w:val="bottom"/>
            <w:shd w:val="clear" w:color="auto" w:fill="CCEEFF"/>
          </w:tcPr>
          <w:p>
            <w:pPr>
              <w:spacing w:after="0"/>
              <w:rPr>
                <w:sz w:val="21"/>
                <w:szCs w:val="21"/>
                <w:color w:val="auto"/>
              </w:rPr>
            </w:pPr>
          </w:p>
        </w:tc>
        <w:tc>
          <w:tcPr>
            <w:tcW w:w="45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34,295</w:t>
            </w: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32,224</w:t>
            </w: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2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Net Interest Income as a Percent of Average Interest Earning Assets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50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10" cy="17145"/>
                    </a:xfrm>
                    <a:prstGeom prst="rect">
                      <a:avLst/>
                    </a:prstGeom>
                    <a:noFill/>
                  </pic:spPr>
                </pic:pic>
              </a:graphicData>
            </a:graphic>
          </wp:anchor>
        </w:drawing>
      </w:r>
    </w:p>
    <w:p>
      <w:pPr>
        <w:spacing w:after="0" w:line="392"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27" w:lineRule="exact"/>
        <w:rPr>
          <w:rFonts w:ascii="Arial" w:cs="Arial" w:eastAsia="Arial" w:hAnsi="Arial"/>
          <w:sz w:val="17"/>
          <w:szCs w:val="17"/>
          <w:color w:val="auto"/>
        </w:rPr>
      </w:pPr>
    </w:p>
    <w:p>
      <w:pPr>
        <w:ind w:left="320" w:hanging="314"/>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Average Balances and Tax Equivalent Rate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right"/>
              <w:ind w:right="42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right"/>
              <w:ind w:right="17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line="200" w:lineRule="exact"/>
              <w:rPr>
                <w:sz w:val="20"/>
                <w:szCs w:val="20"/>
                <w:color w:val="auto"/>
              </w:rPr>
            </w:pPr>
            <w:r>
              <w:rPr>
                <w:rFonts w:ascii="Arial" w:cs="Arial" w:eastAsia="Arial" w:hAnsi="Arial"/>
                <w:sz w:val="18"/>
                <w:szCs w:val="18"/>
                <w:color w:val="auto"/>
                <w:w w:val="92"/>
              </w:rPr>
              <w:t>Average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vMerge w:val="restart"/>
          </w:tcPr>
          <w:p>
            <w:pPr>
              <w:jc w:val="right"/>
              <w:ind w:right="292"/>
              <w:spacing w:after="0"/>
              <w:rPr>
                <w:sz w:val="20"/>
                <w:szCs w:val="20"/>
                <w:color w:val="auto"/>
              </w:rPr>
            </w:pPr>
            <w:r>
              <w:rPr>
                <w:rFonts w:ascii="Arial" w:cs="Arial" w:eastAsia="Arial" w:hAnsi="Arial"/>
                <w:sz w:val="18"/>
                <w:szCs w:val="18"/>
                <w:color w:val="auto"/>
                <w:w w:val="98"/>
              </w:rPr>
              <w:t xml:space="preserve">Rate </w:t>
            </w:r>
            <w:r>
              <w:rPr>
                <w:rFonts w:ascii="Arial" w:cs="Arial" w:eastAsia="Arial" w:hAnsi="Arial"/>
                <w:sz w:val="29"/>
                <w:szCs w:val="29"/>
                <w:color w:val="auto"/>
                <w:w w:val="98"/>
                <w:vertAlign w:val="superscript"/>
              </w:rPr>
              <w:t>(2)</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w w:val="92"/>
              </w:rPr>
              <w:t>Average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8"/>
                <w:szCs w:val="18"/>
                <w:color w:val="auto"/>
              </w:rPr>
              <w:t xml:space="preserve">Rate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Interest</w:t>
            </w: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Interest</w:t>
            </w: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(Dollars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71"/>
              </w:rPr>
              <w:t>in</w:t>
            </w: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2,859,207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86,126</w:t>
            </w:r>
          </w:p>
        </w:tc>
        <w:tc>
          <w:tcPr>
            <w:tcW w:w="1060" w:type="dxa"/>
            <w:vAlign w:val="bottom"/>
            <w:tcBorders>
              <w:right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2,861,776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91,804</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6"/>
              </w:rPr>
              <w:t>4.28%</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Tax-exempt loans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Taxable securities available for sale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10,374</w:t>
            </w:r>
          </w:p>
        </w:tc>
        <w:tc>
          <w:tcPr>
            <w:tcW w:w="106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579,704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9,356</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line="212" w:lineRule="exact"/>
              <w:rPr>
                <w:sz w:val="20"/>
                <w:szCs w:val="20"/>
                <w:color w:val="auto"/>
              </w:rPr>
            </w:pPr>
            <w:r>
              <w:rPr>
                <w:rFonts w:ascii="Arial" w:cs="Arial" w:eastAsia="Arial" w:hAnsi="Arial"/>
                <w:sz w:val="15"/>
                <w:szCs w:val="15"/>
                <w:color w:val="auto"/>
              </w:rPr>
              <w:t>Tax-exempt securities available for sale</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5,845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114,187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2,682</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76,533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6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8"/>
        </w:trPr>
        <w:tc>
          <w:tcPr>
            <w:tcW w:w="490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18,427</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18,404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2"/>
        </w:trPr>
        <w:tc>
          <w:tcPr>
            <w:tcW w:w="320" w:type="dxa"/>
            <w:vAlign w:val="bottom"/>
            <w:shd w:val="clear" w:color="auto" w:fill="CCEEFF"/>
          </w:tcPr>
          <w:p>
            <w:pPr>
              <w:spacing w:after="0"/>
              <w:rPr>
                <w:sz w:val="18"/>
                <w:szCs w:val="18"/>
                <w:color w:val="auto"/>
              </w:rPr>
            </w:pPr>
          </w:p>
        </w:tc>
        <w:tc>
          <w:tcPr>
            <w:tcW w:w="458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Interest Earning 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4,190,306</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103,230</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3,633,602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55,883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49,345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0" w:type="dxa"/>
            <w:vAlign w:val="bottom"/>
            <w:shd w:val="clear" w:color="auto" w:fill="CCEEFF"/>
          </w:tcPr>
          <w:p>
            <w:pPr>
              <w:spacing w:after="0"/>
              <w:rPr>
                <w:sz w:val="2"/>
                <w:szCs w:val="2"/>
                <w:color w:val="auto"/>
              </w:rPr>
            </w:pPr>
          </w:p>
        </w:tc>
        <w:tc>
          <w:tcPr>
            <w:tcW w:w="45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4,401,890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3,846,450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4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00" w:type="dxa"/>
            <w:vAlign w:val="bottom"/>
            <w:tcBorders>
              <w:right w:val="single" w:sz="8" w:color="CCEEFF"/>
            </w:tcBorders>
            <w:gridSpan w:val="2"/>
            <w:shd w:val="clear" w:color="auto" w:fill="CCEEFF"/>
          </w:tcPr>
          <w:p>
            <w:pPr>
              <w:spacing w:after="0" w:line="200" w:lineRule="exact"/>
              <w:rPr>
                <w:sz w:val="20"/>
                <w:szCs w:val="20"/>
                <w:color w:val="auto"/>
              </w:rPr>
            </w:pPr>
            <w:r>
              <w:rPr>
                <w:rFonts w:ascii="Arial" w:cs="Arial" w:eastAsia="Arial" w:hAnsi="Arial"/>
                <w:sz w:val="18"/>
                <w:szCs w:val="18"/>
                <w:color w:val="auto"/>
              </w:rPr>
              <w:t>Savings and interest-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bearing checking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2,239,887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2,059</w:t>
            </w:r>
          </w:p>
        </w:tc>
        <w:tc>
          <w:tcPr>
            <w:tcW w:w="106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1,764,933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3,121</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1,429</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529,248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6,029</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2,888</w:t>
            </w:r>
          </w:p>
        </w:tc>
        <w:tc>
          <w:tcPr>
            <w:tcW w:w="1060" w:type="dxa"/>
            <w:vAlign w:val="bottom"/>
            <w:tcBorders>
              <w:right w:val="single" w:sz="8" w:color="CCEEFF"/>
            </w:tcBorders>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6"/>
        </w:trPr>
        <w:tc>
          <w:tcPr>
            <w:tcW w:w="320" w:type="dxa"/>
            <w:vAlign w:val="bottom"/>
            <w:shd w:val="clear" w:color="auto" w:fill="CCEEFF"/>
          </w:tcPr>
          <w:p>
            <w:pPr>
              <w:spacing w:after="0"/>
              <w:rPr>
                <w:sz w:val="2"/>
                <w:szCs w:val="2"/>
                <w:color w:val="auto"/>
              </w:rPr>
            </w:pPr>
          </w:p>
        </w:tc>
        <w:tc>
          <w:tcPr>
            <w:tcW w:w="45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Interest Bearing Liabilities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2,668,545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6,376</w:t>
            </w:r>
          </w:p>
        </w:tc>
        <w:tc>
          <w:tcPr>
            <w:tcW w:w="1060" w:type="dxa"/>
            <w:vAlign w:val="bottom"/>
            <w:gridSpan w:val="2"/>
          </w:tcPr>
          <w:p>
            <w:pPr>
              <w:jc w:val="right"/>
              <w:ind w:right="152"/>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2,415,376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11,748</w:t>
            </w: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1,279,006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1,016,286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65,464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62,984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351,804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45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4,401,890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3,846,450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4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580" w:type="dxa"/>
            <w:vAlign w:val="bottom"/>
          </w:tcPr>
          <w:p>
            <w:pPr>
              <w:jc w:val="right"/>
              <w:ind w:right="12"/>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96,854</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93,221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shd w:val="clear" w:color="auto" w:fill="CCEEFF"/>
          </w:tcPr>
          <w:p>
            <w:pPr>
              <w:spacing w:after="0"/>
              <w:rPr>
                <w:sz w:val="17"/>
                <w:szCs w:val="17"/>
                <w:color w:val="auto"/>
              </w:rPr>
            </w:pPr>
          </w:p>
        </w:tc>
        <w:tc>
          <w:tcPr>
            <w:tcW w:w="45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900" w:type="dxa"/>
            <w:vAlign w:val="bottom"/>
            <w:gridSpan w:val="2"/>
          </w:tcPr>
          <w:p>
            <w:pPr>
              <w:spacing w:after="0"/>
              <w:rPr>
                <w:sz w:val="20"/>
                <w:szCs w:val="20"/>
                <w:color w:val="auto"/>
              </w:rPr>
            </w:pPr>
            <w:r>
              <w:rPr>
                <w:rFonts w:ascii="Arial" w:cs="Arial" w:eastAsia="Arial" w:hAnsi="Arial"/>
                <w:sz w:val="18"/>
                <w:szCs w:val="18"/>
                <w:color w:val="auto"/>
                <w:w w:val="88"/>
              </w:rPr>
              <w:t>Net Interest Income as a Percent of Average Interest Earning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w w:val="86"/>
              </w:rPr>
              <w:t>3.42%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50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10" cy="17145"/>
                    </a:xfrm>
                    <a:prstGeom prst="rect">
                      <a:avLst/>
                    </a:prstGeom>
                    <a:noFill/>
                  </pic:spPr>
                </pic:pic>
              </a:graphicData>
            </a:graphic>
          </wp:anchor>
        </w:drawing>
      </w:r>
    </w:p>
    <w:p>
      <w:pPr>
        <w:spacing w:after="0" w:line="392" w:lineRule="exact"/>
        <w:rPr>
          <w:sz w:val="20"/>
          <w:szCs w:val="20"/>
          <w:color w:val="auto"/>
        </w:rPr>
      </w:pPr>
    </w:p>
    <w:p>
      <w:pPr>
        <w:ind w:left="320" w:hanging="314"/>
        <w:spacing w:after="0"/>
        <w:tabs>
          <w:tab w:leader="none" w:pos="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27" w:lineRule="exact"/>
        <w:rPr>
          <w:rFonts w:ascii="Arial" w:cs="Arial" w:eastAsia="Arial" w:hAnsi="Arial"/>
          <w:sz w:val="17"/>
          <w:szCs w:val="17"/>
          <w:color w:val="auto"/>
        </w:rPr>
      </w:pPr>
    </w:p>
    <w:p>
      <w:pPr>
        <w:ind w:left="320" w:hanging="314"/>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Non-GAAP Financial Measures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532"/>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772"/>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8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Interest Margin, Fully Taxable Equivalent (“FTE”)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(Dollars</w:t>
            </w:r>
          </w:p>
        </w:tc>
        <w:tc>
          <w:tcPr>
            <w:tcW w:w="260" w:type="dxa"/>
            <w:vAlign w:val="bottom"/>
            <w:gridSpan w:val="2"/>
          </w:tcPr>
          <w:p>
            <w:pPr>
              <w:spacing w:after="0"/>
              <w:rPr>
                <w:sz w:val="20"/>
                <w:szCs w:val="20"/>
                <w:color w:val="auto"/>
              </w:rPr>
            </w:pPr>
            <w:r>
              <w:rPr>
                <w:rFonts w:ascii="Arial" w:cs="Arial" w:eastAsia="Arial" w:hAnsi="Arial"/>
                <w:sz w:val="18"/>
                <w:szCs w:val="18"/>
                <w:color w:val="auto"/>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33,803</w:t>
            </w:r>
          </w:p>
        </w:tc>
        <w:tc>
          <w:tcPr>
            <w:tcW w:w="5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31,966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95,480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92,619</w:t>
            </w:r>
          </w:p>
        </w:tc>
        <w:tc>
          <w:tcPr>
            <w:tcW w:w="0" w:type="dxa"/>
            <w:vAlign w:val="bottom"/>
          </w:tcPr>
          <w:p>
            <w:pPr>
              <w:spacing w:after="0"/>
              <w:rPr>
                <w:sz w:val="1"/>
                <w:szCs w:val="1"/>
                <w:color w:val="auto"/>
              </w:rPr>
            </w:pPr>
          </w:p>
        </w:tc>
      </w:tr>
      <w:tr>
        <w:trPr>
          <w:trHeight w:val="218"/>
        </w:trPr>
        <w:tc>
          <w:tcPr>
            <w:tcW w:w="5880" w:type="dxa"/>
            <w:vAlign w:val="bottom"/>
            <w:gridSpan w:val="2"/>
          </w:tcPr>
          <w:p>
            <w:pPr>
              <w:ind w:left="160"/>
              <w:spacing w:after="0"/>
              <w:rPr>
                <w:sz w:val="20"/>
                <w:szCs w:val="20"/>
                <w:color w:val="auto"/>
              </w:rPr>
            </w:pPr>
            <w:r>
              <w:rPr>
                <w:rFonts w:ascii="Arial" w:cs="Arial" w:eastAsia="Arial" w:hAnsi="Arial"/>
                <w:sz w:val="18"/>
                <w:szCs w:val="18"/>
                <w:color w:val="auto"/>
              </w:rPr>
              <w:t>Add: taxable equivalent adjustment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2"/>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2"/>
        </w:trPr>
        <w:tc>
          <w:tcPr>
            <w:tcW w:w="5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34,295</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96,854</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80" w:type="dxa"/>
            <w:vAlign w:val="bottom"/>
          </w:tcPr>
          <w:p>
            <w:pPr>
              <w:spacing w:after="0" w:line="223" w:lineRule="exact"/>
              <w:rPr>
                <w:sz w:val="20"/>
                <w:szCs w:val="20"/>
                <w:color w:val="auto"/>
              </w:rPr>
            </w:pPr>
            <w:r>
              <w:rPr>
                <w:rFonts w:ascii="Arial" w:cs="Arial" w:eastAsia="Arial" w:hAnsi="Arial"/>
                <w:sz w:val="16"/>
                <w:szCs w:val="16"/>
                <w:color w:val="auto"/>
              </w:rPr>
              <w:t xml:space="preserve">Net interest margin (GAAP) </w:t>
            </w:r>
            <w:r>
              <w:rPr>
                <w:rFonts w:ascii="Arial" w:cs="Arial" w:eastAsia="Arial" w:hAnsi="Arial"/>
                <w:sz w:val="25"/>
                <w:szCs w:val="25"/>
                <w:color w:val="auto"/>
                <w:vertAlign w:val="superscript"/>
              </w:rPr>
              <w:t>(1)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58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5880" w:type="dxa"/>
            <w:vAlign w:val="bottom"/>
            <w:shd w:val="clear" w:color="auto" w:fill="CCEEFF"/>
          </w:tcPr>
          <w:p>
            <w:pPr>
              <w:spacing w:after="0" w:line="205" w:lineRule="exact"/>
              <w:rPr>
                <w:sz w:val="20"/>
                <w:szCs w:val="20"/>
                <w:color w:val="auto"/>
              </w:rPr>
            </w:pPr>
            <w:r>
              <w:rPr>
                <w:rFonts w:ascii="Arial" w:cs="Arial" w:eastAsia="Arial" w:hAnsi="Arial"/>
                <w:sz w:val="15"/>
                <w:szCs w:val="15"/>
                <w:color w:val="auto"/>
              </w:rPr>
              <w:t xml:space="preserve">Net interest margin (FTE) </w:t>
            </w:r>
            <w:r>
              <w:rPr>
                <w:rFonts w:ascii="Arial" w:cs="Arial" w:eastAsia="Arial" w:hAnsi="Arial"/>
                <w:sz w:val="23"/>
                <w:szCs w:val="23"/>
                <w:color w:val="auto"/>
                <w:vertAlign w:val="superscript"/>
              </w:rPr>
              <w:t>(1)</w:t>
            </w:r>
          </w:p>
        </w:tc>
        <w:tc>
          <w:tcPr>
            <w:tcW w:w="136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3.18%</w:t>
            </w:r>
          </w:p>
        </w:tc>
        <w:tc>
          <w:tcPr>
            <w:tcW w:w="136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3.31%</w:t>
            </w:r>
          </w:p>
        </w:tc>
        <w:tc>
          <w:tcPr>
            <w:tcW w:w="13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3.09%</w:t>
            </w: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3.42%</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Provision for credit losses. </w:t>
      </w:r>
      <w:r>
        <w:rPr>
          <w:rFonts w:ascii="Arial" w:cs="Arial" w:eastAsia="Arial" w:hAnsi="Arial"/>
          <w:sz w:val="18"/>
          <w:szCs w:val="18"/>
          <w:color w:val="auto"/>
        </w:rPr>
        <w:t>We adopted Financial Accounting Standards Board Accounting Standards Update 2016-13, Financial Instruments —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(Topic 326), Measurement of Credit Losses on Financial Instruments (“CECL”) on January 1, 2021. See note #2 to the Condensed Consolidated Financial Statements included within this report for our discussion on CECL implementation.</w:t>
      </w:r>
    </w:p>
    <w:p>
      <w:pPr>
        <w:spacing w:after="0" w:line="18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provision for credit losses was a credit of $0.7 million and an expense of $1.0 million for the three months ended September 30, 2021 and 2020, respectively. During the nine-month periods ended September 30, 2021 and 2020, the provision for credit losses was a credit of $2.6 million and an expense of $12.9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2021. See note #13 to the Condensed Consolidated Financial Statements included within this report for a discussion on industry concentrations. In particular, the higher year-to-date provision for credit losses in 2020 included a $10.7 million (or 122.1%) increase in the qualitative/subjective portion of the allowance for credit losses. That increase principally reflected the unique challenges and economic uncertainty resulting from the COVID-19 pandemic during the first three quarters of 2020 and the potential impact on the loan portfolio.</w:t>
      </w:r>
    </w:p>
    <w:p>
      <w:pPr>
        <w:spacing w:after="0" w:line="3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Non-interest income. </w:t>
      </w:r>
      <w:r>
        <w:rPr>
          <w:rFonts w:ascii="Arial" w:cs="Arial" w:eastAsia="Arial" w:hAnsi="Arial"/>
          <w:sz w:val="18"/>
          <w:szCs w:val="18"/>
          <w:color w:val="auto"/>
        </w:rPr>
        <w:t>Non-interest income is a significant element in assessing our results of operations. Non-interest income totaled $19.7 million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2021 compared to $27.0 million in the third quarter of 2020. For the first nine months of 2021, non-interest income totaled $60.9 million compared to $58.4 million for the first nine months of 2020.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6"/>
        </w:trPr>
        <w:tc>
          <w:tcPr>
            <w:tcW w:w="5960" w:type="dxa"/>
            <w:vAlign w:val="bottom"/>
            <w:gridSpan w:val="2"/>
          </w:tcPr>
          <w:p>
            <w:pPr>
              <w:spacing w:after="0"/>
              <w:rPr>
                <w:sz w:val="20"/>
                <w:szCs w:val="20"/>
                <w:color w:val="auto"/>
              </w:rPr>
            </w:pPr>
            <w:r>
              <w:rPr>
                <w:rFonts w:ascii="Arial" w:cs="Arial" w:eastAsia="Arial" w:hAnsi="Arial"/>
                <w:sz w:val="18"/>
                <w:szCs w:val="18"/>
                <w:color w:val="auto"/>
              </w:rPr>
              <w:t>The components of non-interest income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Non-Interest Income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8"/>
                <w:szCs w:val="18"/>
                <w:color w:val="auto"/>
                <w:w w:val="97"/>
              </w:rPr>
              <w:t>Nine months ended</w:t>
            </w: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8"/>
                <w:szCs w:val="18"/>
                <w:color w:val="auto"/>
              </w:rPr>
              <w:t>September 30,</w:t>
            </w:r>
          </w:p>
        </w:tc>
      </w:tr>
      <w:tr>
        <w:trPr>
          <w:trHeight w:val="231"/>
        </w:trPr>
        <w:tc>
          <w:tcPr>
            <w:tcW w:w="3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6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3,428</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8,411</w:t>
            </w:r>
          </w:p>
        </w:tc>
      </w:tr>
      <w:tr>
        <w:trPr>
          <w:trHeight w:val="212"/>
        </w:trPr>
        <w:tc>
          <w:tcPr>
            <w:tcW w:w="5960" w:type="dxa"/>
            <w:vAlign w:val="bottom"/>
            <w:gridSpan w:val="2"/>
          </w:tcPr>
          <w:p>
            <w:pPr>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2,085</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6,299</w:t>
            </w: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on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Mortgage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20,205</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30,280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46,687</w:t>
            </w:r>
          </w:p>
        </w:tc>
      </w:tr>
      <w:tr>
        <w:trPr>
          <w:trHeight w:val="212"/>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2"/>
        </w:trPr>
        <w:tc>
          <w:tcPr>
            <w:tcW w:w="5960" w:type="dxa"/>
            <w:vAlign w:val="bottom"/>
            <w:gridSpan w:val="2"/>
          </w:tcPr>
          <w:p>
            <w:pPr>
              <w:spacing w:after="0"/>
              <w:rPr>
                <w:sz w:val="20"/>
                <w:szCs w:val="20"/>
                <w:color w:val="auto"/>
              </w:rPr>
            </w:pPr>
            <w:r>
              <w:rPr>
                <w:rFonts w:ascii="Arial" w:cs="Arial" w:eastAsia="Arial" w:hAnsi="Arial"/>
                <w:sz w:val="18"/>
                <w:szCs w:val="18"/>
                <w:color w:val="auto"/>
              </w:rPr>
              <w:t>Mortgage loan servicing,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(8,966)</w:t>
            </w: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r>
      <w:tr>
        <w:trPr>
          <w:trHeight w:val="212"/>
        </w:trPr>
        <w:tc>
          <w:tcPr>
            <w:tcW w:w="596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w:t>
            </w:r>
          </w:p>
        </w:tc>
      </w:tr>
      <w:tr>
        <w:trPr>
          <w:trHeight w:val="27"/>
        </w:trPr>
        <w:tc>
          <w:tcPr>
            <w:tcW w:w="32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19,695</w:t>
            </w:r>
          </w:p>
        </w:tc>
        <w:tc>
          <w:tcPr>
            <w:tcW w:w="24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27,011</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60,872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58,382</w:t>
            </w:r>
          </w:p>
        </w:tc>
      </w:tr>
      <w:tr>
        <w:trPr>
          <w:trHeight w:val="20"/>
        </w:trPr>
        <w:tc>
          <w:tcPr>
            <w:tcW w:w="3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Interchange income increased on both a comparative quarterly and year-to-date basis in 2021 as compared to 2020, primarily due to growth in debit card transaction volume (the third quarter of 2020 was adversely impacted by COVID-19 pandemic related shut-downs of businesses and stay at home mandates), a new switch contract that was initially effective in the fourth quarter of 2020 that increased revenues and joining a surcharge free ATM network in April 2020 that increased both interchange income and interchange expense.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Service charges on deposit accounts increased on a comparative quarterly basis and on a year-to-date basis in 2021 as compared to 2020. The quarterly increase was principally due to an increase in non-sufficient funds occurrences (and related fees). In particular, the third quarter of 2020 was impacted by COVID-19 pandemic related business shut-downs and stay at home mandates that reduced checking account activity.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Net gains on mortgage loans declined in 2021 from 2020 on both a quarterly and a year-to-date basis. Mortgage loan activity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20"/>
                <w:szCs w:val="20"/>
                <w:color w:val="auto"/>
              </w:rPr>
            </w:pPr>
            <w:r>
              <w:rPr>
                <w:rFonts w:ascii="Arial" w:cs="Arial" w:eastAsia="Arial" w:hAnsi="Arial"/>
                <w:sz w:val="18"/>
                <w:szCs w:val="18"/>
                <w:b w:val="1"/>
                <w:bCs w:val="1"/>
                <w:color w:val="auto"/>
              </w:rPr>
              <w:t>Mortgage Loan Activity</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3"/>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jc w:val="center"/>
              <w:ind w:right="432"/>
              <w:spacing w:after="0"/>
              <w:rPr>
                <w:sz w:val="20"/>
                <w:szCs w:val="20"/>
                <w:color w:val="auto"/>
              </w:rPr>
            </w:pPr>
            <w:r>
              <w:rPr>
                <w:rFonts w:ascii="Arial" w:cs="Arial" w:eastAsia="Arial" w:hAnsi="Arial"/>
                <w:sz w:val="18"/>
                <w:szCs w:val="18"/>
                <w:color w:val="auto"/>
                <w:w w:val="86"/>
              </w:rPr>
              <w:t>Three months ended</w:t>
            </w:r>
          </w:p>
        </w:tc>
        <w:tc>
          <w:tcPr>
            <w:tcW w:w="22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color w:val="auto"/>
                <w:w w:val="87"/>
              </w:rPr>
              <w:t>Nine months ended</w:t>
            </w:r>
          </w:p>
        </w:tc>
      </w:tr>
      <w:tr>
        <w:trPr>
          <w:trHeight w:val="212"/>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6"/>
              </w:rPr>
              <w:t>September 30,</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left="412"/>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2020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160" w:type="dxa"/>
            <w:vAlign w:val="bottom"/>
          </w:tcPr>
          <w:p>
            <w:pPr>
              <w:spacing w:after="0"/>
              <w:rPr>
                <w:sz w:val="20"/>
                <w:szCs w:val="20"/>
                <w:color w:val="auto"/>
              </w:rPr>
            </w:pPr>
          </w:p>
        </w:tc>
      </w:tr>
      <w:tr>
        <w:trPr>
          <w:trHeight w:val="212"/>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(Dollars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71"/>
              </w:rPr>
              <w:t>in</w:t>
            </w:r>
          </w:p>
        </w:tc>
        <w:tc>
          <w:tcPr>
            <w:tcW w:w="11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453,752</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536,502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1,436,497</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1,318,206</w:t>
            </w:r>
          </w:p>
        </w:tc>
      </w:tr>
      <w:tr>
        <w:trPr>
          <w:trHeight w:val="212"/>
        </w:trPr>
        <w:tc>
          <w:tcPr>
            <w:tcW w:w="5840" w:type="dxa"/>
            <w:vAlign w:val="bottom"/>
          </w:tcPr>
          <w:p>
            <w:pPr>
              <w:spacing w:after="0"/>
              <w:rPr>
                <w:sz w:val="20"/>
                <w:szCs w:val="20"/>
                <w:color w:val="auto"/>
              </w:rPr>
            </w:pPr>
            <w:r>
              <w:rPr>
                <w:rFonts w:ascii="Arial" w:cs="Arial" w:eastAsia="Arial" w:hAnsi="Arial"/>
                <w:sz w:val="18"/>
                <w:szCs w:val="18"/>
                <w:color w:val="auto"/>
              </w:rPr>
              <w:t>Mortgage loans sold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279,235</w:t>
            </w:r>
          </w:p>
        </w:tc>
        <w:tc>
          <w:tcPr>
            <w:tcW w:w="380" w:type="dxa"/>
            <w:vAlign w:val="bottom"/>
          </w:tcPr>
          <w:p>
            <w:pPr>
              <w:spacing w:after="0"/>
              <w:rPr>
                <w:sz w:val="18"/>
                <w:szCs w:val="18"/>
                <w:color w:val="auto"/>
              </w:rPr>
            </w:pPr>
          </w:p>
        </w:tc>
        <w:tc>
          <w:tcPr>
            <w:tcW w:w="1000" w:type="dxa"/>
            <w:vAlign w:val="bottom"/>
            <w:gridSpan w:val="2"/>
          </w:tcPr>
          <w:p>
            <w:pPr>
              <w:jc w:val="right"/>
              <w:ind w:right="192"/>
              <w:spacing w:after="0"/>
              <w:rPr>
                <w:sz w:val="20"/>
                <w:szCs w:val="20"/>
                <w:color w:val="auto"/>
              </w:rPr>
            </w:pPr>
            <w:r>
              <w:rPr>
                <w:rFonts w:ascii="Arial" w:cs="Arial" w:eastAsia="Arial" w:hAnsi="Arial"/>
                <w:sz w:val="18"/>
                <w:szCs w:val="18"/>
                <w:color w:val="auto"/>
              </w:rPr>
              <w:t>417,092</w:t>
            </w:r>
          </w:p>
        </w:tc>
        <w:tc>
          <w:tcPr>
            <w:tcW w:w="2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963,442</w:t>
            </w:r>
          </w:p>
        </w:tc>
        <w:tc>
          <w:tcPr>
            <w:tcW w:w="3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1,058,400</w:t>
            </w:r>
          </w:p>
        </w:tc>
      </w:tr>
      <w:tr>
        <w:trPr>
          <w:trHeight w:val="212"/>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8,361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20,205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30,280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46,687</w:t>
            </w:r>
          </w:p>
        </w:tc>
      </w:tr>
      <w:tr>
        <w:trPr>
          <w:trHeight w:val="212"/>
        </w:trPr>
        <w:tc>
          <w:tcPr>
            <w:tcW w:w="5840" w:type="dxa"/>
            <w:vAlign w:val="bottom"/>
          </w:tcPr>
          <w:p>
            <w:pPr>
              <w:ind w:left="160"/>
              <w:spacing w:after="0"/>
              <w:rPr>
                <w:sz w:val="20"/>
                <w:szCs w:val="20"/>
                <w:color w:val="auto"/>
              </w:rPr>
            </w:pPr>
            <w:r>
              <w:rPr>
                <w:rFonts w:ascii="Arial" w:cs="Arial" w:eastAsia="Arial" w:hAnsi="Arial"/>
                <w:sz w:val="18"/>
                <w:szCs w:val="18"/>
                <w:color w:val="auto"/>
              </w:rPr>
              <w:t>Net gains as a percent of mortgage loans sold (“Loan Sales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2.99%</w:t>
            </w:r>
          </w:p>
        </w:tc>
        <w:tc>
          <w:tcPr>
            <w:tcW w:w="380" w:type="dxa"/>
            <w:vAlign w:val="bottom"/>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4.41%</w:t>
            </w:r>
          </w:p>
        </w:tc>
      </w:tr>
      <w:tr>
        <w:trPr>
          <w:trHeight w:val="212"/>
        </w:trPr>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adjustments included in the Loan Sales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0.81</w:t>
            </w:r>
          </w:p>
        </w:tc>
      </w:tr>
    </w:tbl>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Year to date mortgage loans originated increased in 2021 as compared to 2020 due primarily to an increase in purchase money mortgages reflecting strong home sales in many of our markets. Mortgage loan refinance volumes declined by 42.8% in the third quarter of 2021 as compared to 2020 as higher mortgage loan interest rates in 2021 reduced this activity. Mortgage loans sold decreased in the third quarter of 2021 as compared to 2020 due to a lower mix of salable loans in our origination volumes. Net gains on mortgage loans decreased in 2021 as compared to 2020 due to the decline in loan sale volume, a decrease in the Loan Sales Margin and fair value adjustments as discussed below.</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2.95% and 4.34% in the third quarters of 2021 and 2020, respectively and 3.54% and 3.60% for the comparative 2021 and 2020 year-to-date periods, respectively. The decline in the Loan Sales Margin (excluding fair value adjustments) in the third quarter of 2021 was generally due to lower primary-to-secondary market pricing spreads as market interest rates rose in 2021 (relative to 2020) and mortgage loan refinance volumes decreased. The changes in the fair value accounting adjustments are due to both changes in the amount of commitments to originate mortgage loans for sale and expected Loan Sales Margin on those commitments.</w:t>
      </w:r>
    </w:p>
    <w:p>
      <w:pPr>
        <w:spacing w:after="0" w:line="199"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recorded $0.005 million and zero net gains on securities available for sale in the comparative quarterly periods, respectively. We recorded a net gain of $1.421 million and $0.253 million on securities available for sale for the first nine months of 2021 and 2020, respectively. We recorded no net impairment losses in either 2021 or 2020 on securities available for sale. See “Securities” below and note #3 to the Condensed Consolidated Financial Statements.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Mortgage loan servicing, net, generated income of $1.3 million and a loss of $0.6 million in the third quarters of 2021 and 2020, respectively. For the first nine months of 2021 and 2020, mortgage loan servicing, net, generated income of $4.5 million and a loss of $9.0 million, respectively. The significant variances in mortgage loan servicing, net are primarily due to changes in the fair value of capitalized mortgage loan servicing rights associated with changes in mortgage loan interest rates and expected future prepayment levels. Mortgage loan servicing, net activity is summarized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Mortgage Servicing 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6"/>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Nine months ended</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32"/>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Mortgage loan servicing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1,743</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Fair value change due to price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(1,089)</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2,813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(9,941)</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change due to pay-downs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4,476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(8,966)</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Activity related to capitalized mortgage loan servicing rights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960" w:type="dxa"/>
            <w:vAlign w:val="bottom"/>
          </w:tcPr>
          <w:p>
            <w:pPr>
              <w:spacing w:after="0"/>
              <w:rPr>
                <w:sz w:val="20"/>
                <w:szCs w:val="20"/>
                <w:color w:val="auto"/>
              </w:rPr>
            </w:pPr>
            <w:r>
              <w:rPr>
                <w:rFonts w:ascii="Arial" w:cs="Arial" w:eastAsia="Arial" w:hAnsi="Arial"/>
                <w:sz w:val="18"/>
                <w:szCs w:val="18"/>
                <w:b w:val="1"/>
                <w:bCs w:val="1"/>
                <w:color w:val="auto"/>
              </w:rPr>
              <w:t>Capitalized Mortgage Loan Servicing Rights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color w:val="auto"/>
                <w:w w:val="86"/>
              </w:rPr>
              <w:t>Three months ended</w:t>
            </w:r>
          </w:p>
        </w:tc>
        <w:tc>
          <w:tcPr>
            <w:tcW w:w="360" w:type="dxa"/>
            <w:vAlign w:val="bottom"/>
          </w:tcPr>
          <w:p>
            <w:pPr>
              <w:spacing w:after="0"/>
              <w:rPr>
                <w:sz w:val="24"/>
                <w:szCs w:val="24"/>
                <w:color w:val="auto"/>
              </w:rPr>
            </w:pPr>
          </w:p>
        </w:tc>
        <w:tc>
          <w:tcPr>
            <w:tcW w:w="2180" w:type="dxa"/>
            <w:vAlign w:val="bottom"/>
            <w:gridSpan w:val="5"/>
          </w:tcPr>
          <w:p>
            <w:pPr>
              <w:jc w:val="center"/>
              <w:ind w:right="460"/>
              <w:spacing w:after="0"/>
              <w:rPr>
                <w:sz w:val="20"/>
                <w:szCs w:val="20"/>
                <w:color w:val="auto"/>
              </w:rPr>
            </w:pPr>
            <w:r>
              <w:rPr>
                <w:rFonts w:ascii="Arial" w:cs="Arial" w:eastAsia="Arial" w:hAnsi="Arial"/>
                <w:sz w:val="18"/>
                <w:szCs w:val="18"/>
                <w:color w:val="auto"/>
                <w:w w:val="87"/>
              </w:rPr>
              <w:t>Nine months ended</w:t>
            </w: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32"/>
              <w:spacing w:after="0"/>
              <w:rPr>
                <w:sz w:val="20"/>
                <w:szCs w:val="20"/>
                <w:color w:val="auto"/>
              </w:rPr>
            </w:pPr>
            <w:r>
              <w:rPr>
                <w:rFonts w:ascii="Arial" w:cs="Arial" w:eastAsia="Arial" w:hAnsi="Arial"/>
                <w:sz w:val="18"/>
                <w:szCs w:val="18"/>
                <w:color w:val="auto"/>
                <w:w w:val="86"/>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13,773</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16,904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w:t>
            </w:r>
          </w:p>
        </w:tc>
        <w:tc>
          <w:tcPr>
            <w:tcW w:w="0" w:type="dxa"/>
            <w:vAlign w:val="bottom"/>
          </w:tcPr>
          <w:p>
            <w:pPr>
              <w:spacing w:after="0"/>
              <w:rPr>
                <w:sz w:val="1"/>
                <w:szCs w:val="1"/>
                <w:color w:val="auto"/>
              </w:rPr>
            </w:pPr>
          </w:p>
        </w:tc>
      </w:tr>
      <w:tr>
        <w:trPr>
          <w:trHeight w:val="212"/>
        </w:trPr>
        <w:tc>
          <w:tcPr>
            <w:tcW w:w="596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4,017</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(14,028)</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15,403</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24,208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15,403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September 30, 2021 we were servicing approximately $3.24 billion in mortgage loans for others on which servicing rights have been capitalized. This servicing portfolio had a weighted average coupon rate of 3.50% and a weighted average service fee of approximately 25.6 basis points. Capitalized mortgage loan servicing rights at September 30, 2021 totaled $24.2 million, representing approximately 74.8 basis points on the related amount of mortgage loans serviced for others.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Investment and insurance commissions represent revenues generated on the sale or management of investments and insurance for our customers. These revenues increased on both a quarterly and year-to-date basis in 2021 as compared to 2020, primarily due to growth in assets under management and in annuity sales (reflecting customers seeking alternatives to traditional fixed income products such as time deposits given the prolonged low interest rate environment).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from bank owned life insurance (“BOLI”) declined on both a quarterly and year-to-date basis in 2021 compared to 2020 reflecting a lower crediting rate on our cash surrender value. Our BOLI separate account is primarily invested in agency mortgage-backed securities. The crediting rate (on which the earnings are based) reflects the performance of the separate account. The total cash surrender value of our BOLI was $55.1 million and $55.2 million at September 30, 2021 and December 31, 2020, respectively.</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non-interest income increased on both a quarterly and year-to-date basis in 2021 as compared to 2020 due primarily to increases in credit card and merchant processing revenue, higher commercial loan swap fee income and a one-time fee reimbursement from our core data processing vendor for conversion related loss of revenues. These revenues and fees were adversely impacted during the first three quarters of 2020 by COVID-19 pandemic related business shut-downs and stay at home mandates.</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Non-interest expense. </w:t>
      </w:r>
      <w:r>
        <w:rPr>
          <w:rFonts w:ascii="Arial" w:cs="Arial" w:eastAsia="Arial" w:hAnsi="Arial"/>
          <w:sz w:val="15"/>
          <w:szCs w:val="15"/>
          <w:color w:val="auto"/>
        </w:rPr>
        <w:t>Non-interest expense is an important component of our results of operations. We strive to efficiently manage our cost structure.</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Non-interest expense increased by $0.9 million to $34.5 million and increased by $7.4 million to $97.1 million during the three- and nine-month periods ended September 30, 2021, respectively, compared to the same periods in 2020.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4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5120" w:type="dxa"/>
            <w:vAlign w:val="bottom"/>
            <w:gridSpan w:val="2"/>
          </w:tcPr>
          <w:p>
            <w:pPr>
              <w:spacing w:after="0"/>
              <w:rPr>
                <w:sz w:val="20"/>
                <w:szCs w:val="20"/>
                <w:color w:val="auto"/>
              </w:rPr>
            </w:pPr>
            <w:r>
              <w:rPr>
                <w:rFonts w:ascii="Arial" w:cs="Arial" w:eastAsia="Arial" w:hAnsi="Arial"/>
                <w:sz w:val="18"/>
                <w:szCs w:val="18"/>
                <w:color w:val="auto"/>
              </w:rPr>
              <w:t>The components of non-interest expense are as follows: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Non-Interest Expense</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vMerge w:val="restart"/>
          </w:tcPr>
          <w:p>
            <w:pPr>
              <w:jc w:val="right"/>
              <w:ind w:right="76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4"/>
                <w:szCs w:val="24"/>
                <w:color w:val="auto"/>
              </w:rPr>
            </w:pPr>
          </w:p>
        </w:tc>
        <w:tc>
          <w:tcPr>
            <w:tcW w:w="2180" w:type="dxa"/>
            <w:vAlign w:val="bottom"/>
            <w:gridSpan w:val="5"/>
            <w:vMerge w:val="restart"/>
          </w:tcPr>
          <w:p>
            <w:pPr>
              <w:jc w:val="center"/>
              <w:ind w:right="460"/>
              <w:spacing w:after="0"/>
              <w:rPr>
                <w:sz w:val="20"/>
                <w:szCs w:val="20"/>
                <w:color w:val="auto"/>
              </w:rPr>
            </w:pPr>
            <w:r>
              <w:rPr>
                <w:rFonts w:ascii="Arial" w:cs="Arial" w:eastAsia="Arial" w:hAnsi="Arial"/>
                <w:sz w:val="18"/>
                <w:szCs w:val="18"/>
                <w:color w:val="auto"/>
                <w:w w:val="87"/>
              </w:rPr>
              <w:t>Nine months ended</w:t>
            </w:r>
          </w:p>
        </w:tc>
        <w:tc>
          <w:tcPr>
            <w:tcW w:w="0" w:type="dxa"/>
            <w:vAlign w:val="bottom"/>
          </w:tcPr>
          <w:p>
            <w:pPr>
              <w:spacing w:after="0"/>
              <w:rPr>
                <w:sz w:val="1"/>
                <w:szCs w:val="1"/>
                <w:color w:val="auto"/>
              </w:rPr>
            </w:pPr>
          </w:p>
        </w:tc>
      </w:tr>
      <w:tr>
        <w:trPr>
          <w:trHeight w:val="201"/>
        </w:trPr>
        <w:tc>
          <w:tcPr>
            <w:tcW w:w="3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6"/>
            <w:vMerge w:val="continue"/>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86"/>
              </w:rPr>
              <w:t>September 30,</w:t>
            </w: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4"/>
              </w:rPr>
              <w:t>2020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10,294</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32,764</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30,665</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Performance-based compensation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8,310</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15,327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3,350</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11,973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Compensation and employee benefits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21,659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21,954</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60,064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7,972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Occupancy, net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2,199</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6,578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2,341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related expenses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Legal and professional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1,534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FDIC deposit insurance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Supplies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related to unfunded lending commitments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Correspondent bank service fees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loss reimbursement on sold loans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Branch closure costs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2"/>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9"/>
        </w:trPr>
        <w:tc>
          <w:tcPr>
            <w:tcW w:w="5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1,442</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1,045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4,091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20" w:type="dxa"/>
            <w:vAlign w:val="bottom"/>
            <w:shd w:val="clear" w:color="auto" w:fill="CCEEFF"/>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non-interest expense</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34,512</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33,641</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97,069</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and employee benefits expenses, in total, decreased $0.3 million on a quarterly comparative basis and increased $5.3 million for the first nine months of 2021 compared to the same periods in 2020.</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increased by $1.2 million and $2.1 million in the third quarter and first nine months of 2021, respectively, compared to the same periods in 2020. These comparative increases in 2021 were primarily due to an increase in lending personnel, higher overtime levels and salary increases that were predominantly effective on January 1, 2021.</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Performance-based compensation decreased by $2.1 million and increased $1.1 million in the third quarter and first nine months of 2021, respectively, compared to the same periods in 2020. The variances primarily reflect the changes in the accrual for anticipated incentive compensation based on our estimated full-year performance as compared to goals.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Payroll taxes and employee benefits increased by $0.6 million and $2.1 million in the third quarter and first nine months of 2021, respectively, compared to the same periods in 2020, due primarily to increases in payroll taxes (reflecting higher compensation costs), in our 401(k) plan match and in health care costs (due to increased claims in 2021). Health care claims in 2020 were relatively low in part due to the COVID-19 pandemic that resulted in the closing of many medical and dental facilities during that time period except for emergency care during Michigan’s “stay home, stay safe” period.</w:t>
      </w:r>
    </w:p>
    <w:p>
      <w:pPr>
        <w:spacing w:after="0" w:line="14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Occupancy, net, furniture, fixtures and equipment, loan and collection, communications, legal and professional, supplies and correspondent bank service fees were all relatively unchanged on a comparative quarterly and year-to-date basis in 2021 as compared to 2020.</w:t>
      </w:r>
    </w:p>
    <w:p>
      <w:pPr>
        <w:spacing w:after="0" w:line="181" w:lineRule="exact"/>
        <w:rPr>
          <w:sz w:val="20"/>
          <w:szCs w:val="20"/>
          <w:color w:val="auto"/>
        </w:rPr>
      </w:pPr>
    </w:p>
    <w:p>
      <w:pPr>
        <w:jc w:val="both"/>
        <w:ind w:right="100"/>
        <w:spacing w:after="0" w:line="250" w:lineRule="auto"/>
        <w:rPr>
          <w:sz w:val="20"/>
          <w:szCs w:val="20"/>
          <w:color w:val="auto"/>
        </w:rPr>
      </w:pPr>
      <w:r>
        <w:rPr>
          <w:rFonts w:ascii="Arial" w:cs="Arial" w:eastAsia="Arial" w:hAnsi="Arial"/>
          <w:sz w:val="18"/>
          <w:szCs w:val="18"/>
          <w:color w:val="auto"/>
        </w:rPr>
        <w:t>Data processing expense increased by $0.8 million and $1.8 million for both the third quarter and first nine months of 2021, respectively, compared to the same periods in 2020. The third quarter and first nine months of 2020 included a $0.5 million and $1.4 million reduction of expenses respectively (compared to reductions of zero and $0.7 million in the third quarter and first nine months of 2021, respectively) associated with a cost savings agreement related to core data processing services that was executed in the third quarter of 2020. The remainder of the increased costs in 2021 principally relate to new software and technology product/service additions.</w:t>
      </w:r>
    </w:p>
    <w:p>
      <w:pPr>
        <w:spacing w:after="0" w:line="194" w:lineRule="exact"/>
        <w:rPr>
          <w:sz w:val="20"/>
          <w:szCs w:val="20"/>
          <w:color w:val="auto"/>
        </w:rPr>
      </w:pPr>
    </w:p>
    <w:p>
      <w:pPr>
        <w:jc w:val="both"/>
        <w:ind w:right="100"/>
        <w:spacing w:after="0" w:line="365" w:lineRule="auto"/>
        <w:rPr>
          <w:sz w:val="20"/>
          <w:szCs w:val="20"/>
          <w:color w:val="auto"/>
        </w:rPr>
      </w:pPr>
      <w:r>
        <w:rPr>
          <w:rFonts w:ascii="Arial" w:cs="Arial" w:eastAsia="Arial" w:hAnsi="Arial"/>
          <w:sz w:val="15"/>
          <w:szCs w:val="15"/>
          <w:color w:val="auto"/>
        </w:rPr>
        <w:t>Interchange expense primarily represents our third-party cost to process debit card transactions. The increases in this expense in 2021 on both a comparative quarterly and year-to-date basis as compared to 2020 are due principally to changes in transaction volume and transaction channel mix.</w:t>
      </w:r>
    </w:p>
    <w:p>
      <w:pPr>
        <w:spacing w:after="0" w:line="111"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Conversion related expenses totaled $0.3 million and $1.6 million for the third quarter and first nine months of 2021, respectively, compared to $0.6 million and $1.0 million for the third quarter and first nine months of 2020, respectively. We began a process to convert our core data processing system to a new system hosted by a different vendor in early 2020 and completed this conversion in May 2021. These expenses represent costs incurred for assistance from our existing vendor and fees from consultants who are assisting us in this conversion.</w:t>
      </w:r>
    </w:p>
    <w:p>
      <w:pPr>
        <w:spacing w:after="0" w:line="19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Advertising expense decreased by approximately $0.3 million in 2021 on a year-to-date basis as compared to 2020, due primarily to an increased reimbursement from our debit card provider for certain eligible marketing costs that we incurred and reduced levels of advertising in certain channels.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FDIC deposit insurance expense decreased in 2021 on both a comparative quarterly and year-to-date basis as compared to 2020, as a decrease in our assessment rate was only partially offset by growth in our total assets.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amortization of intangible assets relates to the TCSB acquisition and prior branch acquisitions and the amortization of the deposit customer relationship value, including core deposit value, which was acquired in connection with those acquisitions. We had remaining unamortized intangible assets of $3.6 million and $4.3 million at September 30, 2021 and December 31, 2020, respectively. See note #7 to the Condensed Consolidated Financial Statements for a schedule of future amortization of intangible assets.</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changes in cost related to unfunded lending commitments are primarily impacted by changes in the amounts of such commitments to originate portfolio loans as well as (for commercial loan commitments) the grade (pursuant to our loan rating system) of such commitments.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Branch closure costs totaled $0.4 million for both the third quarter and first nine months of 2020. We closed eight Bank branches (two on June 26, 2020 and six on July 31, 2020). These costs primarily represent write-downs of fixed assets (buildings, furniture and equipment) and lease assets.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(gains) losses on other real estate and repossessed assets primarily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credit losses.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other expense during the quarter to date period primarily represents increases in travel and entertainment related expenses due to the lifting of Covid-19 travel restrictions, an increase in deposit account fraud related costs and an increase in Michigan Corporate Income Tax expense as the result of a change in how the tax base is calculated.</w:t>
      </w:r>
    </w:p>
    <w:p>
      <w:pPr>
        <w:spacing w:after="0" w:line="182"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 xml:space="preserve">Income tax expense. </w:t>
      </w:r>
      <w:r>
        <w:rPr>
          <w:rFonts w:ascii="Arial" w:cs="Arial" w:eastAsia="Arial" w:hAnsi="Arial"/>
          <w:sz w:val="15"/>
          <w:szCs w:val="15"/>
          <w:color w:val="auto"/>
        </w:rPr>
        <w:t>We recorded an income tax expense of $3.7 million and $11.5 million in the third quarter and the first nine months of 2021,</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respectively. This compares to an income tax expense of $4.8 million and $9.2 million in the third quarter and the first nine months of 2020, respectively.</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7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2021 and 2020 and at December 31, 2020 that the realization of substantially all of our deferred tax assets continues to be more likely than not.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1"/>
          <w:szCs w:val="11"/>
          <w:b w:val="1"/>
          <w:bCs w:val="1"/>
          <w:color w:val="auto"/>
        </w:rPr>
        <w:t>INANCIAL</w:t>
      </w:r>
      <w:r>
        <w:rPr>
          <w:rFonts w:ascii="Arial" w:cs="Arial" w:eastAsia="Arial" w:hAnsi="Arial"/>
          <w:sz w:val="18"/>
          <w:szCs w:val="18"/>
          <w:b w:val="1"/>
          <w:bCs w:val="1"/>
          <w:color w:val="auto"/>
        </w:rPr>
        <w:t xml:space="preserve"> C</w:t>
      </w:r>
      <w:r>
        <w:rPr>
          <w:rFonts w:ascii="Arial" w:cs="Arial" w:eastAsia="Arial" w:hAnsi="Arial"/>
          <w:sz w:val="11"/>
          <w:szCs w:val="11"/>
          <w:b w:val="1"/>
          <w:bCs w:val="1"/>
          <w:color w:val="auto"/>
        </w:rPr>
        <w:t>ONDITION</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Summary. </w:t>
      </w:r>
      <w:r>
        <w:rPr>
          <w:rFonts w:ascii="Arial" w:cs="Arial" w:eastAsia="Arial" w:hAnsi="Arial"/>
          <w:sz w:val="18"/>
          <w:szCs w:val="18"/>
          <w:color w:val="auto"/>
        </w:rPr>
        <w:t>Our total assets increased by $418.3 million during the first nine months of 2021. Loans, excluding loans held for sale, were $2.88 billion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2021, compared to $2.73 billion at December 31, 2020. Mortgage loans and installment loans each increased while commercial loans declined during the first nine months of 2021. (See “Portfolio Loans and asset quality.”)</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Deposits totaled $4.01 billion at September 30, 2021, an increase of $374.7 million from December 31, 2020. The increase in deposits is primarily due to growth in non-interest bearing deposits, savings and interest bearing checking deposits, time deposits and reciprocal deposits that were partially offset by a decline in brokered deposits.</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decrease in commercial loans in the first nine months of 2021 is due primarily to the forgiveness of loans extended under the Paycheck Protection Program (“PPP”) administered by the U.S. Small Business Administration (“SBA”). The PPP (for new loans) ended on May 31, 2021. The increase in deposits is due in part to the significant liquidity that has been injected into the economy through government programs, such as the PPP, as well as by monetary actions by the Federal Reserve Bank, all in response to the COVID-19 pandemic.</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the various government stimulus programs in response to the COVID-19 pandemic end or taper, it is unclear what the impact will be on our levels of Portfolio Loans and deposits. However, our liquidity and funding contingency plans take into account the possibility of reductions in commercial loans and deposits during 2021.</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20"/>
                <w:szCs w:val="20"/>
                <w:color w:val="auto"/>
              </w:rPr>
            </w:pPr>
            <w:r>
              <w:rPr>
                <w:rFonts w:ascii="Arial" w:cs="Arial" w:eastAsia="Arial" w:hAnsi="Arial"/>
                <w:sz w:val="18"/>
                <w:szCs w:val="18"/>
                <w:b w:val="1"/>
                <w:bCs w:val="1"/>
                <w:color w:val="auto"/>
              </w:rPr>
              <w:t>Securities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3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color w:val="auto"/>
                <w:w w:val="98"/>
              </w:rPr>
              <w:t>Amortized</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Unrealized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Fair</w:t>
            </w:r>
          </w:p>
        </w:tc>
      </w:tr>
      <w:tr>
        <w:trPr>
          <w:trHeight w:val="218"/>
        </w:trPr>
        <w:tc>
          <w:tcPr>
            <w:tcW w:w="3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Gains</w:t>
            </w:r>
          </w:p>
        </w:tc>
        <w:tc>
          <w:tcPr>
            <w:tcW w:w="40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Value</w:t>
            </w:r>
          </w:p>
        </w:tc>
      </w:tr>
      <w:tr>
        <w:trPr>
          <w:trHeight w:val="212"/>
        </w:trPr>
        <w:tc>
          <w:tcPr>
            <w:tcW w:w="3960" w:type="dxa"/>
            <w:vAlign w:val="bottom"/>
          </w:tcPr>
          <w:p>
            <w:pPr>
              <w:spacing w:after="0"/>
              <w:rPr>
                <w:sz w:val="20"/>
                <w:szCs w:val="20"/>
                <w:color w:val="auto"/>
              </w:rPr>
            </w:pPr>
            <w:r>
              <w:rPr>
                <w:rFonts w:ascii="Arial" w:cs="Arial" w:eastAsia="Arial" w:hAnsi="Arial"/>
                <w:sz w:val="18"/>
                <w:szCs w:val="18"/>
                <w:color w:val="auto"/>
              </w:rPr>
              <w:t>Securities available for sale</w:t>
            </w:r>
          </w:p>
        </w:tc>
        <w:tc>
          <w:tcPr>
            <w:tcW w:w="2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ind w:left="460"/>
              <w:spacing w:after="0"/>
              <w:rPr>
                <w:sz w:val="20"/>
                <w:szCs w:val="20"/>
                <w:color w:val="auto"/>
              </w:rPr>
            </w:pPr>
            <w:r>
              <w:rPr>
                <w:rFonts w:ascii="Arial" w:cs="Arial" w:eastAsia="Arial" w:hAnsi="Arial"/>
                <w:sz w:val="18"/>
                <w:szCs w:val="18"/>
                <w:color w:val="auto"/>
              </w:rPr>
              <w:t>(in thousands)</w:t>
            </w: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2021</w:t>
            </w:r>
          </w:p>
        </w:tc>
        <w:tc>
          <w:tcPr>
            <w:tcW w:w="2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1,332,054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19,811</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1,348,378</w:t>
            </w:r>
          </w:p>
        </w:tc>
      </w:tr>
      <w:tr>
        <w:trPr>
          <w:trHeight w:val="223"/>
        </w:trPr>
        <w:tc>
          <w:tcPr>
            <w:tcW w:w="3960" w:type="dxa"/>
            <w:vAlign w:val="bottom"/>
          </w:tcPr>
          <w:p>
            <w:pPr>
              <w:ind w:left="160"/>
              <w:spacing w:after="0"/>
              <w:rPr>
                <w:sz w:val="20"/>
                <w:szCs w:val="20"/>
                <w:color w:val="auto"/>
              </w:rPr>
            </w:pPr>
            <w:r>
              <w:rPr>
                <w:rFonts w:ascii="Arial" w:cs="Arial" w:eastAsia="Arial" w:hAnsi="Arial"/>
                <w:sz w:val="18"/>
                <w:szCs w:val="18"/>
                <w:color w:val="auto"/>
              </w:rPr>
              <w:t>December 31, 2020</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1,052,132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21,431</w:t>
            </w: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32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w w:val="99"/>
              </w:rPr>
              <w:t>1,072,159</w:t>
            </w:r>
          </w:p>
        </w:tc>
      </w:tr>
    </w:tbl>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Securities available for sale in unrealized loss positions are evaluated quarterly for impairment related to credit losses. For securities available for sale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available for sale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available for sale was needed at September 30, 2021.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5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7"/>
        </w:trPr>
        <w:tc>
          <w:tcPr>
            <w:tcW w:w="5960" w:type="dxa"/>
            <w:vAlign w:val="bottom"/>
            <w:gridSpan w:val="2"/>
          </w:tcPr>
          <w:p>
            <w:pPr>
              <w:spacing w:after="0"/>
              <w:rPr>
                <w:sz w:val="20"/>
                <w:szCs w:val="20"/>
                <w:color w:val="auto"/>
              </w:rPr>
            </w:pPr>
            <w:r>
              <w:rPr>
                <w:rFonts w:ascii="Arial" w:cs="Arial" w:eastAsia="Arial" w:hAnsi="Arial"/>
                <w:sz w:val="18"/>
                <w:szCs w:val="18"/>
                <w:color w:val="auto"/>
              </w:rPr>
              <w:t>Sales of securities were as follows (See “Non-interest income.”):</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Sales of Securities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300" w:type="dxa"/>
            <w:vAlign w:val="bottom"/>
            <w:gridSpan w:val="5"/>
          </w:tcPr>
          <w:p>
            <w:pPr>
              <w:jc w:val="right"/>
              <w:ind w:right="232"/>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7"/>
              </w:rPr>
              <w:t>Nine months ended</w:t>
            </w: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gridSpan w:val="4"/>
          </w:tcPr>
          <w:p>
            <w:pPr>
              <w:jc w:val="right"/>
              <w:ind w:right="432"/>
              <w:spacing w:after="0"/>
              <w:rPr>
                <w:sz w:val="20"/>
                <w:szCs w:val="20"/>
                <w:color w:val="auto"/>
              </w:rPr>
            </w:pPr>
            <w:r>
              <w:rPr>
                <w:rFonts w:ascii="Arial" w:cs="Arial" w:eastAsia="Arial" w:hAnsi="Arial"/>
                <w:sz w:val="18"/>
                <w:szCs w:val="18"/>
                <w:color w:val="auto"/>
                <w:w w:val="84"/>
              </w:rPr>
              <w:t>September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color w:val="auto"/>
                <w:w w:val="86"/>
              </w:rPr>
              <w:t>September 30,</w:t>
            </w:r>
          </w:p>
        </w:tc>
      </w:tr>
      <w:tr>
        <w:trPr>
          <w:trHeight w:val="231"/>
        </w:trPr>
        <w:tc>
          <w:tcPr>
            <w:tcW w:w="3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(in</w:t>
            </w:r>
          </w:p>
        </w:tc>
        <w:tc>
          <w:tcPr>
            <w:tcW w:w="1160" w:type="dxa"/>
            <w:vAlign w:val="bottom"/>
            <w:gridSpan w:val="3"/>
          </w:tcPr>
          <w:p>
            <w:pPr>
              <w:jc w:val="right"/>
              <w:ind w:right="432"/>
              <w:spacing w:after="0"/>
              <w:rPr>
                <w:sz w:val="20"/>
                <w:szCs w:val="20"/>
                <w:color w:val="auto"/>
              </w:rPr>
            </w:pPr>
            <w:r>
              <w:rPr>
                <w:rFonts w:ascii="Arial" w:cs="Arial" w:eastAsia="Arial" w:hAnsi="Arial"/>
                <w:sz w:val="17"/>
                <w:szCs w:val="17"/>
                <w:color w:val="auto"/>
                <w:w w:val="73"/>
              </w:rPr>
              <w:t>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12"/>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505</w:t>
            </w:r>
          </w:p>
        </w:tc>
        <w:tc>
          <w:tcPr>
            <w:tcW w:w="10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81,683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36,593</w:t>
            </w:r>
          </w:p>
        </w:tc>
      </w:tr>
      <w:tr>
        <w:trPr>
          <w:trHeight w:val="212"/>
        </w:trPr>
        <w:tc>
          <w:tcPr>
            <w:tcW w:w="3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2"/>
        </w:trPr>
        <w:tc>
          <w:tcPr>
            <w:tcW w:w="5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gains</w:t>
            </w:r>
          </w:p>
        </w:tc>
        <w:tc>
          <w:tcPr>
            <w:tcW w:w="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12"/>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Gross losses</w:t>
            </w:r>
          </w:p>
        </w:tc>
        <w:tc>
          <w:tcPr>
            <w:tcW w:w="760" w:type="dxa"/>
            <w:vAlign w:val="bottom"/>
          </w:tcPr>
          <w:p>
            <w:pPr>
              <w:spacing w:after="0"/>
              <w:rPr>
                <w:sz w:val="18"/>
                <w:szCs w:val="18"/>
                <w:color w:val="auto"/>
              </w:rPr>
            </w:pPr>
          </w:p>
        </w:tc>
        <w:tc>
          <w:tcPr>
            <w:tcW w:w="50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3"/>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8"/>
        </w:trPr>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impairment charges</w:t>
            </w:r>
          </w:p>
        </w:tc>
        <w:tc>
          <w:tcPr>
            <w:tcW w:w="7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5960" w:type="dxa"/>
            <w:vAlign w:val="bottom"/>
            <w:gridSpan w:val="2"/>
          </w:tcPr>
          <w:p>
            <w:pPr>
              <w:spacing w:after="0"/>
              <w:rPr>
                <w:sz w:val="20"/>
                <w:szCs w:val="20"/>
                <w:color w:val="auto"/>
              </w:rPr>
            </w:pPr>
            <w:r>
              <w:rPr>
                <w:rFonts w:ascii="Arial" w:cs="Arial" w:eastAsia="Arial" w:hAnsi="Arial"/>
                <w:sz w:val="18"/>
                <w:szCs w:val="18"/>
                <w:color w:val="auto"/>
              </w:rPr>
              <w:t>Net gains</w:t>
            </w:r>
          </w:p>
        </w:tc>
        <w:tc>
          <w:tcPr>
            <w:tcW w:w="7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8"/>
                <w:szCs w:val="18"/>
                <w:color w:val="auto"/>
              </w:rPr>
              <w:t>5</w:t>
            </w:r>
          </w:p>
        </w:tc>
        <w:tc>
          <w:tcPr>
            <w:tcW w:w="1040" w:type="dxa"/>
            <w:vAlign w:val="bottom"/>
            <w:tcBorders>
              <w:bottom w:val="single" w:sz="8" w:color="auto"/>
            </w:tcBorders>
            <w:gridSpan w:val="2"/>
          </w:tcPr>
          <w:p>
            <w:pPr>
              <w:jc w:val="right"/>
              <w:ind w:right="7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8"/>
                <w:szCs w:val="18"/>
                <w:color w:val="auto"/>
              </w:rPr>
              <w:t>1,421</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r>
    </w:tbl>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 Due primarily to the expansion of our mortgage-banking activities and a change in mix in our mortgage loan originations, we are now originating and putting into Portfolio Loans more fixed rate mortgage loans as compared to past periods. These fixed rate mortgage loans generally have terms from 15 to 30 years, do not have prepayment penalties and expose us to more interest rate risk. (See “Asset/liability management.”).</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PPP, is a short-term, forgivable loan program primarily intended to help businesses impacted by COVID-19 to continue paying their employees. Also see Part II, Item 1A. Risk Factors below regarding the PPP.</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participation in the PPP (which ended on May 31, 2021 for new loans)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60" w:type="dxa"/>
            <w:vAlign w:val="bottom"/>
          </w:tcPr>
          <w:p>
            <w:pPr>
              <w:spacing w:after="0"/>
              <w:rPr>
                <w:sz w:val="20"/>
                <w:szCs w:val="20"/>
                <w:color w:val="auto"/>
              </w:rPr>
            </w:pPr>
            <w:r>
              <w:rPr>
                <w:rFonts w:ascii="Arial" w:cs="Arial" w:eastAsia="Arial" w:hAnsi="Arial"/>
                <w:sz w:val="18"/>
                <w:szCs w:val="18"/>
                <w:b w:val="1"/>
                <w:bCs w:val="1"/>
                <w:color w:val="auto"/>
              </w:rPr>
              <w:t>Paycheck Protection Program Activity</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5960" w:type="dxa"/>
            <w:vAlign w:val="bottom"/>
          </w:tcPr>
          <w:p>
            <w:pPr>
              <w:spacing w:after="0"/>
              <w:rPr>
                <w:sz w:val="24"/>
                <w:szCs w:val="24"/>
                <w:color w:val="auto"/>
              </w:rPr>
            </w:pPr>
          </w:p>
        </w:tc>
        <w:tc>
          <w:tcPr>
            <w:tcW w:w="274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 2021</w:t>
            </w:r>
          </w:p>
        </w:tc>
        <w:tc>
          <w:tcPr>
            <w:tcW w:w="2540" w:type="dxa"/>
            <w:vAlign w:val="bottom"/>
            <w:gridSpan w:val="5"/>
          </w:tcPr>
          <w:p>
            <w:pPr>
              <w:ind w:left="500"/>
              <w:spacing w:after="0"/>
              <w:rPr>
                <w:sz w:val="20"/>
                <w:szCs w:val="20"/>
                <w:color w:val="auto"/>
              </w:rPr>
            </w:pPr>
            <w:r>
              <w:rPr>
                <w:rFonts w:ascii="Arial" w:cs="Arial" w:eastAsia="Arial" w:hAnsi="Arial"/>
                <w:sz w:val="18"/>
                <w:szCs w:val="18"/>
                <w:color w:val="auto"/>
              </w:rPr>
              <w:t>September 30, 2020</w:t>
            </w:r>
          </w:p>
        </w:tc>
      </w:tr>
      <w:tr>
        <w:trPr>
          <w:trHeight w:val="218"/>
        </w:trPr>
        <w:tc>
          <w:tcPr>
            <w:tcW w:w="596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Amount (#)</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Amount (#)</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12"/>
        </w:trPr>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4"/>
          </w:tcPr>
          <w:p>
            <w:pPr>
              <w:ind w:left="2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Closed and outstanding at quarter end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90,150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261,182</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Cumulative forgiveness applications submitted to the SBA</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311,385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37,223</w:t>
            </w: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fees accreted into interest income for the quarter</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w:t>
            </w:r>
          </w:p>
        </w:tc>
      </w:tr>
      <w:tr>
        <w:trPr>
          <w:trHeight w:val="212"/>
        </w:trPr>
        <w:tc>
          <w:tcPr>
            <w:tcW w:w="5960" w:type="dxa"/>
            <w:vAlign w:val="bottom"/>
          </w:tcPr>
          <w:p>
            <w:pPr>
              <w:spacing w:after="0"/>
              <w:rPr>
                <w:sz w:val="20"/>
                <w:szCs w:val="20"/>
                <w:color w:val="auto"/>
              </w:rPr>
            </w:pPr>
            <w:r>
              <w:rPr>
                <w:rFonts w:ascii="Arial" w:cs="Arial" w:eastAsia="Arial" w:hAnsi="Arial"/>
                <w:sz w:val="18"/>
                <w:szCs w:val="18"/>
                <w:color w:val="auto"/>
              </w:rPr>
              <w:t>Net fees accreted into interest income year-to-date</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6,528</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2,298</w:t>
            </w:r>
          </w:p>
        </w:tc>
      </w:tr>
      <w:tr>
        <w:trPr>
          <w:trHeight w:val="212"/>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Unaccreted net fees remaining at quarter end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3,178</w:t>
            </w: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r>
    </w:tbl>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Congress and the major bank regulatory agencies have encouraged banks to work with their borrowers to provide short-term loan payment relief during the COVID-19 national emergency. On March 22, 2020, an interagency statement was released by the Board of Governors of the Federal Reserve System, the Federal Deposit Insurance Corporation, the Office of the Comptroller of the Currency, the Consumer Financial Protection Bureau, the State Banking Regulators and the National Credit Union Administration that contained their interpretation as to which modifications would qualify for these exceptions. In general, to qualify for this exception:</w:t>
      </w:r>
    </w:p>
    <w:p>
      <w:pPr>
        <w:spacing w:after="0" w:line="194"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modified loan must be current when the modification is made;</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modification must be short term in nature (up to nine months),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Modifications may include payment deferrals, fee waivers, extensions of repayment terms or other delays in payment that are insignificant.</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Section 4013 of the CARES Act provides temporary relief from the accounting and reporting requirements for TDRs regarding certain loan modifications for our customers. Section 4013 specified that COVID-19 related modifications on loans that were current as of December 31, 2019 are not TDRs. The provisions of Section 4013 were extended to the earlier of 60 days after the termination of the national emergency that was previously declared on March 13, 2020 or January 21, 2022 by the Economic Aid to Hard-Hit Small Businesses, Nonprofits, and Venues Act which was signed into law on December 27, 2020.</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response to our customers’ needs during this time of economic uncertainty, we have initiated forbearance programs for our retail (mortgage and installment loans) and our commercial customers. We also have similar programs for mortgage loans that we service for others. Commercial loan accommodations are typically a three month interest-only period while retail loan (mortgage and installment) forbearances have primarily been payment suspensions for three months. To date, there have not been a significant number of requests for additional modifications. See note #4 to the Condensed Consolidated Financial Statements included within this report.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76"/>
        </w:trPr>
        <w:tc>
          <w:tcPr>
            <w:tcW w:w="5840" w:type="dxa"/>
            <w:vAlign w:val="bottom"/>
            <w:gridSpan w:val="2"/>
          </w:tcPr>
          <w:p>
            <w:pPr>
              <w:spacing w:after="0"/>
              <w:rPr>
                <w:sz w:val="20"/>
                <w:szCs w:val="20"/>
                <w:color w:val="auto"/>
              </w:rPr>
            </w:pPr>
            <w:r>
              <w:rPr>
                <w:rFonts w:ascii="Arial" w:cs="Arial" w:eastAsia="Arial" w:hAnsi="Arial"/>
                <w:sz w:val="18"/>
                <w:szCs w:val="18"/>
                <w:color w:val="auto"/>
              </w:rPr>
              <w:t>A summary of accommodations as of September 30, 2021 follows: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Commercial and Retail Loan COVID-19 Accomodations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5"/>
          </w:tcPr>
          <w:p>
            <w:pPr>
              <w:ind w:left="340"/>
              <w:spacing w:after="0"/>
              <w:rPr>
                <w:sz w:val="20"/>
                <w:szCs w:val="20"/>
                <w:color w:val="auto"/>
              </w:rPr>
            </w:pPr>
            <w:r>
              <w:rPr>
                <w:rFonts w:ascii="Arial" w:cs="Arial" w:eastAsia="Arial" w:hAnsi="Arial"/>
                <w:sz w:val="18"/>
                <w:szCs w:val="18"/>
                <w:color w:val="auto"/>
              </w:rPr>
              <w:t>Covid-19 Accomodations</w:t>
            </w:r>
          </w:p>
        </w:tc>
        <w:tc>
          <w:tcPr>
            <w:tcW w:w="22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 of Total</w:t>
            </w:r>
          </w:p>
        </w:tc>
      </w:tr>
      <w:tr>
        <w:trPr>
          <w:trHeight w:val="218"/>
        </w:trPr>
        <w:tc>
          <w:tcPr>
            <w:tcW w:w="5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Loan Category</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Loans (#)</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4"/>
              </w:rPr>
              <w:t>Loans ($)</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Loans</w:t>
            </w:r>
          </w:p>
        </w:tc>
        <w:tc>
          <w:tcPr>
            <w:tcW w:w="16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2"/>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1,222,802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2"/>
        </w:trPr>
        <w:tc>
          <w:tcPr>
            <w:tcW w:w="584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5,901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1,100,992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2"/>
        </w:trPr>
        <w:tc>
          <w:tcPr>
            <w:tcW w:w="5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560,184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6"/>
        </w:trPr>
        <w:tc>
          <w:tcPr>
            <w:tcW w:w="320" w:type="dxa"/>
            <w:vAlign w:val="bottom"/>
            <w:shd w:val="clear" w:color="auto" w:fill="CCEEFF"/>
          </w:tcPr>
          <w:p>
            <w:pPr>
              <w:spacing w:after="0"/>
              <w:rPr>
                <w:sz w:val="2"/>
                <w:szCs w:val="2"/>
                <w:color w:val="auto"/>
              </w:rPr>
            </w:pPr>
          </w:p>
        </w:tc>
        <w:tc>
          <w:tcPr>
            <w:tcW w:w="5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6,010</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2,883,978</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5"/>
        </w:trPr>
        <w:tc>
          <w:tcPr>
            <w:tcW w:w="58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Mortgage loans serviced for others(1)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7,986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3,237,251</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0.2%</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right="4960" w:firstLine="6"/>
        <w:spacing w:after="0" w:line="375" w:lineRule="auto"/>
        <w:tabs>
          <w:tab w:leader="none" w:pos="1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delegated authority from all investors to grant these deferrals on their behalf. A summary of our Portfolio Loans follows:</w:t>
      </w: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3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September 30,</w:t>
            </w:r>
          </w:p>
        </w:tc>
        <w:tc>
          <w:tcPr>
            <w:tcW w:w="122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680" w:type="dxa"/>
            <w:vAlign w:val="bottom"/>
            <w:vMerge w:val="restart"/>
          </w:tcPr>
          <w:p>
            <w:pPr>
              <w:spacing w:after="0"/>
              <w:rPr>
                <w:sz w:val="20"/>
                <w:szCs w:val="20"/>
                <w:color w:val="auto"/>
              </w:rPr>
            </w:pPr>
            <w:r>
              <w:rPr>
                <w:rFonts w:ascii="Arial" w:cs="Arial" w:eastAsia="Arial" w:hAnsi="Arial"/>
                <w:sz w:val="18"/>
                <w:szCs w:val="18"/>
                <w:color w:val="auto"/>
              </w:rPr>
              <w:t>Real estate(1)</w:t>
            </w:r>
          </w:p>
        </w:tc>
        <w:tc>
          <w:tcPr>
            <w:tcW w:w="24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first mortgages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860,487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792,762</w:t>
            </w:r>
          </w:p>
        </w:tc>
        <w:tc>
          <w:tcPr>
            <w:tcW w:w="0" w:type="dxa"/>
            <w:vAlign w:val="bottom"/>
          </w:tcPr>
          <w:p>
            <w:pPr>
              <w:spacing w:after="0"/>
              <w:rPr>
                <w:sz w:val="1"/>
                <w:szCs w:val="1"/>
                <w:color w:val="auto"/>
              </w:rPr>
            </w:pPr>
          </w:p>
        </w:tc>
      </w:tr>
      <w:tr>
        <w:trPr>
          <w:trHeight w:val="212"/>
        </w:trPr>
        <w:tc>
          <w:tcPr>
            <w:tcW w:w="8680" w:type="dxa"/>
            <w:vAlign w:val="bottom"/>
          </w:tcPr>
          <w:p>
            <w:pPr>
              <w:ind w:left="160"/>
              <w:spacing w:after="0"/>
              <w:rPr>
                <w:sz w:val="20"/>
                <w:szCs w:val="20"/>
                <w:color w:val="auto"/>
              </w:rPr>
            </w:pPr>
            <w:r>
              <w:rPr>
                <w:rFonts w:ascii="Arial" w:cs="Arial" w:eastAsia="Arial" w:hAnsi="Arial"/>
                <w:sz w:val="18"/>
                <w:szCs w:val="18"/>
                <w:color w:val="auto"/>
              </w:rPr>
              <w:t>Residential home equity and other junior mortgages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143,128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138,128</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and land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258,579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232,693</w:t>
            </w:r>
          </w:p>
        </w:tc>
        <w:tc>
          <w:tcPr>
            <w:tcW w:w="0" w:type="dxa"/>
            <w:vAlign w:val="bottom"/>
          </w:tcPr>
          <w:p>
            <w:pPr>
              <w:spacing w:after="0"/>
              <w:rPr>
                <w:sz w:val="1"/>
                <w:szCs w:val="1"/>
                <w:color w:val="auto"/>
              </w:rPr>
            </w:pPr>
          </w:p>
        </w:tc>
      </w:tr>
      <w:tr>
        <w:trPr>
          <w:trHeight w:val="212"/>
        </w:trPr>
        <w:tc>
          <w:tcPr>
            <w:tcW w:w="8680" w:type="dxa"/>
            <w:vAlign w:val="bottom"/>
          </w:tcPr>
          <w:p>
            <w:pPr>
              <w:ind w:left="160"/>
              <w:spacing w:after="0"/>
              <w:rPr>
                <w:sz w:val="20"/>
                <w:szCs w:val="20"/>
                <w:color w:val="auto"/>
              </w:rPr>
            </w:pPr>
            <w:r>
              <w:rPr>
                <w:rFonts w:ascii="Arial" w:cs="Arial" w:eastAsia="Arial" w:hAnsi="Arial"/>
                <w:sz w:val="18"/>
                <w:szCs w:val="18"/>
                <w:color w:val="auto"/>
              </w:rPr>
              <w:t>Other(2)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694,503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669,150</w:t>
            </w:r>
          </w:p>
        </w:tc>
        <w:tc>
          <w:tcPr>
            <w:tcW w:w="0" w:type="dxa"/>
            <w:vAlign w:val="bottom"/>
          </w:tcPr>
          <w:p>
            <w:pPr>
              <w:spacing w:after="0"/>
              <w:rPr>
                <w:sz w:val="1"/>
                <w:szCs w:val="1"/>
                <w:color w:val="auto"/>
              </w:rPr>
            </w:pP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468,090</w:t>
            </w:r>
          </w:p>
        </w:tc>
        <w:tc>
          <w:tcPr>
            <w:tcW w:w="0" w:type="dxa"/>
            <w:vAlign w:val="bottom"/>
          </w:tcPr>
          <w:p>
            <w:pPr>
              <w:spacing w:after="0"/>
              <w:rPr>
                <w:sz w:val="1"/>
                <w:szCs w:val="1"/>
                <w:color w:val="auto"/>
              </w:rPr>
            </w:pP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378,995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429,011</w:t>
            </w:r>
          </w:p>
        </w:tc>
        <w:tc>
          <w:tcPr>
            <w:tcW w:w="0" w:type="dxa"/>
            <w:vAlign w:val="bottom"/>
          </w:tcPr>
          <w:p>
            <w:pPr>
              <w:spacing w:after="0"/>
              <w:rPr>
                <w:sz w:val="1"/>
                <w:szCs w:val="1"/>
                <w:color w:val="auto"/>
              </w:rPr>
            </w:pPr>
          </w:p>
        </w:tc>
      </w:tr>
      <w:tr>
        <w:trPr>
          <w:trHeight w:val="21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Agricultural</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2,883,978</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2,733,678</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501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010" cy="16510"/>
                    </a:xfrm>
                    <a:prstGeom prst="rect">
                      <a:avLst/>
                    </a:prstGeom>
                    <a:noFill/>
                  </pic:spPr>
                </pic:pic>
              </a:graphicData>
            </a:graphic>
          </wp:anchor>
        </w:drawing>
      </w:r>
    </w:p>
    <w:p>
      <w:pPr>
        <w:spacing w:after="0" w:line="392"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52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Non-performing assets </w:t>
            </w:r>
            <w:r>
              <w:rPr>
                <w:rFonts w:ascii="Arial" w:cs="Arial" w:eastAsia="Arial" w:hAnsi="Arial"/>
                <w:sz w:val="29"/>
                <w:szCs w:val="29"/>
                <w:b w:val="1"/>
                <w:bCs w:val="1"/>
                <w:color w:val="auto"/>
                <w:vertAlign w:val="superscript"/>
              </w:rPr>
              <w:t>(1)</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4"/>
          </w:tcPr>
          <w:p>
            <w:pPr>
              <w:jc w:val="center"/>
              <w:ind w:right="250"/>
              <w:spacing w:after="0"/>
              <w:rPr>
                <w:sz w:val="20"/>
                <w:szCs w:val="20"/>
                <w:color w:val="auto"/>
              </w:rPr>
            </w:pPr>
            <w:r>
              <w:rPr>
                <w:rFonts w:ascii="Arial" w:cs="Arial" w:eastAsia="Arial" w:hAnsi="Arial"/>
                <w:sz w:val="18"/>
                <w:szCs w:val="18"/>
                <w:color w:val="auto"/>
                <w:w w:val="86"/>
              </w:rPr>
              <w:t>September 30,</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1"/>
        </w:trPr>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color w:val="auto"/>
                <w:w w:val="84"/>
              </w:rPr>
              <w:t>2021</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3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90"/>
              <w:spacing w:after="0"/>
              <w:rPr>
                <w:sz w:val="20"/>
                <w:szCs w:val="20"/>
                <w:color w:val="auto"/>
              </w:rPr>
            </w:pPr>
            <w:r>
              <w:rPr>
                <w:rFonts w:ascii="Arial" w:cs="Arial" w:eastAsia="Arial" w:hAnsi="Arial"/>
                <w:sz w:val="10"/>
                <w:szCs w:val="10"/>
                <w:color w:val="auto"/>
                <w:w w:val="76"/>
              </w:rPr>
              <w:t>in</w:t>
            </w: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w w:val="71"/>
              </w:rPr>
              <w:t>thousands)</w:t>
            </w:r>
          </w:p>
        </w:tc>
        <w:tc>
          <w:tcPr>
            <w:tcW w:w="100" w:type="dxa"/>
            <w:vAlign w:val="bottom"/>
          </w:tcPr>
          <w:p>
            <w:pPr>
              <w:spacing w:after="0"/>
              <w:rPr>
                <w:sz w:val="18"/>
                <w:szCs w:val="18"/>
                <w:color w:val="auto"/>
              </w:rPr>
            </w:pPr>
          </w:p>
        </w:tc>
      </w:tr>
      <w:tr>
        <w:trPr>
          <w:trHeight w:val="212"/>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5,917</w:t>
            </w: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8"/>
                <w:szCs w:val="18"/>
                <w:color w:val="auto"/>
              </w:rPr>
            </w:pPr>
          </w:p>
        </w:tc>
      </w:tr>
      <w:tr>
        <w:trPr>
          <w:trHeight w:val="212"/>
        </w:trPr>
        <w:tc>
          <w:tcPr>
            <w:tcW w:w="6160" w:type="dxa"/>
            <w:vAlign w:val="bottom"/>
            <w:gridSpan w:val="2"/>
          </w:tcPr>
          <w:p>
            <w:pPr>
              <w:ind w:left="160"/>
              <w:spacing w:after="0"/>
              <w:rPr>
                <w:sz w:val="20"/>
                <w:szCs w:val="20"/>
                <w:color w:val="auto"/>
              </w:rPr>
            </w:pPr>
            <w:r>
              <w:rPr>
                <w:rFonts w:ascii="Arial" w:cs="Arial" w:eastAsia="Arial" w:hAnsi="Arial"/>
                <w:sz w:val="18"/>
                <w:szCs w:val="18"/>
                <w:color w:val="auto"/>
              </w:rPr>
              <w:t>Loans 90 days or more past due and still accruing interest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2"/>
        </w:trPr>
        <w:tc>
          <w:tcPr>
            <w:tcW w:w="3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5,917</w:t>
            </w: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100" w:type="dxa"/>
            <w:vAlign w:val="bottom"/>
            <w:shd w:val="clear" w:color="auto" w:fill="CCEEFF"/>
          </w:tcPr>
          <w:p>
            <w:pPr>
              <w:spacing w:after="0"/>
              <w:rPr>
                <w:sz w:val="18"/>
                <w:szCs w:val="18"/>
                <w:color w:val="auto"/>
              </w:rPr>
            </w:pPr>
          </w:p>
        </w:tc>
      </w:tr>
      <w:tr>
        <w:trPr>
          <w:trHeight w:val="218"/>
        </w:trPr>
        <w:tc>
          <w:tcPr>
            <w:tcW w:w="6160" w:type="dxa"/>
            <w:vAlign w:val="bottom"/>
            <w:gridSpan w:val="2"/>
          </w:tcPr>
          <w:p>
            <w:pPr>
              <w:spacing w:after="0"/>
              <w:rPr>
                <w:sz w:val="20"/>
                <w:szCs w:val="20"/>
                <w:color w:val="auto"/>
              </w:rPr>
            </w:pPr>
            <w:r>
              <w:rPr>
                <w:rFonts w:ascii="Arial" w:cs="Arial" w:eastAsia="Arial" w:hAnsi="Arial"/>
                <w:sz w:val="18"/>
                <w:szCs w:val="18"/>
                <w:color w:val="auto"/>
              </w:rPr>
              <w:t>Less: Government guaranteed loans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r>
      <w:tr>
        <w:trPr>
          <w:trHeight w:val="212"/>
        </w:trPr>
        <w:tc>
          <w:tcPr>
            <w:tcW w:w="32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3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Total non-performing loans</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5,590</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lef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8"/>
                <w:szCs w:val="18"/>
                <w:color w:val="auto"/>
              </w:rPr>
            </w:pPr>
          </w:p>
        </w:tc>
      </w:tr>
      <w:tr>
        <w:trPr>
          <w:trHeight w:val="218"/>
        </w:trPr>
        <w:tc>
          <w:tcPr>
            <w:tcW w:w="6160" w:type="dxa"/>
            <w:vAlign w:val="bottom"/>
            <w:gridSpan w:val="2"/>
          </w:tcPr>
          <w:p>
            <w:pPr>
              <w:spacing w:after="0"/>
              <w:rPr>
                <w:sz w:val="20"/>
                <w:szCs w:val="20"/>
                <w:color w:val="auto"/>
              </w:rPr>
            </w:pPr>
            <w:r>
              <w:rPr>
                <w:rFonts w:ascii="Arial" w:cs="Arial" w:eastAsia="Arial" w:hAnsi="Arial"/>
                <w:sz w:val="18"/>
                <w:szCs w:val="18"/>
                <w:color w:val="auto"/>
              </w:rPr>
              <w:t>Other real estate and repossessed assets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r>
      <w:tr>
        <w:trPr>
          <w:trHeight w:val="252"/>
        </w:trPr>
        <w:tc>
          <w:tcPr>
            <w:tcW w:w="320" w:type="dxa"/>
            <w:vAlign w:val="bottom"/>
            <w:shd w:val="clear" w:color="auto" w:fill="CCEEFF"/>
          </w:tcPr>
          <w:p>
            <w:pPr>
              <w:spacing w:after="0"/>
              <w:rPr>
                <w:sz w:val="21"/>
                <w:szCs w:val="21"/>
                <w:color w:val="auto"/>
              </w:rPr>
            </w:pPr>
          </w:p>
        </w:tc>
        <w:tc>
          <w:tcPr>
            <w:tcW w:w="5840" w:type="dxa"/>
            <w:vAlign w:val="bottom"/>
            <w:shd w:val="clear" w:color="auto" w:fill="CCEEFF"/>
          </w:tcPr>
          <w:p>
            <w:pPr>
              <w:spacing w:after="0"/>
              <w:rPr>
                <w:sz w:val="21"/>
                <w:szCs w:val="21"/>
                <w:color w:val="auto"/>
              </w:rPr>
            </w:pPr>
          </w:p>
        </w:tc>
        <w:tc>
          <w:tcPr>
            <w:tcW w:w="23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Total non-performing assets</w:t>
            </w:r>
          </w:p>
        </w:tc>
        <w:tc>
          <w:tcPr>
            <w:tcW w:w="10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4"/>
                <w:szCs w:val="4"/>
                <w:color w:val="auto"/>
                <w:w w:val="87"/>
              </w:rPr>
              <w:t>$</w:t>
            </w:r>
          </w:p>
        </w:tc>
        <w:tc>
          <w:tcPr>
            <w:tcW w:w="98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5,814</w:t>
            </w:r>
          </w:p>
        </w:tc>
        <w:tc>
          <w:tcPr>
            <w:tcW w:w="220" w:type="dxa"/>
            <w:vAlign w:val="bottom"/>
            <w:shd w:val="clear" w:color="auto" w:fill="CCEEFF"/>
          </w:tcPr>
          <w:p>
            <w:pPr>
              <w:spacing w:after="0"/>
              <w:rPr>
                <w:sz w:val="21"/>
                <w:szCs w:val="21"/>
                <w:color w:val="auto"/>
              </w:rPr>
            </w:pPr>
          </w:p>
        </w:tc>
        <w:tc>
          <w:tcPr>
            <w:tcW w:w="280" w:type="dxa"/>
            <w:vAlign w:val="bottom"/>
            <w:tcBorders>
              <w:top w:val="single" w:sz="8" w:color="auto"/>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shd w:val="clear" w:color="auto" w:fill="CCEEFF"/>
          </w:tcPr>
          <w:p>
            <w:pPr>
              <w:spacing w:after="0"/>
              <w:rPr>
                <w:sz w:val="21"/>
                <w:szCs w:val="21"/>
                <w:color w:val="auto"/>
              </w:rPr>
            </w:pPr>
          </w:p>
        </w:tc>
      </w:tr>
      <w:tr>
        <w:trPr>
          <w:trHeight w:val="205"/>
        </w:trPr>
        <w:tc>
          <w:tcPr>
            <w:tcW w:w="320" w:type="dxa"/>
            <w:vAlign w:val="bottom"/>
            <w:tcBorders>
              <w:top w:val="single" w:sz="8" w:color="CCEEFF"/>
            </w:tcBorders>
          </w:tcPr>
          <w:p>
            <w:pPr>
              <w:spacing w:after="0"/>
              <w:rPr>
                <w:sz w:val="17"/>
                <w:szCs w:val="17"/>
                <w:color w:val="auto"/>
              </w:rPr>
            </w:pPr>
          </w:p>
        </w:tc>
        <w:tc>
          <w:tcPr>
            <w:tcW w:w="58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6160" w:type="dxa"/>
            <w:vAlign w:val="bottom"/>
            <w:gridSpan w:val="2"/>
          </w:tcPr>
          <w:p>
            <w:pPr>
              <w:ind w:left="160"/>
              <w:spacing w:after="0"/>
              <w:rPr>
                <w:sz w:val="20"/>
                <w:szCs w:val="20"/>
                <w:color w:val="auto"/>
              </w:rPr>
            </w:pPr>
            <w:r>
              <w:rPr>
                <w:rFonts w:ascii="Arial" w:cs="Arial" w:eastAsia="Arial" w:hAnsi="Arial"/>
                <w:sz w:val="18"/>
                <w:szCs w:val="18"/>
                <w:color w:val="auto"/>
              </w:rPr>
              <w:t>Non-performing loans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0.29%</w:t>
            </w:r>
          </w:p>
        </w:tc>
      </w:tr>
      <w:tr>
        <w:trPr>
          <w:trHeight w:val="212"/>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credit losses</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r>
      <w:tr>
        <w:trPr>
          <w:trHeight w:val="212"/>
        </w:trPr>
        <w:tc>
          <w:tcPr>
            <w:tcW w:w="6160" w:type="dxa"/>
            <w:vAlign w:val="bottom"/>
            <w:gridSpan w:val="2"/>
          </w:tcPr>
          <w:p>
            <w:pPr>
              <w:spacing w:after="0"/>
              <w:rPr>
                <w:sz w:val="20"/>
                <w:szCs w:val="20"/>
                <w:color w:val="auto"/>
              </w:rPr>
            </w:pPr>
            <w:r>
              <w:rPr>
                <w:rFonts w:ascii="Arial" w:cs="Arial" w:eastAsia="Arial" w:hAnsi="Arial"/>
                <w:sz w:val="18"/>
                <w:szCs w:val="18"/>
                <w:color w:val="auto"/>
              </w:rPr>
              <w:t>Non-performing assets to total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r>
      <w:tr>
        <w:trPr>
          <w:trHeight w:val="212"/>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credit losses as a percent of non-performing loans</w:t>
            </w:r>
          </w:p>
        </w:tc>
        <w:tc>
          <w:tcPr>
            <w:tcW w:w="1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837.19</w:t>
            </w: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450.01</w:t>
            </w:r>
          </w:p>
        </w:tc>
        <w:tc>
          <w:tcPr>
            <w:tcW w:w="100" w:type="dxa"/>
            <w:vAlign w:val="bottom"/>
            <w:shd w:val="clear" w:color="auto" w:fill="CCEEFF"/>
          </w:tcPr>
          <w:p>
            <w:pPr>
              <w:spacing w:after="0"/>
              <w:rPr>
                <w:sz w:val="18"/>
                <w:szCs w:val="18"/>
                <w:color w:val="auto"/>
              </w:rPr>
            </w:pPr>
          </w:p>
        </w:tc>
      </w:tr>
      <w:tr>
        <w:trPr>
          <w:trHeight w:val="423"/>
        </w:trPr>
        <w:tc>
          <w:tcPr>
            <w:tcW w:w="6160" w:type="dxa"/>
            <w:vAlign w:val="bottom"/>
            <w:gridSpan w:val="2"/>
          </w:tcPr>
          <w:p>
            <w:pPr>
              <w:spacing w:after="0"/>
              <w:rPr>
                <w:sz w:val="20"/>
                <w:szCs w:val="20"/>
                <w:color w:val="auto"/>
              </w:rPr>
            </w:pPr>
            <w:r>
              <w:rPr>
                <w:rFonts w:ascii="Arial" w:cs="Arial" w:eastAsia="Arial" w:hAnsi="Arial"/>
                <w:sz w:val="18"/>
                <w:szCs w:val="18"/>
                <w:color w:val="auto"/>
                <w:w w:val="94"/>
              </w:rPr>
              <w:t>(1) Excludes loans classified as “troubled debt restructured” that are not past due.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Troubled debt restructurings (“TDR”)</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8"/>
                <w:szCs w:val="18"/>
                <w:color w:val="auto"/>
                <w:w w:val="87"/>
              </w:rPr>
              <w:t>September 30, 2021</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gridSpan w:val="2"/>
          </w:tcPr>
          <w:p>
            <w:pPr>
              <w:jc w:val="right"/>
              <w:ind w:right="152"/>
              <w:spacing w:after="0"/>
              <w:rPr>
                <w:sz w:val="20"/>
                <w:szCs w:val="20"/>
                <w:color w:val="auto"/>
              </w:rPr>
            </w:pPr>
            <w:r>
              <w:rPr>
                <w:rFonts w:ascii="Arial" w:cs="Arial" w:eastAsia="Arial" w:hAnsi="Arial"/>
                <w:sz w:val="18"/>
                <w:szCs w:val="18"/>
                <w:color w:val="auto"/>
                <w:w w:val="95"/>
              </w:rPr>
              <w:t>Commercial</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390"/>
              <w:spacing w:after="0" w:line="212" w:lineRule="exact"/>
              <w:rPr>
                <w:sz w:val="20"/>
                <w:szCs w:val="20"/>
                <w:color w:val="auto"/>
              </w:rPr>
            </w:pPr>
            <w:r>
              <w:rPr>
                <w:rFonts w:ascii="Arial" w:cs="Arial" w:eastAsia="Arial" w:hAnsi="Arial"/>
                <w:sz w:val="15"/>
                <w:szCs w:val="15"/>
                <w:color w:val="auto"/>
              </w:rPr>
              <w:t xml:space="preserve">Retail </w:t>
            </w:r>
            <w:r>
              <w:rPr>
                <w:rFonts w:ascii="Arial" w:cs="Arial" w:eastAsia="Arial" w:hAnsi="Arial"/>
                <w:sz w:val="24"/>
                <w:szCs w:val="24"/>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8"/>
              </w:rPr>
              <w:t>(In thousands)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2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4,692</w:t>
            </w: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32,037</w:t>
            </w:r>
          </w:p>
        </w:tc>
        <w:tc>
          <w:tcPr>
            <w:tcW w:w="2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36,729</w:t>
            </w:r>
          </w:p>
        </w:tc>
      </w:tr>
      <w:tr>
        <w:trPr>
          <w:trHeight w:val="219"/>
        </w:trPr>
        <w:tc>
          <w:tcPr>
            <w:tcW w:w="616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Non-performing TDR’s </w:t>
            </w:r>
            <w:r>
              <w:rPr>
                <w:rFonts w:ascii="Arial" w:cs="Arial" w:eastAsia="Arial" w:hAnsi="Arial"/>
                <w:sz w:val="24"/>
                <w:szCs w:val="24"/>
                <w:color w:val="auto"/>
                <w:vertAlign w:val="superscript"/>
              </w:rPr>
              <w:t>(2)</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right"/>
              <w:ind w:right="50"/>
              <w:spacing w:after="0" w:line="212" w:lineRule="exact"/>
              <w:rPr>
                <w:sz w:val="20"/>
                <w:szCs w:val="20"/>
                <w:color w:val="auto"/>
              </w:rPr>
            </w:pPr>
            <w:r>
              <w:rPr>
                <w:rFonts w:ascii="Arial" w:cs="Arial" w:eastAsia="Arial" w:hAnsi="Arial"/>
                <w:sz w:val="15"/>
                <w:szCs w:val="15"/>
                <w:color w:val="auto"/>
              </w:rPr>
              <w:t>1,198</w:t>
            </w:r>
            <w:r>
              <w:rPr>
                <w:rFonts w:ascii="Arial" w:cs="Arial" w:eastAsia="Arial" w:hAnsi="Arial"/>
                <w:sz w:val="24"/>
                <w:szCs w:val="24"/>
                <w:color w:val="auto"/>
                <w:vertAlign w:val="superscript"/>
              </w:rPr>
              <w:t>(3)</w:t>
            </w: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r>
      <w:tr>
        <w:trPr>
          <w:trHeight w:val="252"/>
        </w:trPr>
        <w:tc>
          <w:tcPr>
            <w:tcW w:w="6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4"/>
                <w:szCs w:val="4"/>
                <w:color w:val="auto"/>
                <w:w w:val="87"/>
              </w:rPr>
              <w:t>$</w:t>
            </w:r>
          </w:p>
        </w:tc>
        <w:tc>
          <w:tcPr>
            <w:tcW w:w="1060" w:type="dxa"/>
            <w:vAlign w:val="bottom"/>
            <w:tcBorders>
              <w:top w:val="single" w:sz="8" w:color="auto"/>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left w:val="single" w:sz="8" w:color="CCEEFF"/>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24"/>
        </w:trPr>
        <w:tc>
          <w:tcPr>
            <w:tcW w:w="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w w:val="89"/>
              </w:rPr>
              <w:t>December 31, 2020</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w w:val="89"/>
              </w:rPr>
              <w:t>Commercial</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jc w:val="center"/>
              <w:ind w:right="310"/>
              <w:spacing w:after="0" w:line="212" w:lineRule="exact"/>
              <w:rPr>
                <w:sz w:val="20"/>
                <w:szCs w:val="20"/>
                <w:color w:val="auto"/>
              </w:rPr>
            </w:pPr>
            <w:r>
              <w:rPr>
                <w:rFonts w:ascii="Arial" w:cs="Arial" w:eastAsia="Arial" w:hAnsi="Arial"/>
                <w:sz w:val="15"/>
                <w:szCs w:val="15"/>
                <w:color w:val="auto"/>
              </w:rPr>
              <w:t xml:space="preserve">Retail </w:t>
            </w:r>
            <w:r>
              <w:rPr>
                <w:rFonts w:ascii="Arial" w:cs="Arial" w:eastAsia="Arial" w:hAnsi="Arial"/>
                <w:sz w:val="24"/>
                <w:szCs w:val="24"/>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2"/>
              </w:rPr>
              <w:t>(In thousands)</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36,385</w:t>
            </w:r>
          </w:p>
        </w:tc>
        <w:tc>
          <w:tcPr>
            <w:tcW w:w="28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44,341</w:t>
            </w:r>
          </w:p>
        </w:tc>
      </w:tr>
      <w:tr>
        <w:trPr>
          <w:trHeight w:val="212"/>
        </w:trPr>
        <w:tc>
          <w:tcPr>
            <w:tcW w:w="6160" w:type="dxa"/>
            <w:vAlign w:val="bottom"/>
            <w:gridSpan w:val="2"/>
          </w:tcPr>
          <w:p>
            <w:pPr>
              <w:spacing w:after="0" w:line="212" w:lineRule="exact"/>
              <w:rPr>
                <w:sz w:val="20"/>
                <w:szCs w:val="20"/>
                <w:color w:val="auto"/>
              </w:rPr>
            </w:pPr>
            <w:r>
              <w:rPr>
                <w:rFonts w:ascii="Arial" w:cs="Arial" w:eastAsia="Arial" w:hAnsi="Arial"/>
                <w:sz w:val="15"/>
                <w:szCs w:val="15"/>
                <w:color w:val="auto"/>
              </w:rPr>
              <w:t xml:space="preserve">Non-performing TDR’s </w:t>
            </w:r>
            <w:r>
              <w:rPr>
                <w:rFonts w:ascii="Arial" w:cs="Arial" w:eastAsia="Arial" w:hAnsi="Arial"/>
                <w:sz w:val="24"/>
                <w:szCs w:val="24"/>
                <w:color w:val="auto"/>
                <w:vertAlign w:val="superscript"/>
              </w:rPr>
              <w:t>(2)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line="212" w:lineRule="exact"/>
              <w:rPr>
                <w:sz w:val="20"/>
                <w:szCs w:val="20"/>
                <w:color w:val="auto"/>
              </w:rPr>
            </w:pPr>
            <w:r>
              <w:rPr>
                <w:rFonts w:ascii="Arial" w:cs="Arial" w:eastAsia="Arial" w:hAnsi="Arial"/>
                <w:sz w:val="15"/>
                <w:szCs w:val="15"/>
                <w:color w:val="auto"/>
              </w:rPr>
              <w:t>1,584</w:t>
            </w:r>
            <w:r>
              <w:rPr>
                <w:rFonts w:ascii="Arial" w:cs="Arial" w:eastAsia="Arial" w:hAnsi="Arial"/>
                <w:sz w:val="24"/>
                <w:szCs w:val="24"/>
                <w:color w:val="auto"/>
                <w:vertAlign w:val="superscript"/>
              </w:rPr>
              <w:t>(3)</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2,732</w:t>
            </w:r>
          </w:p>
        </w:tc>
      </w:tr>
      <w:tr>
        <w:trPr>
          <w:trHeight w:val="232"/>
        </w:trPr>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37,969</w:t>
            </w:r>
          </w:p>
        </w:tc>
        <w:tc>
          <w:tcPr>
            <w:tcW w:w="28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47,073</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portfolio segments.</w:t>
      </w:r>
    </w:p>
    <w:p>
      <w:pPr>
        <w:spacing w:after="0" w:line="16" w:lineRule="exact"/>
        <w:rPr>
          <w:rFonts w:ascii="Arial" w:cs="Arial" w:eastAsia="Arial" w:hAnsi="Arial"/>
          <w:sz w:val="18"/>
          <w:szCs w:val="18"/>
          <w:color w:val="auto"/>
        </w:rPr>
      </w:pPr>
    </w:p>
    <w:p>
      <w:pPr>
        <w:ind w:left="320" w:hanging="314"/>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Included in non-performing assets table above.</w:t>
      </w:r>
    </w:p>
    <w:p>
      <w:pPr>
        <w:spacing w:after="0" w:line="5" w:lineRule="exact"/>
        <w:rPr>
          <w:rFonts w:ascii="Arial" w:cs="Arial" w:eastAsia="Arial" w:hAnsi="Arial"/>
          <w:sz w:val="18"/>
          <w:szCs w:val="18"/>
          <w:color w:val="auto"/>
        </w:rPr>
      </w:pPr>
    </w:p>
    <w:p>
      <w:pPr>
        <w:ind w:left="320" w:hanging="314"/>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Non-performing loans decreased by $2.3 million since year-end 2020 as all loan categories have declined, reflecting improving economic conditions and the Company’s ongoing collection efforts. Our collection and resolution efforts have generally resulted in a positive trend in non-performing loans. Also see Part II, Item 1A. Risk Factors below regarding the COVID-19 pandemic and the potential negative impact on the level of non-performing loans and assets in the future.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Non-performing loans exclude performing loans that are classified as TDRs. Performing TDRs totaled $36.7 million, or 1.3% of total Portfolio Loans, and $44.3 million, or 1.6% of total Portfolio Loans, at September 30, 2021 and December 31, 2020, respectively. The decrease in the amount of performing TDRs in the first nine months of 2021 reflects a decrease in both commercial and retail performing TDRs.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real estate and repossessed assets totaled $0.2 million and $0.8 million at September 30, 2021, and December 31, 2020, respectively.</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reflect activity in our ACL on loans and ACL for unfunded lending commitments as well as the allocation of our ACL on loans.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60" w:type="dxa"/>
            <w:vAlign w:val="bottom"/>
          </w:tcPr>
          <w:p>
            <w:pPr>
              <w:spacing w:after="0"/>
              <w:rPr>
                <w:sz w:val="20"/>
                <w:szCs w:val="20"/>
                <w:color w:val="auto"/>
              </w:rPr>
            </w:pPr>
            <w:r>
              <w:rPr>
                <w:rFonts w:ascii="Arial" w:cs="Arial" w:eastAsia="Arial" w:hAnsi="Arial"/>
                <w:sz w:val="18"/>
                <w:szCs w:val="18"/>
                <w:b w:val="1"/>
                <w:bCs w:val="1"/>
                <w:color w:val="auto"/>
                <w:w w:val="91"/>
              </w:rPr>
              <w:t>Allowance for credit losses on loans and unfunded lending commitments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87"/>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460"/>
              <w:spacing w:after="0"/>
              <w:rPr>
                <w:sz w:val="20"/>
                <w:szCs w:val="20"/>
                <w:color w:val="auto"/>
              </w:rPr>
            </w:pPr>
            <w:r>
              <w:rPr>
                <w:rFonts w:ascii="Arial" w:cs="Arial" w:eastAsia="Arial" w:hAnsi="Arial"/>
                <w:sz w:val="18"/>
                <w:szCs w:val="18"/>
                <w:color w:val="auto"/>
                <w:w w:val="86"/>
              </w:rPr>
              <w:t>September 30,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8"/>
                <w:szCs w:val="18"/>
                <w:color w:val="auto"/>
              </w:rPr>
              <w:t>2021</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2020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32"/>
              <w:spacing w:after="0" w:line="200" w:lineRule="exact"/>
              <w:rPr>
                <w:sz w:val="20"/>
                <w:szCs w:val="20"/>
                <w:color w:val="auto"/>
              </w:rPr>
            </w:pPr>
            <w:r>
              <w:rPr>
                <w:rFonts w:ascii="Arial" w:cs="Arial" w:eastAsia="Arial" w:hAnsi="Arial"/>
                <w:sz w:val="18"/>
                <w:szCs w:val="18"/>
                <w:color w:val="auto"/>
                <w:w w:val="94"/>
              </w:rPr>
              <w:t>Unfunded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12"/>
              <w:spacing w:after="0" w:line="200" w:lineRule="exact"/>
              <w:rPr>
                <w:sz w:val="20"/>
                <w:szCs w:val="20"/>
                <w:color w:val="auto"/>
              </w:rPr>
            </w:pPr>
            <w:r>
              <w:rPr>
                <w:rFonts w:ascii="Arial" w:cs="Arial" w:eastAsia="Arial" w:hAnsi="Arial"/>
                <w:sz w:val="18"/>
                <w:szCs w:val="18"/>
                <w:color w:val="auto"/>
                <w:w w:val="97"/>
              </w:rPr>
              <w:t>Unfunded</w:t>
            </w:r>
          </w:p>
        </w:tc>
        <w:tc>
          <w:tcPr>
            <w:tcW w:w="100" w:type="dxa"/>
            <w:vAlign w:val="bottom"/>
          </w:tcPr>
          <w:p>
            <w:pPr>
              <w:spacing w:after="0"/>
              <w:rPr>
                <w:sz w:val="17"/>
                <w:szCs w:val="17"/>
                <w:color w:val="auto"/>
              </w:rPr>
            </w:pPr>
          </w:p>
        </w:tc>
      </w:tr>
      <w:tr>
        <w:trPr>
          <w:trHeight w:val="231"/>
        </w:trPr>
        <w:tc>
          <w:tcPr>
            <w:tcW w:w="5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Commitments</w:t>
            </w:r>
          </w:p>
        </w:tc>
        <w:tc>
          <w:tcPr>
            <w:tcW w:w="100" w:type="dxa"/>
            <w:vAlign w:val="bottom"/>
          </w:tcPr>
          <w:p>
            <w:pPr>
              <w:spacing w:after="0"/>
              <w:rPr>
                <w:sz w:val="20"/>
                <w:szCs w:val="20"/>
                <w:color w:val="auto"/>
              </w:rPr>
            </w:pPr>
          </w:p>
        </w:tc>
      </w:tr>
      <w:tr>
        <w:trPr>
          <w:trHeight w:val="212"/>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440"/>
              <w:spacing w:after="0"/>
              <w:rPr>
                <w:sz w:val="20"/>
                <w:szCs w:val="20"/>
                <w:color w:val="auto"/>
              </w:rPr>
            </w:pPr>
            <w:r>
              <w:rPr>
                <w:rFonts w:ascii="Arial" w:cs="Arial" w:eastAsia="Arial" w:hAnsi="Arial"/>
                <w:sz w:val="18"/>
                <w:szCs w:val="18"/>
                <w:color w:val="auto"/>
                <w:w w:val="89"/>
              </w:rPr>
              <w:t>(Dollars in thousands)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r>
      <w:tr>
        <w:trPr>
          <w:trHeight w:val="212"/>
        </w:trPr>
        <w:tc>
          <w:tcPr>
            <w:tcW w:w="5760" w:type="dxa"/>
            <w:vAlign w:val="bottom"/>
          </w:tcPr>
          <w:p>
            <w:pPr>
              <w:spacing w:after="0"/>
              <w:rPr>
                <w:sz w:val="20"/>
                <w:szCs w:val="20"/>
                <w:color w:val="auto"/>
              </w:rPr>
            </w:pPr>
            <w:r>
              <w:rPr>
                <w:rFonts w:ascii="Arial" w:cs="Arial" w:eastAsia="Arial" w:hAnsi="Arial"/>
                <w:sz w:val="18"/>
                <w:szCs w:val="18"/>
                <w:color w:val="auto"/>
              </w:rPr>
              <w:t>Additions (deductions)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adoption of ASC 326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760" w:type="dxa"/>
            <w:vAlign w:val="bottom"/>
          </w:tcPr>
          <w:p>
            <w:pPr>
              <w:ind w:left="160"/>
              <w:spacing w:after="0" w:line="212" w:lineRule="exact"/>
              <w:rPr>
                <w:sz w:val="20"/>
                <w:szCs w:val="20"/>
                <w:color w:val="auto"/>
              </w:rPr>
            </w:pPr>
            <w:r>
              <w:rPr>
                <w:rFonts w:ascii="Arial" w:cs="Arial" w:eastAsia="Arial" w:hAnsi="Arial"/>
                <w:sz w:val="15"/>
                <w:szCs w:val="15"/>
                <w:color w:val="auto"/>
              </w:rPr>
              <w:t xml:space="preserve">Provision for credit losses </w:t>
            </w:r>
            <w:r>
              <w:rPr>
                <w:rFonts w:ascii="Arial" w:cs="Arial" w:eastAsia="Arial" w:hAnsi="Arial"/>
                <w:sz w:val="24"/>
                <w:szCs w:val="24"/>
                <w:color w:val="auto"/>
                <w:vertAlign w:val="superscript"/>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(2,558)</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12,884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allowance on loans purchased with credit deterioration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76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2"/>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9"/>
        </w:trPr>
        <w:tc>
          <w:tcPr>
            <w:tcW w:w="5760" w:type="dxa"/>
            <w:vAlign w:val="bottom"/>
          </w:tcPr>
          <w:p>
            <w:pPr>
              <w:spacing w:after="0"/>
              <w:rPr>
                <w:sz w:val="20"/>
                <w:szCs w:val="20"/>
                <w:color w:val="auto"/>
              </w:rPr>
            </w:pPr>
            <w:r>
              <w:rPr>
                <w:rFonts w:ascii="Arial" w:cs="Arial" w:eastAsia="Arial" w:hAnsi="Arial"/>
                <w:sz w:val="18"/>
                <w:szCs w:val="18"/>
                <w:color w:val="auto"/>
              </w:rPr>
              <w:t>Additions (recoveries) included in non-interest expense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52"/>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46,799</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5"/>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0"/>
              </w:rPr>
              <w:t>Net loans charged (recovered) against the allowance to average Portfolio Loans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ind w:left="320" w:right="300" w:hanging="314"/>
        <w:spacing w:after="0" w:line="264" w:lineRule="auto"/>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Beginning January 1, 2021, calculation is based on CECL methodology. Prior to January 1, 2021, calculation was based on the probable incurred loss methodology.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rFonts w:ascii="Arial" w:cs="Arial" w:eastAsia="Arial" w:hAnsi="Arial"/>
                <w:sz w:val="14"/>
                <w:szCs w:val="14"/>
                <w:i w:val="1"/>
                <w:iCs w:val="1"/>
                <w:color w:val="0000EE"/>
                <w:w w:val="87"/>
              </w:rPr>
            </w:pPr>
            <w:hyperlink w:anchor="page2">
              <w:r>
                <w:rPr>
                  <w:rFonts w:ascii="Arial" w:cs="Arial" w:eastAsia="Arial" w:hAnsi="Arial"/>
                  <w:sz w:val="14"/>
                  <w:szCs w:val="14"/>
                  <w:i w:val="1"/>
                  <w:iCs w:val="1"/>
                  <w:color w:val="0000EE"/>
                  <w:w w:val="87"/>
                </w:rPr>
                <w:t>Index</w:t>
              </w:r>
            </w:hyperlink>
          </w:p>
        </w:tc>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7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Allocation of the Allowance for Credit Losses (1)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January 1,</w:t>
            </w:r>
          </w:p>
        </w:tc>
      </w:tr>
      <w:tr>
        <w:trPr>
          <w:trHeight w:val="231"/>
        </w:trPr>
        <w:tc>
          <w:tcPr>
            <w:tcW w:w="3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2"/>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00"/>
              <w:spacing w:after="0"/>
              <w:rPr>
                <w:sz w:val="20"/>
                <w:szCs w:val="20"/>
                <w:color w:val="auto"/>
              </w:rPr>
            </w:pPr>
            <w:r>
              <w:rPr>
                <w:rFonts w:ascii="Arial" w:cs="Arial" w:eastAsia="Arial" w:hAnsi="Arial"/>
                <w:sz w:val="18"/>
                <w:szCs w:val="18"/>
                <w:color w:val="auto"/>
              </w:rPr>
              <w:t>(Dollars in thousands)</w:t>
            </w:r>
          </w:p>
        </w:tc>
      </w:tr>
      <w:tr>
        <w:trPr>
          <w:trHeight w:val="212"/>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r>
      <w:tr>
        <w:trPr>
          <w:trHeight w:val="212"/>
        </w:trPr>
        <w:tc>
          <w:tcPr>
            <w:tcW w:w="8680" w:type="dxa"/>
            <w:vAlign w:val="bottom"/>
            <w:gridSpan w:val="2"/>
          </w:tcPr>
          <w:p>
            <w:pPr>
              <w:spacing w:after="0"/>
              <w:rPr>
                <w:sz w:val="20"/>
                <w:szCs w:val="20"/>
                <w:color w:val="auto"/>
              </w:rPr>
            </w:pPr>
            <w:r>
              <w:rPr>
                <w:rFonts w:ascii="Arial" w:cs="Arial" w:eastAsia="Arial" w:hAnsi="Arial"/>
                <w:sz w:val="18"/>
                <w:szCs w:val="18"/>
                <w:color w:val="auto"/>
              </w:rPr>
              <w:t>Pooled analysis allocations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30,796</w:t>
            </w:r>
          </w:p>
        </w:tc>
      </w:tr>
      <w:tr>
        <w:trPr>
          <w:trHeight w:val="218"/>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allocations based on subjective factors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46,799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47,137</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(1) January 1, 2021 includes impact of the adoption of CECL.</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January 1, 2021, we calculated the ACL using the current expected credit losses methodology. As of January 1, 2021, we increased the ACL for loans by $11.7 million and increased the ACL for unfunded loan commitments by $1.5 million.</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Some loans will not be repaid in full. Therefore, an ACL is maintained at a level which represents our best estimate of expected credit losses. Our ACL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ACL decreased $0.3 million to $46.8 million at September 30, 2021 from $47.1 million at January 1, 2021 (CECL adoption date) and was equal to 1.62% of total Portfolio Loans at September 30, 2021.</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Two of the three components of the ACL outlined above decreased since our CECL adoption date. The ACL related to specific loans decreased $0.9 million due primarily to a $5.4 million decrease in the amount of such loans. The ACL related to subjective factors decreased $0.2 million due primarily to slightly lower reserve allocations reflecting an improvement in economic forecasts (particularly for lower unemployment levels) that was partially offset by loan growth in 2021. The ACL related to pooled analysis of loans increased $0.8 million due primarily loan growth in 2021.</w:t>
      </w:r>
    </w:p>
    <w:p>
      <w:pPr>
        <w:spacing w:after="0" w:line="171" w:lineRule="exact"/>
        <w:rPr>
          <w:sz w:val="20"/>
          <w:szCs w:val="20"/>
          <w:color w:val="auto"/>
        </w:rPr>
      </w:pPr>
    </w:p>
    <w:p>
      <w:pPr>
        <w:jc w:val="both"/>
        <w:spacing w:after="0" w:line="334" w:lineRule="auto"/>
        <w:rPr>
          <w:sz w:val="20"/>
          <w:szCs w:val="20"/>
          <w:color w:val="auto"/>
        </w:rPr>
      </w:pPr>
      <w:r>
        <w:rPr>
          <w:rFonts w:ascii="Arial" w:cs="Arial" w:eastAsia="Arial" w:hAnsi="Arial"/>
          <w:sz w:val="15"/>
          <w:szCs w:val="15"/>
          <w:b w:val="1"/>
          <w:bCs w:val="1"/>
          <w:color w:val="auto"/>
        </w:rPr>
        <w:t xml:space="preserve">Deposits and borrowings. </w:t>
      </w:r>
      <w:r>
        <w:rPr>
          <w:rFonts w:ascii="Arial" w:cs="Arial" w:eastAsia="Arial" w:hAnsi="Arial"/>
          <w:sz w:val="15"/>
          <w:szCs w:val="15"/>
          <w:color w:val="auto"/>
        </w:rPr>
        <w:t>Historically, the loyalty of our customer base has allowed us to price deposits competitively, contributing to a net interest margin</w:t>
      </w:r>
      <w:r>
        <w:rPr>
          <w:rFonts w:ascii="Arial" w:cs="Arial" w:eastAsia="Arial" w:hAnsi="Arial"/>
          <w:sz w:val="15"/>
          <w:szCs w:val="15"/>
          <w:b w:val="1"/>
          <w:bCs w:val="1"/>
          <w:color w:val="auto"/>
        </w:rPr>
        <w:t xml:space="preserve"> </w:t>
      </w:r>
      <w:r>
        <w:rPr>
          <w:rFonts w:ascii="Arial" w:cs="Arial" w:eastAsia="Arial" w:hAnsi="Arial"/>
          <w:sz w:val="15"/>
          <w:szCs w:val="15"/>
          <w:color w:val="auto"/>
        </w:rPr>
        <w:t>that 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Deposits totaled $4.01 billion and $3.64 billion at September 30, 2021 and December 31, 2020, respectively. The increase in deposits is primarily due to growth in non-interest bearing deposits, savings and interest bearing checking deposits, reciprocal deposits and time deposits that were partially offset by a decline in brokered deposits. Reciprocal deposits totaled $596.2 million and $556.2 million at September 30, 2021 and December 31, 2020,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 The continued increase in reciprocal deposits is due in part to an automated sweep product that we introduced in mid-2018 as well as the marketing and sales efforts of our treasury management team.</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September 30, 2021, we had approximately $972.1 million of uninsured deposits. A reduction in core deposits would likely increase our need to rely on wholesale funding sources.</w:t>
      </w:r>
    </w:p>
    <w:p>
      <w:pPr>
        <w:spacing w:after="0" w:line="18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Other borrowings, comprised primarily of advances from the FHLB, totaled $30.0 million at both September 30, 2021 and December 31, 2020.</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described above, we utilize wholesale funding, including federal funds purchased, FHLB and FRB borrowings and Brokered CDs to augment our core deposits and fund a portion of our assets. At September 30, 2021, our use of such wholesale funding sources (including reciprocal deposits) amounted to approximately $629.1 million, or 15.6%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historically employed derivative financial instruments to manage our exposure to changes in interest rates. During the first nine months of 2021 and 2020, we entered into $34.8 million and $12.2 million (aggregate notional amounts), respectively, of interest rate swaps with commercial loan customers, which were offset with interest rate swaps that the Bank entered into with a broker-dealer. We recorded $0.5 million and $0.2 million of fee income related to these transactions during the first nine months of 2021 and 2020, respectively. See note #6 to the Condensed Consolidated Financial Statements included within this report for more information on our derivative financial instruments.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available for sale) as well as developing access to a variety of borrowing sources to supplement our deposit gathering activities and provide funds for purchasing securities available for sale or originating Portfolio Loans as well as to be able to respond to unforeseen liquidity needs.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sources of funds include our deposit base, secured advances from the FHLB and FRB, federal funds purchased borrowing facilities with other banks, and access to the capital markets (for Brokered CDs).</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5"/>
          <w:szCs w:val="15"/>
          <w:color w:val="auto"/>
        </w:rPr>
        <w:t>At September 30, 2021, we had $253.0 million of time deposits that mature in the next 12 months. Historically, a majority of these maturing time deposits are renewed by our customers. Additionally, $3.66 billion of our deposits at September 30, 2021,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and FRB and our ability to issue Brokered CDs.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believe that the available cash on hand at the parent company (including time deposits) of approximately $45.9 million as of September 30, 2021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8680" w:type="dxa"/>
            <w:vAlign w:val="bottom"/>
          </w:tcPr>
          <w:p>
            <w:pPr>
              <w:spacing w:after="0"/>
              <w:rPr>
                <w:sz w:val="24"/>
                <w:szCs w:val="24"/>
                <w:color w:val="auto"/>
              </w:rPr>
            </w:pPr>
          </w:p>
        </w:tc>
        <w:tc>
          <w:tcPr>
            <w:tcW w:w="1340" w:type="dxa"/>
            <w:vAlign w:val="bottom"/>
            <w:gridSpan w:val="3"/>
          </w:tcPr>
          <w:p>
            <w:pPr>
              <w:jc w:val="right"/>
              <w:ind w:right="183"/>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2"/>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(In</w:t>
            </w:r>
          </w:p>
        </w:tc>
        <w:tc>
          <w:tcPr>
            <w:tcW w:w="1320" w:type="dxa"/>
            <w:vAlign w:val="bottom"/>
            <w:gridSpan w:val="3"/>
          </w:tcPr>
          <w:p>
            <w:pPr>
              <w:jc w:val="right"/>
              <w:ind w:right="632"/>
              <w:spacing w:after="0"/>
              <w:rPr>
                <w:sz w:val="20"/>
                <w:szCs w:val="20"/>
                <w:color w:val="auto"/>
              </w:rPr>
            </w:pPr>
            <w:r>
              <w:rPr>
                <w:rFonts w:ascii="Arial" w:cs="Arial" w:eastAsia="Arial" w:hAnsi="Arial"/>
                <w:sz w:val="15"/>
                <w:szCs w:val="15"/>
                <w:color w:val="auto"/>
                <w:w w:val="78"/>
              </w:rPr>
              <w:t>thousands)</w:t>
            </w:r>
          </w:p>
        </w:tc>
        <w:tc>
          <w:tcPr>
            <w:tcW w:w="100" w:type="dxa"/>
            <w:vAlign w:val="bottom"/>
          </w:tcPr>
          <w:p>
            <w:pPr>
              <w:spacing w:after="0"/>
              <w:rPr>
                <w:sz w:val="18"/>
                <w:szCs w:val="18"/>
                <w:color w:val="auto"/>
              </w:rPr>
            </w:pP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39,338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39,281</w:t>
            </w:r>
          </w:p>
        </w:tc>
      </w:tr>
      <w:tr>
        <w:trPr>
          <w:trHeight w:val="212"/>
        </w:trPr>
        <w:tc>
          <w:tcPr>
            <w:tcW w:w="8680" w:type="dxa"/>
            <w:vAlign w:val="bottom"/>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tcPr>
          <w:p>
            <w:pPr>
              <w:spacing w:after="0"/>
              <w:rPr>
                <w:sz w:val="18"/>
                <w:szCs w:val="18"/>
                <w:color w:val="auto"/>
              </w:rPr>
            </w:pPr>
          </w:p>
        </w:tc>
        <w:tc>
          <w:tcPr>
            <w:tcW w:w="1100" w:type="dxa"/>
            <w:vAlign w:val="bottom"/>
            <w:gridSpan w:val="2"/>
          </w:tcPr>
          <w:p>
            <w:pPr>
              <w:jc w:val="right"/>
              <w:ind w:right="123"/>
              <w:spacing w:after="0"/>
              <w:rPr>
                <w:sz w:val="20"/>
                <w:szCs w:val="20"/>
                <w:color w:val="auto"/>
              </w:rPr>
            </w:pPr>
            <w:r>
              <w:rPr>
                <w:rFonts w:ascii="Arial" w:cs="Arial" w:eastAsia="Arial" w:hAnsi="Arial"/>
                <w:sz w:val="18"/>
                <w:szCs w:val="18"/>
                <w:color w:val="auto"/>
              </w:rPr>
              <w:t>39,575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39,524</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not qualifying as regulatory capital</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r>
      <w:tr>
        <w:trPr>
          <w:trHeight w:val="218"/>
        </w:trPr>
        <w:tc>
          <w:tcPr>
            <w:tcW w:w="86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78,351</w:t>
            </w: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100" w:type="dxa"/>
            <w:vAlign w:val="bottom"/>
            <w:tcBorders>
              <w:top w:val="single" w:sz="8" w:color="CCEEFF"/>
            </w:tcBorders>
          </w:tcPr>
          <w:p>
            <w:pPr>
              <w:spacing w:after="0"/>
              <w:rPr>
                <w:sz w:val="19"/>
                <w:szCs w:val="19"/>
                <w:color w:val="auto"/>
              </w:rPr>
            </w:pPr>
          </w:p>
        </w:tc>
      </w:tr>
      <w:tr>
        <w:trPr>
          <w:trHeight w:val="212"/>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86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326,390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339,353</w:t>
            </w:r>
          </w:p>
        </w:tc>
      </w:tr>
      <w:tr>
        <w:trPr>
          <w:trHeight w:val="212"/>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66,543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40,145</w:t>
            </w:r>
          </w:p>
        </w:tc>
      </w:tr>
      <w:tr>
        <w:trPr>
          <w:trHeight w:val="218"/>
        </w:trPr>
        <w:tc>
          <w:tcPr>
            <w:tcW w:w="86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10,024</w:t>
            </w:r>
          </w:p>
        </w:tc>
      </w:tr>
      <w:tr>
        <w:trPr>
          <w:trHeight w:val="218"/>
        </w:trPr>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400,031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8680" w:type="dxa"/>
            <w:vAlign w:val="bottom"/>
          </w:tcPr>
          <w:p>
            <w:pPr>
              <w:ind w:left="32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478,382</w:t>
            </w:r>
          </w:p>
        </w:tc>
        <w:tc>
          <w:tcPr>
            <w:tcW w:w="2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467,822</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September 30, 2021 balance of $39.3 million is net of remaining unamortized deferred issuance costs of approximately $0.7 million that are being amortized through the maturity date into interest expense on other borrowings and subordinated debt and debentures in our Condensed Consolidated Statements of Operations.</w:t>
      </w:r>
    </w:p>
    <w:p>
      <w:pPr>
        <w:spacing w:after="0" w:line="18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We currently have four special purpose entities with $39.6 million of outstanding cumulative trust preferred securities as of September 30, 2021.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46" w:lineRule="exact"/>
        <w:rPr>
          <w:sz w:val="20"/>
          <w:szCs w:val="20"/>
          <w:color w:val="auto"/>
        </w:rPr>
      </w:pPr>
    </w:p>
    <w:p>
      <w:pPr>
        <w:jc w:val="both"/>
        <w:ind w:right="20"/>
        <w:spacing w:after="0" w:line="318" w:lineRule="auto"/>
        <w:rPr>
          <w:sz w:val="20"/>
          <w:szCs w:val="20"/>
          <w:color w:val="auto"/>
        </w:rPr>
      </w:pPr>
      <w:r>
        <w:rPr>
          <w:rFonts w:ascii="Arial" w:cs="Arial" w:eastAsia="Arial" w:hAnsi="Arial"/>
          <w:sz w:val="15"/>
          <w:szCs w:val="15"/>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2021 and December 31, 2020.</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Common shareholders’ equity increased to $400.0 million at September 30, 2021, from $389.5 million at December 31, 2020, due primarily to our net income that was partially offset by a $10.3 million reduction in retained earnings related to the adoption of CECL, a $2.9 million decrease in our accumulated other comprehensive income, by share repurchases and by cash dividend payments. Our tangible common equity (“TCE”) totaled $368.2 million and $356.9 million, respectively, at those same dates. Our ratio of TCE to tangible assets was 8.02% and 8.56% at September 30, 2021, and December 31, 2020, respectively. TCE and the ratio of TCE to tangible assets are non-GAAP measures. TCE represents total common equity less goodwill and other intangible assets.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2020, our Board of Directors authorized a 2021 share repurchase plan. Under the terms of the 2021 share repurchase plan, we are authorized to buy back up to 1,100,000, or approximately 5% of our outstanding common stock. During the first nine months of 2021, the Company repurchased 659,350 shares at a weighted average purchase price of $20.89 per share.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a quarterly cash dividend on our common stock. These dividends totaled $0.63 per share and $0.60 per share in the first nine months of 2021 and 2020, respectively. We generally favor a dividend payout ratio between 30% and 50% of net income.</w:t>
      </w:r>
    </w:p>
    <w:p>
      <w:pPr>
        <w:spacing w:after="0" w:line="181"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As of September 30, 2021 and December 31, 2020, our Bank (and holding company) continued to meet the requirements to be considered “well-capitalized” under federal regulatory standards (also see note #10 to the Condensed Consolidated Financial Statements included within this report).</w:t>
      </w:r>
    </w:p>
    <w:p>
      <w:pPr>
        <w:spacing w:after="0" w:line="151" w:lineRule="exact"/>
        <w:rPr>
          <w:sz w:val="20"/>
          <w:szCs w:val="20"/>
          <w:color w:val="auto"/>
        </w:rPr>
      </w:pPr>
    </w:p>
    <w:p>
      <w:pPr>
        <w:jc w:val="both"/>
        <w:spacing w:after="0" w:line="374" w:lineRule="auto"/>
        <w:rPr>
          <w:sz w:val="20"/>
          <w:szCs w:val="20"/>
          <w:color w:val="auto"/>
        </w:rPr>
      </w:pPr>
      <w:r>
        <w:rPr>
          <w:rFonts w:ascii="Arial" w:cs="Arial" w:eastAsia="Arial" w:hAnsi="Arial"/>
          <w:sz w:val="15"/>
          <w:szCs w:val="15"/>
          <w:b w:val="1"/>
          <w:bCs w:val="1"/>
          <w:color w:val="auto"/>
        </w:rPr>
        <w:t xml:space="preserve">Asset/liability management. </w:t>
      </w:r>
      <w:r>
        <w:rPr>
          <w:rFonts w:ascii="Arial" w:cs="Arial" w:eastAsia="Arial" w:hAnsi="Arial"/>
          <w:sz w:val="15"/>
          <w:szCs w:val="15"/>
          <w:color w:val="auto"/>
        </w:rPr>
        <w:t>Interest-rate risk is created by differences in the cash flow characteristics of our assets and liabilities. Options embedded in</w:t>
      </w:r>
      <w:r>
        <w:rPr>
          <w:rFonts w:ascii="Arial" w:cs="Arial" w:eastAsia="Arial" w:hAnsi="Arial"/>
          <w:sz w:val="15"/>
          <w:szCs w:val="15"/>
          <w:b w:val="1"/>
          <w:bCs w:val="1"/>
          <w:color w:val="auto"/>
        </w:rPr>
        <w:t xml:space="preserve"> </w:t>
      </w:r>
      <w:r>
        <w:rPr>
          <w:rFonts w:ascii="Arial" w:cs="Arial" w:eastAsia="Arial" w:hAnsi="Arial"/>
          <w:sz w:val="15"/>
          <w:szCs w:val="15"/>
          <w:color w:val="auto"/>
        </w:rPr>
        <w:t>certain financial instruments, including caps on adjustable-rate loans as well as borrowers’ rights to prepay fixed-rate loans, also create interest-rate risk.</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During 2021, our interest rate risk profile as measured by our short term earnings simulation has not changed significantly while our longer term interest rate risk measure based on changes in economic value now indicates modest exposure to rising rates. The shift is primarily due to an increase in asset duration. The increase in asset duration is attributed to growth and mix changes to the investment portfolio and portfolio mortgage loans. However, we are carefully monitoring this change in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Market</w:t>
            </w: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Net</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88"/>
              </w:rPr>
              <w:t>Value of</w:t>
            </w:r>
          </w:p>
        </w:tc>
        <w:tc>
          <w:tcPr>
            <w:tcW w:w="16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6"/>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Change in Interest Rates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90"/>
              </w:rPr>
              <w:t>Portfolio</w:t>
            </w:r>
          </w:p>
        </w:tc>
        <w:tc>
          <w:tcPr>
            <w:tcW w:w="1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94"/>
              </w:rPr>
              <w:t>Interest</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3"/>
              </w:rPr>
              <w:t>Equity(1)</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0"/>
              </w:rPr>
              <w:t>Income(2)</w:t>
            </w:r>
          </w:p>
        </w:tc>
        <w:tc>
          <w:tcPr>
            <w:tcW w:w="200" w:type="dxa"/>
            <w:vAlign w:val="bottom"/>
          </w:tcPr>
          <w:p>
            <w:pPr>
              <w:spacing w:after="0"/>
              <w:rPr>
                <w:sz w:val="15"/>
                <w:szCs w:val="15"/>
                <w:color w:val="auto"/>
              </w:rPr>
            </w:pPr>
          </w:p>
        </w:tc>
        <w:tc>
          <w:tcPr>
            <w:tcW w:w="13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gridSpan w:val="6"/>
          </w:tcPr>
          <w:p>
            <w:pPr>
              <w:ind w:left="820"/>
              <w:spacing w:after="0"/>
              <w:rPr>
                <w:sz w:val="20"/>
                <w:szCs w:val="20"/>
                <w:color w:val="auto"/>
              </w:rPr>
            </w:pPr>
            <w:r>
              <w:rPr>
                <w:rFonts w:ascii="Arial" w:cs="Arial" w:eastAsia="Arial" w:hAnsi="Arial"/>
                <w:sz w:val="14"/>
                <w:szCs w:val="14"/>
                <w:b w:val="1"/>
                <w:bCs w:val="1"/>
                <w:color w:val="auto"/>
              </w:rPr>
              <w:t>(Dollars in thousands)</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512,400</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2"/>
        </w:trPr>
        <w:tc>
          <w:tcPr>
            <w:tcW w:w="488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546,000</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134,800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530,300</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130,700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88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465,000</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(12.31)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124,300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200 basis point rise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494,600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2"/>
        </w:trPr>
        <w:tc>
          <w:tcPr>
            <w:tcW w:w="4880" w:type="dxa"/>
            <w:vAlign w:val="bottom"/>
          </w:tcPr>
          <w:p>
            <w:pPr>
              <w:spacing w:after="0"/>
              <w:rPr>
                <w:sz w:val="20"/>
                <w:szCs w:val="20"/>
                <w:color w:val="auto"/>
              </w:rPr>
            </w:pPr>
            <w:r>
              <w:rPr>
                <w:rFonts w:ascii="Arial" w:cs="Arial" w:eastAsia="Arial" w:hAnsi="Arial"/>
                <w:sz w:val="18"/>
                <w:szCs w:val="18"/>
                <w:color w:val="auto"/>
              </w:rPr>
              <w:t>100 basis point rise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483,200</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12.37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123,700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Base-rate scenario</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430,000</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120,200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100 basis point decline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395,500</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114,900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186055</wp:posOffset>
            </wp:positionV>
            <wp:extent cx="7150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10" cy="17145"/>
                    </a:xfrm>
                    <a:prstGeom prst="rect">
                      <a:avLst/>
                    </a:prstGeom>
                    <a:noFill/>
                  </pic:spPr>
                </pic:pic>
              </a:graphicData>
            </a:graphic>
          </wp:anchor>
        </w:drawing>
      </w:r>
    </w:p>
    <w:p>
      <w:pPr>
        <w:spacing w:after="0" w:line="380" w:lineRule="exact"/>
        <w:rPr>
          <w:sz w:val="20"/>
          <w:szCs w:val="20"/>
          <w:color w:val="auto"/>
        </w:rPr>
      </w:pPr>
    </w:p>
    <w:p>
      <w:pPr>
        <w:jc w:val="both"/>
        <w:ind w:left="320" w:hanging="314"/>
        <w:spacing w:after="0" w:line="250" w:lineRule="auto"/>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ind w:left="320" w:hanging="314"/>
        <w:spacing w:after="0" w:line="349" w:lineRule="auto"/>
        <w:tabs>
          <w:tab w:leader="none" w:pos="3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Accounting standards update. </w:t>
      </w:r>
      <w:r>
        <w:rPr>
          <w:rFonts w:ascii="Arial" w:cs="Arial" w:eastAsia="Arial" w:hAnsi="Arial"/>
          <w:sz w:val="18"/>
          <w:szCs w:val="18"/>
          <w:color w:val="auto"/>
        </w:rPr>
        <w:t>See note #2 to the Condensed Consolidated Financial Statements included elsewhere in this report for details on recently</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accounting pronouncements and their impact on our interim condensed consolidated financial statements.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Fair valuation of financial instruments. </w:t>
      </w:r>
      <w:r>
        <w:rPr>
          <w:rFonts w:ascii="Arial" w:cs="Arial" w:eastAsia="Arial" w:hAnsi="Arial"/>
          <w:sz w:val="18"/>
          <w:szCs w:val="18"/>
          <w:color w:val="auto"/>
        </w:rPr>
        <w:t>Financial Accounting Standards Board (“FASB”) Accounting Standards Codification (“ASC”) Topic 820 -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available for sale,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1"/>
          <w:szCs w:val="11"/>
          <w:b w:val="1"/>
          <w:bCs w:val="1"/>
          <w:color w:val="auto"/>
        </w:rPr>
        <w:t>ITIGATION</w:t>
      </w:r>
      <w:r>
        <w:rPr>
          <w:rFonts w:ascii="Arial" w:cs="Arial" w:eastAsia="Arial" w:hAnsi="Arial"/>
          <w:sz w:val="18"/>
          <w:szCs w:val="18"/>
          <w:b w:val="1"/>
          <w:bCs w:val="1"/>
          <w:color w:val="auto"/>
        </w:rPr>
        <w:t xml:space="preserve"> M</w:t>
      </w:r>
      <w:r>
        <w:rPr>
          <w:rFonts w:ascii="Arial" w:cs="Arial" w:eastAsia="Arial" w:hAnsi="Arial"/>
          <w:sz w:val="11"/>
          <w:szCs w:val="11"/>
          <w:b w:val="1"/>
          <w:bCs w:val="1"/>
          <w:color w:val="auto"/>
        </w:rPr>
        <w:t>ATTERS</w:t>
      </w:r>
    </w:p>
    <w:p>
      <w:pPr>
        <w:spacing w:after="0" w:line="22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1"/>
          <w:szCs w:val="11"/>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1"/>
          <w:szCs w:val="11"/>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OLICIES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We adopted CECL on January 1, 2021 which changed the way we calculate our ACL. See notes #2 and #4 to the Condensed Consolidated Financial Statements included within this report for further discussion on CECL. There was no material change to our critical accounting policy on capitalized mortgage loan servicing rights as disclosed in our Annual Report on Form 10-K for the year ended December 31, 2020.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w:t>
      </w:r>
      <w:r>
        <w:rPr>
          <w:rFonts w:ascii="Arial" w:cs="Arial" w:eastAsia="Arial" w:hAnsi="Arial"/>
          <w:sz w:val="11"/>
          <w:szCs w:val="11"/>
          <w:b w:val="1"/>
          <w:bCs w:val="1"/>
          <w:color w:val="auto"/>
        </w:rPr>
        <w:t>UANTITATIVE AND</w:t>
      </w:r>
      <w:r>
        <w:rPr>
          <w:rFonts w:ascii="Arial" w:cs="Arial" w:eastAsia="Arial" w:hAnsi="Arial"/>
          <w:sz w:val="18"/>
          <w:szCs w:val="18"/>
          <w:b w:val="1"/>
          <w:bCs w:val="1"/>
          <w:color w:val="auto"/>
        </w:rPr>
        <w:t xml:space="preserve"> Q</w:t>
      </w:r>
      <w:r>
        <w:rPr>
          <w:rFonts w:ascii="Arial" w:cs="Arial" w:eastAsia="Arial" w:hAnsi="Arial"/>
          <w:sz w:val="11"/>
          <w:szCs w:val="11"/>
          <w:b w:val="1"/>
          <w:bCs w:val="1"/>
          <w:color w:val="auto"/>
        </w:rPr>
        <w:t>UALITATIVE</w:t>
      </w:r>
      <w:r>
        <w:rPr>
          <w:rFonts w:ascii="Arial" w:cs="Arial" w:eastAsia="Arial" w:hAnsi="Arial"/>
          <w:sz w:val="18"/>
          <w:szCs w:val="18"/>
          <w:b w:val="1"/>
          <w:bCs w:val="1"/>
          <w:color w:val="auto"/>
        </w:rPr>
        <w:t xml:space="preserve"> D</w:t>
      </w:r>
      <w:r>
        <w:rPr>
          <w:rFonts w:ascii="Arial" w:cs="Arial" w:eastAsia="Arial" w:hAnsi="Arial"/>
          <w:sz w:val="11"/>
          <w:szCs w:val="11"/>
          <w:b w:val="1"/>
          <w:bCs w:val="1"/>
          <w:color w:val="auto"/>
        </w:rPr>
        <w:t>ISCLOSURES ABOUT</w:t>
      </w:r>
      <w:r>
        <w:rPr>
          <w:rFonts w:ascii="Arial" w:cs="Arial" w:eastAsia="Arial" w:hAnsi="Arial"/>
          <w:sz w:val="18"/>
          <w:szCs w:val="18"/>
          <w:b w:val="1"/>
          <w:bCs w:val="1"/>
          <w:color w:val="auto"/>
        </w:rPr>
        <w:t xml:space="preserve"> M</w:t>
      </w:r>
      <w:r>
        <w:rPr>
          <w:rFonts w:ascii="Arial" w:cs="Arial" w:eastAsia="Arial" w:hAnsi="Arial"/>
          <w:sz w:val="11"/>
          <w:szCs w:val="11"/>
          <w:b w:val="1"/>
          <w:bCs w:val="1"/>
          <w:color w:val="auto"/>
        </w:rPr>
        <w:t>ARKET</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ISK</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See applicable disclosures set forth in “Management’s Discussion and Analysis of Financial Condition and Results of Operations” in Item 2 under the caption “Asset/liability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1"/>
          <w:szCs w:val="11"/>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ROCEDURES</w:t>
      </w:r>
    </w:p>
    <w:p>
      <w:pPr>
        <w:spacing w:after="0" w:line="223" w:lineRule="exact"/>
        <w:rPr>
          <w:sz w:val="20"/>
          <w:szCs w:val="20"/>
          <w:color w:val="auto"/>
        </w:rPr>
      </w:pPr>
    </w:p>
    <w:p>
      <w:pPr>
        <w:ind w:left="320" w:hanging="314"/>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17" w:lineRule="exact"/>
        <w:rPr>
          <w:rFonts w:ascii="Arial" w:cs="Arial" w:eastAsia="Arial" w:hAnsi="Arial"/>
          <w:sz w:val="18"/>
          <w:szCs w:val="18"/>
          <w:color w:val="auto"/>
        </w:rPr>
      </w:pPr>
    </w:p>
    <w:p>
      <w:pPr>
        <w:jc w:val="both"/>
        <w:ind w:left="320"/>
        <w:spacing w:after="0" w:line="255" w:lineRule="auto"/>
        <w:rPr>
          <w:rFonts w:ascii="Arial" w:cs="Arial" w:eastAsia="Arial" w:hAnsi="Arial"/>
          <w:sz w:val="18"/>
          <w:szCs w:val="18"/>
          <w:color w:val="auto"/>
        </w:rPr>
      </w:pPr>
      <w:r>
        <w:rPr>
          <w:rFonts w:ascii="Arial" w:cs="Arial" w:eastAsia="Arial" w:hAnsi="Arial"/>
          <w:sz w:val="18"/>
          <w:szCs w:val="18"/>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2021, have concluded that, as of such date, our disclosure controls and procedures were effective.</w:t>
      </w:r>
    </w:p>
    <w:p>
      <w:pPr>
        <w:spacing w:after="0" w:line="188" w:lineRule="exact"/>
        <w:rPr>
          <w:rFonts w:ascii="Arial" w:cs="Arial" w:eastAsia="Arial" w:hAnsi="Arial"/>
          <w:sz w:val="18"/>
          <w:szCs w:val="18"/>
          <w:color w:val="auto"/>
        </w:rPr>
      </w:pPr>
    </w:p>
    <w:p>
      <w:pPr>
        <w:ind w:left="320" w:hanging="314"/>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17" w:lineRule="exact"/>
        <w:rPr>
          <w:rFonts w:ascii="Arial" w:cs="Arial" w:eastAsia="Arial" w:hAnsi="Arial"/>
          <w:sz w:val="18"/>
          <w:szCs w:val="18"/>
          <w:color w:val="auto"/>
        </w:rPr>
      </w:pPr>
    </w:p>
    <w:p>
      <w:pPr>
        <w:ind w:left="320"/>
        <w:spacing w:after="0" w:line="264" w:lineRule="auto"/>
        <w:rPr>
          <w:rFonts w:ascii="Arial" w:cs="Arial" w:eastAsia="Arial" w:hAnsi="Arial"/>
          <w:sz w:val="18"/>
          <w:szCs w:val="18"/>
          <w:color w:val="auto"/>
        </w:rPr>
      </w:pPr>
      <w:r>
        <w:rPr>
          <w:rFonts w:ascii="Arial" w:cs="Arial" w:eastAsia="Arial" w:hAnsi="Arial"/>
          <w:sz w:val="18"/>
          <w:szCs w:val="18"/>
          <w:color w:val="auto"/>
        </w:rPr>
        <w:t>During the quarter ended September 30, 2021, there were no changes in our internal control over financial reporting that materially affected, or are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risk factors disclosed in the Company’s Annual Report on Form 10-K for the year ended December 31, 2020, the following risk factors apply to the Company:</w:t>
      </w:r>
    </w:p>
    <w:p>
      <w:pPr>
        <w:spacing w:after="0" w:line="181"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Global health concerns relating to the COVID-19 pandemic and related government actions have resulted in significant disruptions and increased economic uncertainty. Government restrictions and recommendations designed to contain the virus and limit its effects have substantially limited the activities of individuals and the operations of businesses in the markets we serve.</w:t>
      </w:r>
    </w:p>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Since the U.S. Food and Drug Administration (FDA) issued its first emergency use authorization for a COVID-19 vaccine on December 11, 2020, the Centers for Disease Control and Prevention (“CDC”) reports that almost 80% of the adult population in the U.S. has received at least one vaccination as of October 24, 2021. According to data reported by the State of Michigan as of October 22, 2021, 68.5% of Michigan residents ages 16 and older have had at least one vaccination. Widespread vaccinations have slowed the spread of the virus. Effective June 22, 2021, the State of Michigan rescinded the emergency orders it implemented in response to the pandemic, including the rescission of restrictions on restaurant capacities and other restrictions on the size of in-person gatherings. Despite these positive developments, the pandemic continues to cause a great deal of economic uncertainty and disruption to financial and other markets, including as a result of concerns relating to possible variants of the original virus.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pandemic, the related governmental responses, and the ongoing uncertainty, our business, results of operations, and financial condition may be adversely affected by a number of factors that could impact us and our customers, including but not limited to:</w:t>
      </w:r>
    </w:p>
    <w:p>
      <w:pPr>
        <w:spacing w:after="0" w:line="181" w:lineRule="exact"/>
        <w:rPr>
          <w:sz w:val="20"/>
          <w:szCs w:val="20"/>
          <w:color w:val="auto"/>
        </w:rPr>
      </w:pPr>
    </w:p>
    <w:p>
      <w:pPr>
        <w:ind w:left="640" w:hanging="316"/>
        <w:spacing w:after="0" w:line="252"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encountered by our business customers in addressing the effects of the pandemic may cause increases in loan delinquencies, foreclosures and defaults;</w:t>
      </w: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increases in our allowance for credit losses may be necessary;</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declines in collateral values may occur;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third party disruptions may occur, including outages at network providers, on-line banking vendors and other suppliers;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there is increased cyber and payment fraud risk, as cybercriminals attempt to profit from the disruption, given increased online and remote activity;</w:t>
      </w:r>
    </w:p>
    <w:p>
      <w:pPr>
        <w:spacing w:after="0" w:line="39" w:lineRule="exact"/>
        <w:rPr>
          <w:rFonts w:ascii="Arial" w:cs="Arial" w:eastAsia="Arial" w:hAnsi="Arial"/>
          <w:sz w:val="15"/>
          <w:szCs w:val="15"/>
          <w:color w:val="auto"/>
        </w:rPr>
      </w:pPr>
    </w:p>
    <w:p>
      <w:pPr>
        <w:ind w:left="640" w:hanging="316"/>
        <w:spacing w:after="0" w:line="245"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experience operational failures due to changes in our normal business practices necessitated by the pandemic and related governmental actions; and/or</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production and efficiency may suffer due to employee illnesses and/or employees having to work remotely.</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Given the ongoing uncertainty with respect to the pandemic and potential governmental responses, these risk factors may continue to some degree for a significant period of time.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risks presented by the pandemic have caused us to modify many of our business practices. Since the start of the pandemic, varying levels of our employee base have been working remotely. We have also expanded sick and vacation time for certain employees. Given the recent changes in workplace guidance as a result of the progress with vaccinations, we have moved to a hybrid work model. Depending on an employee’s position and responsibilities, some employees may continue to function either fully or partially out of the office while others will return to the office on a full-time basis. We may take further actions as may be required or as we determine to be prudent. There is no certainty that such measures will be sufficient to mitigate the risks posed by COVID-19. Similarly, while we hope vaccinations will lessen the impact of the virus on our business, there is still a significant degree of uncertainty with respect to the potential impact of widespread vaccinations and the spread of possible virus variants.</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extent to which the COVID-19 pandemic may impact our business, results of operations and financial condition will depend on future developments, which continue to be highly uncertain and difficult to predict. Those developments and factors are expected to include the evolution of the virus and possible virus variants, the number of people who become vaccinated, actions taken by governmental authorities to address the foregoing, and how quickly and to what extent normal economic and operating conditions can resume. We do not know the potential full extent of the impact. However, the effects could have a material adverse impact on our business, asset valuations, financial condition and results of operations. Material adverse impacts may include all or a combination of valuation impairments on our intangible assets, securities available for sale, loans, capitalized mortgage loan servicing rights or deferred tax assets.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As a participating lender in the U.S. Small Business Administration (“SBA”) Paycheck Protection Program (“PPP”), the Company and the Bank are subject to additional risks regarding the Bank’s processing of loans for the PPP and risks that the SBA may not fund some or all PPP loan guaranties.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which included a $349 billion loan program administered through the SBA referred to as the Paycheck Protection Program (“PPP”). Under the PPP, small businesses and other entities and individuals could apply for loans from existing SBA lenders and other approved regulated lenders that enrolled in the PPP, subject to numerous limitations and eligibility criteria (“First Draw Loans”). First Draw Loans are eligible for forgiveness, subject to numerous limitations. The Bank is participating as a lender in the PPP.</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PPP opened on April 3, 2020; however, because of the short timeframe between the enactment of the CARES Act and the opening of the PPP, there was and is some ambiguity in the laws, rules and guidance regarding the operation of the PPP, which exposes us to potential risks relating to noncompliance with the PPP. Since the enactment of the CARES Act, the SBA and U.S. Department of Treasury have provided additional guidance and clarity on the PPP through the issuance of approximately 30 interim final rules implementing the PPP.</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Through various subsequent laws, including the Paycheck Protection Program and Health Care Enhancement Act and the Paycheck Protection Program Flexibility Act, the PPP was expanded to include an additional $310 billion in funding and extended through August 8, 2020. Such laws also allowed more time to spend the funds and eased some of the limitations and restrictions to obtaining forgiveness of PPP loans.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December 27, 2020, the Economic Aid to Hard-Hit Small Businesses, Nonprofits, and Venues Act (‘‘Economic Aid Act’’) was signed into law which allocated an additional $284 billion in funding for the PPP. The Economic Aid Act reopened First Draw Loans with generally the same terms and conditions as originally enacted under the CARES Act while clarifying eligibility and ineligibility for certain entities and expanding the permitted uses of PPP funds. In addition, the Economic Aid Act simplified the loan forgiveness process for PPP loans of $150,000 or less. The Economic Aid Act also established second draw loans for entities that have already used their First Draw Loan proceeds, subject to numerous limitations and eligibility criteria (“Second Draw Loans”). Second Draw Loans are eligible for forgiveness similar to First Draw Loans, subject to limitations set forth in the Economic Aid Act.</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2021, we had 826 First Draw Loans and Second Draw Loans outstanding with a total balance of $90.2 million. Since inception of the program the SBA had approved $310.1 million in First Draw Loans and Second Draw Loans for forgiveness. We anticipate a majority of the remaining outstanding loans will be forgiven by the end of 2021.</w:t>
      </w:r>
    </w:p>
    <w:p>
      <w:pPr>
        <w:spacing w:after="0" w:line="188"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Since the initiation of the PPP, several larger banks have been subject to litigation regarding the protocols and procedures that they used in processing applications for the PPP. We may be exposed to the risk of similar litigation, from both customers and non</w:t>
      </w:r>
      <w:r>
        <w:rPr>
          <w:rFonts w:ascii="MS PGothic" w:cs="MS PGothic" w:eastAsia="MS PGothic" w:hAnsi="MS PGothic"/>
          <w:sz w:val="18"/>
          <w:szCs w:val="18"/>
          <w:color w:val="auto"/>
        </w:rPr>
        <w:t>‑</w:t>
      </w:r>
      <w:r>
        <w:rPr>
          <w:rFonts w:ascii="Arial" w:cs="Arial" w:eastAsia="Arial" w:hAnsi="Arial"/>
          <w:sz w:val="18"/>
          <w:szCs w:val="18"/>
          <w:color w:val="auto"/>
        </w:rPr>
        <w:t>customers that approached us regarding PPP loans, regarding our policies and procedures used in processing applications for the PPP. If any such litigation is filed against the Company or the Bank and is not resolved in a manner favorable to us, it could result in financial liability or adversely affect our reputation. In addition, litigation can be costly, regardless of outcome. Any financial liability, litigation costs or reputational damage caused by PPP related litigation could have an adverse impact on our business, financial condition and results of operations.</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also have credit risk on PPP loans if a determination is made by the SBA that there is a deficiency in the manner in which the loan was originated, funded, or serviced by the Bank, such as an issue with the eligibility of a borrower to receive a PPP loan, which may or may not be related to the ambiguity in the laws, rules and guidance regarding the operation of the PPP. The SBA reserves the right to audit PPP loans for six years after the loan is paid or forgiven in full.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u w:val="single" w:color="auto"/>
          <w:color w:val="auto"/>
        </w:rPr>
        <w:t>Item 2.</w:t>
      </w:r>
      <w:r>
        <w:rPr>
          <w:sz w:val="20"/>
          <w:szCs w:val="20"/>
          <w:color w:val="auto"/>
        </w:rPr>
        <w:tab/>
      </w:r>
      <w:r>
        <w:rPr>
          <w:rFonts w:ascii="Arial" w:cs="Arial" w:eastAsia="Arial" w:hAnsi="Arial"/>
          <w:sz w:val="15"/>
          <w:szCs w:val="15"/>
          <w:u w:val="single" w:color="auto"/>
          <w:color w:val="auto"/>
        </w:rPr>
        <w:t>Unregistered Sales of Equity Securities and Use of Proceeds</w:t>
      </w:r>
    </w:p>
    <w:p>
      <w:pPr>
        <w:spacing w:after="0" w:line="21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2021, the Company issued 380 shares of common stock to non-employee directors on a current basis and 3,992 shares of common stock to the trust for distribution to directors on a deferred basis. These shares were issued on July 1, 2021 representing aggregate fees of $0.09 million. The shares on a current basis were issued at a price of $21.71 per share and the shares on a deferred basis were issued at a price of $19.54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repurchases of common stock for the three-months ended September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Total Number</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3"/>
              </w:rPr>
              <w:t>Purchased</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Remaining</w:t>
            </w:r>
          </w:p>
        </w:tc>
      </w:t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2"/>
              </w:rPr>
              <w:t>Number of</w:t>
            </w:r>
          </w:p>
        </w:tc>
      </w:tr>
      <w:tr>
        <w:trPr>
          <w:trHeight w:val="212"/>
        </w:trPr>
        <w:tc>
          <w:tcPr>
            <w:tcW w:w="5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7"/>
              </w:rPr>
              <w:t>Shares Authorized</w:t>
            </w:r>
          </w:p>
        </w:tc>
      </w:tr>
      <w:tr>
        <w:trPr>
          <w:trHeight w:val="212"/>
        </w:trPr>
        <w:tc>
          <w:tcPr>
            <w:tcW w:w="5500" w:type="dxa"/>
            <w:vAlign w:val="bottom"/>
          </w:tcPr>
          <w:p>
            <w:pPr>
              <w:spacing w:after="0"/>
              <w:rPr>
                <w:sz w:val="18"/>
                <w:szCs w:val="18"/>
                <w:color w:val="auto"/>
              </w:rPr>
            </w:pP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Total Number of</w:t>
            </w:r>
          </w:p>
        </w:tc>
        <w:tc>
          <w:tcPr>
            <w:tcW w:w="1340" w:type="dxa"/>
            <w:vAlign w:val="bottom"/>
            <w:gridSpan w:val="2"/>
          </w:tcPr>
          <w:p>
            <w:pPr>
              <w:jc w:val="right"/>
              <w:ind w:right="92"/>
              <w:spacing w:after="0"/>
              <w:rPr>
                <w:sz w:val="20"/>
                <w:szCs w:val="20"/>
                <w:color w:val="auto"/>
              </w:rPr>
            </w:pPr>
            <w:r>
              <w:rPr>
                <w:rFonts w:ascii="Arial" w:cs="Arial" w:eastAsia="Arial" w:hAnsi="Arial"/>
                <w:sz w:val="18"/>
                <w:szCs w:val="18"/>
                <w:color w:val="auto"/>
              </w:rPr>
              <w:t>Average Price</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for Purchase</w:t>
            </w:r>
          </w:p>
        </w:tc>
      </w:tr>
      <w:tr>
        <w:trPr>
          <w:trHeight w:val="231"/>
        </w:trPr>
        <w:tc>
          <w:tcPr>
            <w:tcW w:w="5500" w:type="dxa"/>
            <w:vAlign w:val="bottom"/>
          </w:tcPr>
          <w:p>
            <w:pPr>
              <w:ind w:left="2480"/>
              <w:spacing w:after="0"/>
              <w:rPr>
                <w:sz w:val="20"/>
                <w:szCs w:val="20"/>
                <w:color w:val="auto"/>
              </w:rPr>
            </w:pPr>
            <w:r>
              <w:rPr>
                <w:rFonts w:ascii="Arial" w:cs="Arial" w:eastAsia="Arial" w:hAnsi="Arial"/>
                <w:sz w:val="18"/>
                <w:szCs w:val="18"/>
                <w:color w:val="auto"/>
              </w:rPr>
              <w:t>Period</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w w:val="84"/>
              </w:rPr>
              <w:t>Shares Purchased (1)</w:t>
            </w:r>
          </w:p>
        </w:tc>
        <w:tc>
          <w:tcPr>
            <w:tcW w:w="1340" w:type="dxa"/>
            <w:vAlign w:val="bottom"/>
            <w:gridSpan w:val="2"/>
          </w:tcPr>
          <w:p>
            <w:pPr>
              <w:jc w:val="right"/>
              <w:ind w:right="72"/>
              <w:spacing w:after="0"/>
              <w:rPr>
                <w:sz w:val="20"/>
                <w:szCs w:val="20"/>
                <w:color w:val="auto"/>
              </w:rPr>
            </w:pPr>
            <w:r>
              <w:rPr>
                <w:rFonts w:ascii="Arial" w:cs="Arial" w:eastAsia="Arial" w:hAnsi="Arial"/>
                <w:sz w:val="18"/>
                <w:szCs w:val="18"/>
                <w:color w:val="auto"/>
                <w:w w:val="94"/>
              </w:rPr>
              <w:t>Paid Per Share</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8"/>
              </w:rPr>
              <w:t>Under the Plan</w:t>
            </w:r>
          </w:p>
        </w:tc>
      </w:tr>
      <w:tr>
        <w:trPr>
          <w:trHeight w:val="212"/>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2021</w:t>
            </w:r>
          </w:p>
        </w:tc>
        <w:tc>
          <w:tcPr>
            <w:tcW w:w="16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103,416</w:t>
            </w:r>
          </w:p>
        </w:tc>
        <w:tc>
          <w:tcPr>
            <w:tcW w:w="50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20.89</w:t>
            </w:r>
          </w:p>
        </w:tc>
        <w:tc>
          <w:tcPr>
            <w:tcW w:w="13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103,261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652,734</w:t>
            </w:r>
          </w:p>
        </w:tc>
        <w:tc>
          <w:tcPr>
            <w:tcW w:w="100" w:type="dxa"/>
            <w:vAlign w:val="bottom"/>
            <w:shd w:val="clear" w:color="auto" w:fill="CCEEFF"/>
          </w:tcPr>
          <w:p>
            <w:pPr>
              <w:spacing w:after="0"/>
              <w:rPr>
                <w:sz w:val="18"/>
                <w:szCs w:val="18"/>
                <w:color w:val="auto"/>
              </w:rPr>
            </w:pPr>
          </w:p>
        </w:tc>
      </w:tr>
      <w:tr>
        <w:trPr>
          <w:trHeight w:val="212"/>
        </w:trPr>
        <w:tc>
          <w:tcPr>
            <w:tcW w:w="5500" w:type="dxa"/>
            <w:vAlign w:val="bottom"/>
          </w:tcPr>
          <w:p>
            <w:pPr>
              <w:spacing w:after="0"/>
              <w:rPr>
                <w:sz w:val="20"/>
                <w:szCs w:val="20"/>
                <w:color w:val="auto"/>
              </w:rPr>
            </w:pPr>
            <w:r>
              <w:rPr>
                <w:rFonts w:ascii="Arial" w:cs="Arial" w:eastAsia="Arial" w:hAnsi="Arial"/>
                <w:sz w:val="18"/>
                <w:szCs w:val="18"/>
                <w:color w:val="auto"/>
              </w:rPr>
              <w:t>August 2021</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13,788</w:t>
            </w:r>
          </w:p>
        </w:tc>
        <w:tc>
          <w:tcPr>
            <w:tcW w:w="5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20.96</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10,000</w:t>
            </w:r>
          </w:p>
        </w:tc>
        <w:tc>
          <w:tcPr>
            <w:tcW w:w="1400" w:type="dxa"/>
            <w:vAlign w:val="bottom"/>
          </w:tcPr>
          <w:p>
            <w:pPr>
              <w:jc w:val="right"/>
              <w:spacing w:after="0"/>
              <w:rPr>
                <w:sz w:val="20"/>
                <w:szCs w:val="20"/>
                <w:color w:val="auto"/>
              </w:rPr>
            </w:pPr>
            <w:r>
              <w:rPr>
                <w:rFonts w:ascii="Arial" w:cs="Arial" w:eastAsia="Arial" w:hAnsi="Arial"/>
                <w:sz w:val="18"/>
                <w:szCs w:val="18"/>
                <w:color w:val="auto"/>
              </w:rPr>
              <w:t>642,734</w:t>
            </w:r>
          </w:p>
        </w:tc>
        <w:tc>
          <w:tcPr>
            <w:tcW w:w="100" w:type="dxa"/>
            <w:vAlign w:val="bottom"/>
          </w:tcPr>
          <w:p>
            <w:pPr>
              <w:spacing w:after="0"/>
              <w:rPr>
                <w:sz w:val="18"/>
                <w:szCs w:val="18"/>
                <w:color w:val="auto"/>
              </w:rPr>
            </w:pPr>
          </w:p>
        </w:tc>
      </w:tr>
      <w:tr>
        <w:trPr>
          <w:trHeight w:val="218"/>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2021</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202,084</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20.40</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202,084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5500" w:type="dxa"/>
            <w:vAlign w:val="bottom"/>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319,288</w:t>
            </w:r>
          </w:p>
        </w:tc>
        <w:tc>
          <w:tcPr>
            <w:tcW w:w="5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20.58</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315,345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440,650</w:t>
            </w: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left="320" w:hanging="314"/>
        <w:spacing w:after="0" w:line="264"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July and August include 155 shares and 3,788 shares, respectively, withheld from the shares that would otherwise have been issued to certain officers in order to satisfy tax withholding obligations resulting from the vesting of restricted stock and performance share units.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7"/>
          <w:szCs w:val="17"/>
          <w:u w:val="single" w:color="auto"/>
          <w:color w:val="auto"/>
        </w:rPr>
        <w:t>Exhibits</w:t>
      </w:r>
    </w:p>
    <w:p>
      <w:pPr>
        <w:spacing w:after="0" w:line="217"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following exhibits (listed by number corresponding to the Exhibit Table as Item 601 in Regulation S-K) are filed with this report:</w:t>
      </w:r>
    </w:p>
    <w:p>
      <w:pPr>
        <w:spacing w:after="0" w:line="217" w:lineRule="exact"/>
        <w:rPr>
          <w:sz w:val="20"/>
          <w:szCs w:val="20"/>
          <w:color w:val="auto"/>
        </w:rPr>
      </w:pPr>
    </w:p>
    <w:p>
      <w:pPr>
        <w:ind w:left="1360" w:hanging="829"/>
        <w:spacing w:after="0" w:line="252" w:lineRule="auto"/>
        <w:tabs>
          <w:tab w:leader="none" w:pos="1340" w:val="left"/>
        </w:tabs>
        <w:rPr>
          <w:rFonts w:ascii="Arial" w:cs="Arial" w:eastAsia="Arial" w:hAnsi="Arial"/>
          <w:sz w:val="18"/>
          <w:szCs w:val="18"/>
          <w:color w:val="0000EE"/>
        </w:rPr>
      </w:pPr>
      <w:hyperlink w:anchor="page105">
        <w:r>
          <w:rPr>
            <w:rFonts w:ascii="Arial" w:cs="Arial" w:eastAsia="Arial" w:hAnsi="Arial"/>
            <w:sz w:val="18"/>
            <w:szCs w:val="18"/>
            <w:u w:val="single" w:color="auto"/>
            <w:color w:val="0000EE"/>
          </w:rPr>
          <w:t>31.1</w:t>
        </w:r>
      </w:hyperlink>
      <w:r>
        <w:rPr>
          <w:rFonts w:ascii="Arial" w:cs="Arial" w:eastAsia="Arial" w:hAnsi="Arial"/>
          <w:sz w:val="18"/>
          <w:szCs w:val="18"/>
          <w:color w:val="0000EE"/>
        </w:rPr>
        <w:tab/>
        <w:t>Certificate of the Chief Executive Officer of Independent Bank Corporation pursuant to Section 302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134860" cy="269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ind w:left="1360" w:hanging="829"/>
        <w:spacing w:after="0" w:line="245" w:lineRule="auto"/>
        <w:tabs>
          <w:tab w:leader="none" w:pos="1340" w:val="left"/>
        </w:tabs>
        <w:rPr>
          <w:rFonts w:ascii="Arial" w:cs="Arial" w:eastAsia="Arial" w:hAnsi="Arial"/>
          <w:sz w:val="18"/>
          <w:szCs w:val="18"/>
          <w:color w:val="0000EE"/>
        </w:rPr>
      </w:pPr>
      <w:hyperlink w:anchor="page106">
        <w:r>
          <w:rPr>
            <w:rFonts w:ascii="Arial" w:cs="Arial" w:eastAsia="Arial" w:hAnsi="Arial"/>
            <w:sz w:val="18"/>
            <w:szCs w:val="18"/>
            <w:u w:val="single" w:color="auto"/>
            <w:color w:val="0000EE"/>
          </w:rPr>
          <w:t>31.2</w:t>
        </w:r>
      </w:hyperlink>
      <w:r>
        <w:rPr>
          <w:rFonts w:ascii="Arial" w:cs="Arial" w:eastAsia="Arial" w:hAnsi="Arial"/>
          <w:sz w:val="18"/>
          <w:szCs w:val="18"/>
          <w:color w:val="0000EE"/>
        </w:rPr>
        <w:tab/>
        <w:t>Certificate of the Chief Financial Officer of Independent Bank Corporation pursuant to Section 302 of the Sarbanes-Oxley Act of 2002 (18 U.S.C. 1350).</w:t>
      </w:r>
    </w:p>
    <w:p>
      <w:pPr>
        <w:spacing w:after="0" w:line="1" w:lineRule="exact"/>
        <w:rPr>
          <w:sz w:val="20"/>
          <w:szCs w:val="20"/>
          <w:color w:val="auto"/>
        </w:rPr>
      </w:pPr>
    </w:p>
    <w:p>
      <w:pPr>
        <w:ind w:left="1360" w:hanging="829"/>
        <w:spacing w:after="0" w:line="245" w:lineRule="auto"/>
        <w:tabs>
          <w:tab w:leader="none" w:pos="1340" w:val="left"/>
        </w:tabs>
        <w:rPr>
          <w:rFonts w:ascii="Arial" w:cs="Arial" w:eastAsia="Arial" w:hAnsi="Arial"/>
          <w:sz w:val="18"/>
          <w:szCs w:val="18"/>
          <w:color w:val="0000EE"/>
        </w:rPr>
      </w:pPr>
      <w:hyperlink w:anchor="page107">
        <w:r>
          <w:rPr>
            <w:rFonts w:ascii="Arial" w:cs="Arial" w:eastAsia="Arial" w:hAnsi="Arial"/>
            <w:sz w:val="18"/>
            <w:szCs w:val="18"/>
            <w:u w:val="single" w:color="auto"/>
            <w:color w:val="0000EE"/>
          </w:rPr>
          <w:t>32.1</w:t>
        </w:r>
      </w:hyperlink>
      <w:r>
        <w:rPr>
          <w:rFonts w:ascii="Arial" w:cs="Arial" w:eastAsia="Arial" w:hAnsi="Arial"/>
          <w:sz w:val="18"/>
          <w:szCs w:val="18"/>
          <w:color w:val="0000EE"/>
        </w:rPr>
        <w:tab/>
        <w:t>Certificate of the Chief Executive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-267335</wp:posOffset>
            </wp:positionV>
            <wp:extent cx="7134860" cy="269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ind w:left="1360" w:hanging="829"/>
        <w:spacing w:after="0" w:line="245" w:lineRule="auto"/>
        <w:tabs>
          <w:tab w:leader="none" w:pos="1340" w:val="left"/>
        </w:tabs>
        <w:rPr>
          <w:rFonts w:ascii="Arial" w:cs="Arial" w:eastAsia="Arial" w:hAnsi="Arial"/>
          <w:sz w:val="18"/>
          <w:szCs w:val="18"/>
          <w:color w:val="0000EE"/>
        </w:rPr>
      </w:pPr>
      <w:hyperlink w:anchor="page108">
        <w:r>
          <w:rPr>
            <w:rFonts w:ascii="Arial" w:cs="Arial" w:eastAsia="Arial" w:hAnsi="Arial"/>
            <w:sz w:val="18"/>
            <w:szCs w:val="18"/>
            <w:u w:val="single" w:color="auto"/>
            <w:color w:val="0000EE"/>
          </w:rPr>
          <w:t>32.2</w:t>
        </w:r>
      </w:hyperlink>
      <w:r>
        <w:rPr>
          <w:rFonts w:ascii="Arial" w:cs="Arial" w:eastAsia="Arial" w:hAnsi="Arial"/>
          <w:sz w:val="18"/>
          <w:szCs w:val="18"/>
          <w:color w:val="0000EE"/>
        </w:rPr>
        <w:tab/>
        <w:t>Certificate of the Chief Financial Officer of Independent Bank Corporation pursuant to Section 906 of the Sarbanes-Oxley Act of 2002 (18 U.S.C. 1350).</w:t>
      </w:r>
    </w:p>
    <w:p>
      <w:pPr>
        <w:spacing w:after="0" w:line="1" w:lineRule="exact"/>
        <w:rPr>
          <w:sz w:val="20"/>
          <w:szCs w:val="20"/>
          <w:color w:val="auto"/>
        </w:rPr>
      </w:pPr>
    </w:p>
    <w:p>
      <w:pPr>
        <w:ind w:left="1360" w:hanging="833"/>
        <w:spacing w:after="0"/>
        <w:tabs>
          <w:tab w:leader="none" w:pos="13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INS Inline XBRL Instance Document (the instance document does not appear in the Interactive Data File because its XBRL tags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269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2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embedded within the Inline XBRL document)</w:t>
      </w:r>
    </w:p>
    <w:p>
      <w:pPr>
        <w:spacing w:after="0" w:line="5" w:lineRule="exact"/>
        <w:rPr>
          <w:sz w:val="20"/>
          <w:szCs w:val="20"/>
          <w:color w:val="auto"/>
        </w:rPr>
      </w:pPr>
    </w:p>
    <w:p>
      <w:pPr>
        <w:ind w:left="1360" w:hanging="833"/>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SCH Inline XBRL Taxonomy Extension Schema Document</w:t>
      </w:r>
    </w:p>
    <w:p>
      <w:pPr>
        <w:spacing w:after="0" w:line="5" w:lineRule="exact"/>
        <w:rPr>
          <w:sz w:val="20"/>
          <w:szCs w:val="20"/>
          <w:color w:val="auto"/>
        </w:rPr>
      </w:pPr>
    </w:p>
    <w:p>
      <w:pPr>
        <w:ind w:left="1360" w:hanging="833"/>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 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1360" w:hanging="833"/>
        <w:spacing w:after="0"/>
        <w:tabs>
          <w:tab w:leader="none" w:pos="13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 Inline XBRL Taxonomy Extension Definition Linkbase Document</w:t>
      </w:r>
    </w:p>
    <w:p>
      <w:pPr>
        <w:spacing w:after="0" w:line="5" w:lineRule="exact"/>
        <w:rPr>
          <w:sz w:val="20"/>
          <w:szCs w:val="20"/>
          <w:color w:val="auto"/>
        </w:rPr>
      </w:pPr>
    </w:p>
    <w:p>
      <w:pPr>
        <w:ind w:left="1360" w:hanging="833"/>
        <w:spacing w:after="0"/>
        <w:tabs>
          <w:tab w:leader="none" w:pos="1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LAB 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34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1360" w:hanging="833"/>
        <w:spacing w:after="0"/>
        <w:tabs>
          <w:tab w:leader="none" w:pos="1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 Inline XBRL Taxonomy Extension Presentation Linkbase Document</w:t>
      </w:r>
    </w:p>
    <w:p>
      <w:pPr>
        <w:spacing w:after="0" w:line="5" w:lineRule="exact"/>
        <w:rPr>
          <w:sz w:val="20"/>
          <w:szCs w:val="20"/>
          <w:color w:val="auto"/>
        </w:rPr>
      </w:pPr>
    </w:p>
    <w:p>
      <w:pPr>
        <w:ind w:left="500"/>
        <w:spacing w:after="0"/>
        <w:tabs>
          <w:tab w:leader="none" w:pos="13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4860" cy="134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wp:posOffset>
            </wp:positionV>
            <wp:extent cx="713486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560" w:val="left"/>
          <w:tab w:leader="none" w:pos="5620" w:val="left"/>
          <w:tab w:leader="none" w:pos="626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10795</wp:posOffset>
            </wp:positionV>
            <wp:extent cx="67729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2910" cy="17145"/>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Gavin A. Mohr, Principal Financial Officer</w:t>
      </w:r>
    </w:p>
    <w:p>
      <w:pPr>
        <w:spacing w:after="0" w:line="217" w:lineRule="exact"/>
        <w:rPr>
          <w:sz w:val="20"/>
          <w:szCs w:val="20"/>
          <w:color w:val="auto"/>
        </w:rPr>
      </w:pPr>
    </w:p>
    <w:p>
      <w:pPr>
        <w:spacing w:after="0"/>
        <w:tabs>
          <w:tab w:leader="none" w:pos="560" w:val="left"/>
          <w:tab w:leader="none" w:pos="5620" w:val="left"/>
          <w:tab w:leader="none" w:pos="626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10795</wp:posOffset>
            </wp:positionV>
            <wp:extent cx="67729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2910" cy="17145"/>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James J. Twarozynski, 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60960</wp:posOffset>
            </wp:positionV>
            <wp:extent cx="7134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I, William B. Kessel, certify that:</w:t>
      </w:r>
    </w:p>
    <w:p>
      <w:pPr>
        <w:spacing w:after="0" w:line="245" w:lineRule="exact"/>
        <w:rPr>
          <w:sz w:val="20"/>
          <w:szCs w:val="20"/>
          <w:color w:val="auto"/>
        </w:rPr>
      </w:pPr>
    </w:p>
    <w:p>
      <w:pPr>
        <w:ind w:left="480" w:hanging="474"/>
        <w:spacing w:after="0"/>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16" w:lineRule="exact"/>
        <w:rPr>
          <w:rFonts w:ascii="Arial" w:cs="Arial" w:eastAsia="Arial" w:hAnsi="Arial"/>
          <w:sz w:val="18"/>
          <w:szCs w:val="18"/>
          <w:color w:val="auto"/>
        </w:rPr>
      </w:pPr>
    </w:p>
    <w:p>
      <w:pPr>
        <w:jc w:val="both"/>
        <w:ind w:left="480" w:hanging="474"/>
        <w:spacing w:after="0" w:line="245"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 w:lineRule="exact"/>
        <w:rPr>
          <w:rFonts w:ascii="Arial" w:cs="Arial" w:eastAsia="Arial" w:hAnsi="Arial"/>
          <w:sz w:val="18"/>
          <w:szCs w:val="18"/>
          <w:color w:val="auto"/>
        </w:rPr>
      </w:pPr>
    </w:p>
    <w:p>
      <w:pPr>
        <w:ind w:left="480" w:hanging="474"/>
        <w:spacing w:after="0" w:line="294" w:lineRule="auto"/>
        <w:tabs>
          <w:tab w:leader="none" w:pos="4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5"/>
          <w:szCs w:val="15"/>
          <w:color w:val="auto"/>
        </w:rPr>
      </w:pPr>
    </w:p>
    <w:p>
      <w:pPr>
        <w:jc w:val="both"/>
        <w:ind w:left="480" w:hanging="474"/>
        <w:spacing w:after="0" w:line="245" w:lineRule="auto"/>
        <w:tabs>
          <w:tab w:leader="none" w:pos="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 w:lineRule="exact"/>
        <w:rPr>
          <w:rFonts w:ascii="Arial" w:cs="Arial" w:eastAsia="Arial" w:hAnsi="Arial"/>
          <w:sz w:val="18"/>
          <w:szCs w:val="18"/>
          <w:color w:val="auto"/>
        </w:rPr>
      </w:pPr>
    </w:p>
    <w:p>
      <w:pPr>
        <w:jc w:val="both"/>
        <w:ind w:left="960" w:hanging="477"/>
        <w:spacing w:after="0" w:line="245" w:lineRule="auto"/>
        <w:tabs>
          <w:tab w:leader="none" w:pos="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 w:lineRule="exact"/>
        <w:rPr>
          <w:rFonts w:ascii="Arial" w:cs="Arial" w:eastAsia="Arial" w:hAnsi="Arial"/>
          <w:sz w:val="18"/>
          <w:szCs w:val="18"/>
          <w:color w:val="auto"/>
        </w:rPr>
      </w:pPr>
    </w:p>
    <w:p>
      <w:pPr>
        <w:jc w:val="both"/>
        <w:ind w:left="960" w:hanging="477"/>
        <w:spacing w:after="0" w:line="245" w:lineRule="auto"/>
        <w:tabs>
          <w:tab w:leader="none" w:pos="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960" w:hanging="477"/>
        <w:spacing w:after="0" w:line="260" w:lineRule="auto"/>
        <w:tabs>
          <w:tab w:leader="none" w:pos="9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60" w:hanging="477"/>
        <w:spacing w:after="0" w:line="245" w:lineRule="auto"/>
        <w:tabs>
          <w:tab w:leader="none" w:pos="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 w:lineRule="exact"/>
        <w:rPr>
          <w:rFonts w:ascii="Arial" w:cs="Arial" w:eastAsia="Arial" w:hAnsi="Arial"/>
          <w:sz w:val="18"/>
          <w:szCs w:val="18"/>
          <w:color w:val="auto"/>
        </w:rPr>
      </w:pPr>
    </w:p>
    <w:p>
      <w:pPr>
        <w:ind w:left="480" w:hanging="474"/>
        <w:spacing w:after="0" w:line="260" w:lineRule="auto"/>
        <w:tabs>
          <w:tab w:leader="none" w:pos="4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60" w:hanging="477"/>
        <w:spacing w:after="0" w:line="260" w:lineRule="auto"/>
        <w:tabs>
          <w:tab w:leader="none" w:pos="9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100" w:hanging="477"/>
        <w:spacing w:after="0" w:line="251" w:lineRule="auto"/>
        <w:tabs>
          <w:tab w:leader="none" w:pos="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85"/>
        </w:trPr>
        <w:tc>
          <w:tcPr>
            <w:tcW w:w="5620" w:type="dxa"/>
            <w:vAlign w:val="bottom"/>
          </w:tcPr>
          <w:p>
            <w:pPr>
              <w:spacing w:after="0"/>
              <w:rPr>
                <w:sz w:val="20"/>
                <w:szCs w:val="20"/>
                <w:color w:val="auto"/>
              </w:rPr>
            </w:pPr>
            <w:r>
              <w:rPr>
                <w:rFonts w:ascii="Arial" w:cs="Arial" w:eastAsia="Arial" w:hAnsi="Arial"/>
                <w:sz w:val="18"/>
                <w:szCs w:val="18"/>
                <w:color w:val="auto"/>
              </w:rPr>
              <w:t>Date:  November 5, 2021</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/s/ William B. Kessel</w:t>
            </w:r>
          </w:p>
        </w:tc>
        <w:tc>
          <w:tcPr>
            <w:tcW w:w="4020" w:type="dxa"/>
            <w:vAlign w:val="bottom"/>
          </w:tcPr>
          <w:p>
            <w:pPr>
              <w:spacing w:after="0"/>
              <w:rPr>
                <w:sz w:val="24"/>
                <w:szCs w:val="24"/>
                <w:color w:val="auto"/>
              </w:rPr>
            </w:pPr>
          </w:p>
        </w:tc>
      </w:tr>
      <w:tr>
        <w:trPr>
          <w:trHeight w:val="219"/>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23"/>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President and Chief Executive Officer</w:t>
            </w:r>
          </w:p>
        </w:tc>
      </w:tr>
      <w:tr>
        <w:trPr>
          <w:trHeight w:val="590"/>
        </w:trPr>
        <w:tc>
          <w:tcPr>
            <w:tcW w:w="5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I, Gavin A. Mohr, certify that:</w:t>
      </w:r>
    </w:p>
    <w:p>
      <w:pPr>
        <w:spacing w:after="0" w:line="245" w:lineRule="exact"/>
        <w:rPr>
          <w:sz w:val="20"/>
          <w:szCs w:val="20"/>
          <w:color w:val="auto"/>
        </w:rPr>
      </w:pPr>
    </w:p>
    <w:p>
      <w:pPr>
        <w:ind w:left="480" w:hanging="474"/>
        <w:spacing w:after="0"/>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Independent Bank Corporation;</w:t>
      </w:r>
    </w:p>
    <w:p>
      <w:pPr>
        <w:spacing w:after="0" w:line="16" w:lineRule="exact"/>
        <w:rPr>
          <w:rFonts w:ascii="Arial" w:cs="Arial" w:eastAsia="Arial" w:hAnsi="Arial"/>
          <w:sz w:val="18"/>
          <w:szCs w:val="18"/>
          <w:color w:val="auto"/>
        </w:rPr>
      </w:pPr>
    </w:p>
    <w:p>
      <w:pPr>
        <w:jc w:val="both"/>
        <w:ind w:left="480" w:hanging="474"/>
        <w:spacing w:after="0" w:line="245" w:lineRule="auto"/>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 w:lineRule="exact"/>
        <w:rPr>
          <w:rFonts w:ascii="Arial" w:cs="Arial" w:eastAsia="Arial" w:hAnsi="Arial"/>
          <w:sz w:val="18"/>
          <w:szCs w:val="18"/>
          <w:color w:val="auto"/>
        </w:rPr>
      </w:pPr>
    </w:p>
    <w:p>
      <w:pPr>
        <w:ind w:left="480" w:hanging="474"/>
        <w:spacing w:after="0" w:line="294" w:lineRule="auto"/>
        <w:tabs>
          <w:tab w:leader="none" w:pos="4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 w:lineRule="exact"/>
        <w:rPr>
          <w:rFonts w:ascii="Arial" w:cs="Arial" w:eastAsia="Arial" w:hAnsi="Arial"/>
          <w:sz w:val="15"/>
          <w:szCs w:val="15"/>
          <w:color w:val="auto"/>
        </w:rPr>
      </w:pPr>
    </w:p>
    <w:p>
      <w:pPr>
        <w:jc w:val="both"/>
        <w:ind w:left="480" w:hanging="474"/>
        <w:spacing w:after="0" w:line="245" w:lineRule="auto"/>
        <w:tabs>
          <w:tab w:leader="none" w:pos="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 w:lineRule="exact"/>
        <w:rPr>
          <w:rFonts w:ascii="Arial" w:cs="Arial" w:eastAsia="Arial" w:hAnsi="Arial"/>
          <w:sz w:val="18"/>
          <w:szCs w:val="18"/>
          <w:color w:val="auto"/>
        </w:rPr>
      </w:pPr>
    </w:p>
    <w:p>
      <w:pPr>
        <w:jc w:val="both"/>
        <w:ind w:left="960" w:hanging="477"/>
        <w:spacing w:after="0" w:line="245"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 w:lineRule="exact"/>
        <w:rPr>
          <w:rFonts w:ascii="Arial" w:cs="Arial" w:eastAsia="Arial" w:hAnsi="Arial"/>
          <w:sz w:val="18"/>
          <w:szCs w:val="18"/>
          <w:color w:val="auto"/>
        </w:rPr>
      </w:pPr>
    </w:p>
    <w:p>
      <w:pPr>
        <w:jc w:val="both"/>
        <w:ind w:left="960" w:hanging="477"/>
        <w:spacing w:after="0" w:line="245"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960" w:hanging="477"/>
        <w:spacing w:after="0" w:line="260" w:lineRule="auto"/>
        <w:tabs>
          <w:tab w:leader="none" w:pos="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60" w:hanging="477"/>
        <w:spacing w:after="0" w:line="245"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 w:lineRule="exact"/>
        <w:rPr>
          <w:rFonts w:ascii="Arial" w:cs="Arial" w:eastAsia="Arial" w:hAnsi="Arial"/>
          <w:sz w:val="18"/>
          <w:szCs w:val="18"/>
          <w:color w:val="auto"/>
        </w:rPr>
      </w:pPr>
    </w:p>
    <w:p>
      <w:pPr>
        <w:ind w:left="480" w:hanging="474"/>
        <w:spacing w:after="0" w:line="260" w:lineRule="auto"/>
        <w:tabs>
          <w:tab w:leader="none" w:pos="4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60" w:hanging="477"/>
        <w:spacing w:after="0" w:line="260" w:lineRule="auto"/>
        <w:tabs>
          <w:tab w:leader="none" w:pos="9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0" w:right="100" w:hanging="477"/>
        <w:spacing w:after="0" w:line="251" w:lineRule="auto"/>
        <w:tabs>
          <w:tab w:leader="none" w:pos="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INDEPENDENT BANK CORPORATION</w:t>
            </w:r>
          </w:p>
        </w:tc>
      </w:tr>
      <w:tr>
        <w:trPr>
          <w:trHeight w:val="385"/>
        </w:trPr>
        <w:tc>
          <w:tcPr>
            <w:tcW w:w="5620" w:type="dxa"/>
            <w:vAlign w:val="bottom"/>
          </w:tcPr>
          <w:p>
            <w:pPr>
              <w:spacing w:after="0"/>
              <w:rPr>
                <w:sz w:val="20"/>
                <w:szCs w:val="20"/>
                <w:color w:val="auto"/>
              </w:rPr>
            </w:pPr>
            <w:r>
              <w:rPr>
                <w:rFonts w:ascii="Arial" w:cs="Arial" w:eastAsia="Arial" w:hAnsi="Arial"/>
                <w:sz w:val="18"/>
                <w:szCs w:val="18"/>
                <w:color w:val="auto"/>
              </w:rPr>
              <w:t>Date:  November 5, 2021</w:t>
            </w:r>
          </w:p>
        </w:tc>
        <w:tc>
          <w:tcPr>
            <w:tcW w:w="5620" w:type="dxa"/>
            <w:vAlign w:val="bottom"/>
            <w:gridSpan w:val="2"/>
          </w:tcPr>
          <w:p>
            <w:pPr>
              <w:ind w:left="100"/>
              <w:spacing w:after="0"/>
              <w:rPr>
                <w:sz w:val="20"/>
                <w:szCs w:val="20"/>
                <w:color w:val="auto"/>
              </w:rPr>
            </w:pPr>
            <w:r>
              <w:rPr>
                <w:rFonts w:ascii="Arial" w:cs="Arial" w:eastAsia="Arial" w:hAnsi="Arial"/>
                <w:sz w:val="18"/>
                <w:szCs w:val="18"/>
                <w:color w:val="auto"/>
              </w:rPr>
              <w:t>/s/ Gavin A. Mohr</w:t>
            </w:r>
          </w:p>
        </w:tc>
      </w:tr>
      <w:tr>
        <w:trPr>
          <w:trHeight w:val="20"/>
        </w:trPr>
        <w:tc>
          <w:tcPr>
            <w:tcW w:w="5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19"/>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23"/>
        </w:trPr>
        <w:tc>
          <w:tcPr>
            <w:tcW w:w="5620" w:type="dxa"/>
            <w:vAlign w:val="bottom"/>
          </w:tcPr>
          <w:p>
            <w:pPr>
              <w:spacing w:after="0"/>
              <w:rPr>
                <w:sz w:val="19"/>
                <w:szCs w:val="19"/>
                <w:color w:val="auto"/>
              </w:rPr>
            </w:pPr>
          </w:p>
        </w:tc>
        <w:tc>
          <w:tcPr>
            <w:tcW w:w="562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r>
        <w:trPr>
          <w:trHeight w:val="590"/>
        </w:trPr>
        <w:tc>
          <w:tcPr>
            <w:tcW w:w="56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7"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CERTIFICATE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CHIEF EXECUTIVE OFFICER OF</w:t>
      </w:r>
    </w:p>
    <w:p>
      <w:pPr>
        <w:jc w:val="center"/>
        <w:spacing w:after="0"/>
        <w:rPr>
          <w:sz w:val="20"/>
          <w:szCs w:val="20"/>
          <w:color w:val="auto"/>
        </w:rPr>
      </w:pPr>
      <w:r>
        <w:rPr>
          <w:rFonts w:ascii="Arial" w:cs="Arial" w:eastAsia="Arial" w:hAnsi="Arial"/>
          <w:sz w:val="21"/>
          <w:szCs w:val="21"/>
          <w:color w:val="auto"/>
        </w:rPr>
        <w:t>INDEPENDENT BANK CORPORATION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Pursuant to Section 906 of the Sarbanes-Oxley Act of 2002 (18 U.S.C. 1350):</w:t>
      </w:r>
    </w:p>
    <w:p>
      <w:pPr>
        <w:spacing w:after="0" w:line="236"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I, William B. Kessel, President and Chief Executive Officer of Independent Bank Corporation, certify, to the best of my knowledge and belief, pursuant to Section 906 of the Sarbanes-Oxley Act of 2002 (18 U.S.C. 1350) that:</w:t>
      </w:r>
    </w:p>
    <w:p>
      <w:pPr>
        <w:spacing w:after="0" w:line="180" w:lineRule="exact"/>
        <w:rPr>
          <w:sz w:val="20"/>
          <w:szCs w:val="20"/>
          <w:color w:val="auto"/>
        </w:rPr>
      </w:pPr>
    </w:p>
    <w:p>
      <w:pPr>
        <w:ind w:right="20" w:firstLine="642"/>
        <w:spacing w:after="0" w:line="291" w:lineRule="auto"/>
        <w:tabs>
          <w:tab w:leader="none" w:pos="12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quarterly report on Form 10-Q for the quarterly period ended September 30, 2021, which this statement accompanies, fully complies with requirements of Section 13(a) or 15(d) of the Securities Exchange Act of 1934 and;</w:t>
      </w:r>
    </w:p>
    <w:p>
      <w:pPr>
        <w:spacing w:after="0" w:line="157" w:lineRule="exact"/>
        <w:rPr>
          <w:rFonts w:ascii="Arial" w:cs="Arial" w:eastAsia="Arial" w:hAnsi="Arial"/>
          <w:sz w:val="20"/>
          <w:szCs w:val="20"/>
          <w:color w:val="auto"/>
        </w:rPr>
      </w:pPr>
    </w:p>
    <w:p>
      <w:pPr>
        <w:ind w:right="220" w:firstLine="642"/>
        <w:spacing w:after="0" w:line="319" w:lineRule="auto"/>
        <w:tabs>
          <w:tab w:leader="none" w:pos="1148"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information contained in this quarterly report on Form 10-Q for the quarterly period ended September 30, 2021, fairly presents, in all material respects, the financial condition and results of operations of Independent Bank Corporation.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4"/>
              </w:rPr>
              <w:t>INDEPENDENT BANK CORPORATION</w:t>
            </w:r>
          </w:p>
        </w:tc>
      </w:tr>
      <w:tr>
        <w:trPr>
          <w:trHeight w:val="385"/>
        </w:trPr>
        <w:tc>
          <w:tcPr>
            <w:tcW w:w="5620" w:type="dxa"/>
            <w:vAlign w:val="bottom"/>
          </w:tcPr>
          <w:p>
            <w:pPr>
              <w:spacing w:after="0"/>
              <w:rPr>
                <w:sz w:val="20"/>
                <w:szCs w:val="20"/>
                <w:color w:val="auto"/>
              </w:rPr>
            </w:pPr>
            <w:r>
              <w:rPr>
                <w:rFonts w:ascii="Arial" w:cs="Arial" w:eastAsia="Arial" w:hAnsi="Arial"/>
                <w:sz w:val="18"/>
                <w:szCs w:val="18"/>
                <w:color w:val="auto"/>
              </w:rPr>
              <w:t>Date:  November 5, 2021</w:t>
            </w: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0"/>
              </w:rPr>
              <w:t>/s/ William B. Kessel</w:t>
            </w:r>
          </w:p>
        </w:tc>
        <w:tc>
          <w:tcPr>
            <w:tcW w:w="1460" w:type="dxa"/>
            <w:vAlign w:val="bottom"/>
          </w:tcPr>
          <w:p>
            <w:pPr>
              <w:spacing w:after="0"/>
              <w:rPr>
                <w:sz w:val="24"/>
                <w:szCs w:val="24"/>
                <w:color w:val="auto"/>
              </w:rPr>
            </w:pPr>
          </w:p>
        </w:tc>
      </w:tr>
      <w:tr>
        <w:trPr>
          <w:trHeight w:val="219"/>
        </w:trPr>
        <w:tc>
          <w:tcPr>
            <w:tcW w:w="56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color w:val="auto"/>
              </w:rPr>
              <w:t>William B. Kessel</w:t>
            </w:r>
          </w:p>
        </w:tc>
      </w:tr>
      <w:tr>
        <w:trPr>
          <w:trHeight w:val="223"/>
        </w:trPr>
        <w:tc>
          <w:tcPr>
            <w:tcW w:w="56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color w:val="auto"/>
                <w:w w:val="90"/>
              </w:rPr>
              <w:t>President and Chief Executive Officer</w:t>
            </w:r>
          </w:p>
        </w:tc>
      </w:tr>
    </w:tbl>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360680</wp:posOffset>
            </wp:positionV>
            <wp:extent cx="71348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CERTIFICATE OF THE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CHIEF FINANCIAL OFFICER OF</w:t>
      </w:r>
    </w:p>
    <w:p>
      <w:pPr>
        <w:jc w:val="center"/>
        <w:spacing w:after="0"/>
        <w:rPr>
          <w:sz w:val="20"/>
          <w:szCs w:val="20"/>
          <w:color w:val="auto"/>
        </w:rPr>
      </w:pPr>
      <w:r>
        <w:rPr>
          <w:rFonts w:ascii="Arial" w:cs="Arial" w:eastAsia="Arial" w:hAnsi="Arial"/>
          <w:sz w:val="21"/>
          <w:szCs w:val="21"/>
          <w:color w:val="auto"/>
        </w:rPr>
        <w:t>INDEPENDENT BANK CORPORATION</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Pursuant to Section 906 of the Sarbanes-Oxley Act of 2002 (18 U.S.C. 1350):</w:t>
      </w:r>
    </w:p>
    <w:p>
      <w:pPr>
        <w:spacing w:after="0" w:line="236"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I, Gavin A. Mohr, Chief Financial Officer of Independent Bank Corporation, certify, to the best of my knowledge and belief, pursuant to Section 906 of the Sarbanes-Oxley Act of 2002 (18 U.S.C. 1350) that:</w:t>
      </w:r>
    </w:p>
    <w:p>
      <w:pPr>
        <w:spacing w:after="0" w:line="180" w:lineRule="exact"/>
        <w:rPr>
          <w:sz w:val="20"/>
          <w:szCs w:val="20"/>
          <w:color w:val="auto"/>
        </w:rPr>
      </w:pPr>
    </w:p>
    <w:p>
      <w:pPr>
        <w:ind w:right="20" w:firstLine="642"/>
        <w:spacing w:after="0" w:line="291" w:lineRule="auto"/>
        <w:tabs>
          <w:tab w:leader="none" w:pos="128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quarterly report on Form 10-Q for the quarterly period ended September 30, 2021, which this statement accompanies, fully complies with requirements of Section 13(a) or 15(d) of the Securities Exchange Act of 1934 and;</w:t>
      </w:r>
    </w:p>
    <w:p>
      <w:pPr>
        <w:spacing w:after="0" w:line="157" w:lineRule="exact"/>
        <w:rPr>
          <w:rFonts w:ascii="Arial" w:cs="Arial" w:eastAsia="Arial" w:hAnsi="Arial"/>
          <w:sz w:val="20"/>
          <w:szCs w:val="20"/>
          <w:color w:val="auto"/>
        </w:rPr>
      </w:pPr>
    </w:p>
    <w:p>
      <w:pPr>
        <w:ind w:firstLine="642"/>
        <w:spacing w:after="0" w:line="291" w:lineRule="auto"/>
        <w:tabs>
          <w:tab w:leader="none" w:pos="1146"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information contained in this quarterly report on Form 10-Q for the quarterly period ended September 30, 2021, fairly presents, in all material respects, the financial condition and results of operations of Independent Bank Corporation.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w w:val="94"/>
              </w:rPr>
              <w:t>INDEPENDENT BANK CORPORATION</w:t>
            </w:r>
          </w:p>
        </w:tc>
      </w:tr>
      <w:tr>
        <w:trPr>
          <w:trHeight w:val="385"/>
        </w:trPr>
        <w:tc>
          <w:tcPr>
            <w:tcW w:w="5620" w:type="dxa"/>
            <w:vAlign w:val="bottom"/>
          </w:tcPr>
          <w:p>
            <w:pPr>
              <w:spacing w:after="0"/>
              <w:rPr>
                <w:sz w:val="20"/>
                <w:szCs w:val="20"/>
                <w:color w:val="auto"/>
              </w:rPr>
            </w:pPr>
            <w:r>
              <w:rPr>
                <w:rFonts w:ascii="Arial" w:cs="Arial" w:eastAsia="Arial" w:hAnsi="Arial"/>
                <w:sz w:val="18"/>
                <w:szCs w:val="18"/>
                <w:color w:val="auto"/>
              </w:rPr>
              <w:t>Date:  November 5, 2021</w:t>
            </w:r>
          </w:p>
        </w:tc>
        <w:tc>
          <w:tcPr>
            <w:tcW w:w="3060" w:type="dxa"/>
            <w:vAlign w:val="bottom"/>
            <w:gridSpan w:val="2"/>
          </w:tcPr>
          <w:p>
            <w:pPr>
              <w:ind w:left="100"/>
              <w:spacing w:after="0"/>
              <w:rPr>
                <w:sz w:val="20"/>
                <w:szCs w:val="20"/>
                <w:color w:val="auto"/>
              </w:rPr>
            </w:pPr>
            <w:r>
              <w:rPr>
                <w:rFonts w:ascii="Arial" w:cs="Arial" w:eastAsia="Arial" w:hAnsi="Arial"/>
                <w:sz w:val="18"/>
                <w:szCs w:val="18"/>
                <w:color w:val="auto"/>
              </w:rPr>
              <w:t>/s/ Gavin A. Mohr</w:t>
            </w:r>
          </w:p>
        </w:tc>
      </w:tr>
      <w:tr>
        <w:trPr>
          <w:trHeight w:val="20"/>
        </w:trPr>
        <w:tc>
          <w:tcPr>
            <w:tcW w:w="5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9"/>
        </w:trPr>
        <w:tc>
          <w:tcPr>
            <w:tcW w:w="56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color w:val="auto"/>
              </w:rPr>
              <w:t>Gavin A. Mohr</w:t>
            </w:r>
          </w:p>
        </w:tc>
      </w:tr>
      <w:tr>
        <w:trPr>
          <w:trHeight w:val="223"/>
        </w:trPr>
        <w:tc>
          <w:tcPr>
            <w:tcW w:w="5620" w:type="dxa"/>
            <w:vAlign w:val="bottom"/>
          </w:tcPr>
          <w:p>
            <w:pPr>
              <w:spacing w:after="0"/>
              <w:rPr>
                <w:sz w:val="19"/>
                <w:szCs w:val="19"/>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r>
    </w:tbl>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360680</wp:posOffset>
            </wp:positionV>
            <wp:extent cx="71348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sectPr>
      <w:pgSz w:w="11900" w:h="16838" w:orient="portrait"/>
      <w:cols w:equalWidth="0" w:num="1">
        <w:col w:w="11240"/>
      </w:cols>
      <w:pgMar w:left="320" w:top="2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decimal"/>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1"/>
    </w:lvl>
  </w:abstractNum>
  <w:abstractNum w:abstractNumId="5">
    <w:nsid w:val="440BADFC"/>
    <w:multiLevelType w:val="hybridMultilevel"/>
    <w:lvl w:ilvl="0">
      <w:lvlJc w:val="left"/>
      <w:lvlText w:val="%1."/>
      <w:numFmt w:val="decimal"/>
      <w:start w:val="2"/>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upperLetter"/>
      <w:start w:val="68"/>
    </w:lvl>
  </w:abstractNum>
  <w:abstractNum w:abstractNumId="18">
    <w:nsid w:val="70A64E2A"/>
    <w:multiLevelType w:val="hybridMultilevel"/>
    <w:lvl w:ilvl="0">
      <w:lvlJc w:val="left"/>
      <w:lvlText w:val="%1"/>
      <w:numFmt w:val="upperLetter"/>
      <w:start w:val="68"/>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1."/>
      <w:numFmt w:val="decimal"/>
      <w:start w:val="5"/>
    </w:lvl>
  </w:abstractNum>
  <w:abstractNum w:abstractNumId="21">
    <w:nsid w:val="1D4ED43B"/>
    <w:multiLevelType w:val="hybridMultilevel"/>
    <w:lvl w:ilvl="0">
      <w:lvlJc w:val="left"/>
      <w:lvlText w:val="%1."/>
      <w:numFmt w:val="decimal"/>
      <w:start w:val="6"/>
    </w:lvl>
  </w:abstractNum>
  <w:abstractNum w:abstractNumId="22">
    <w:nsid w:val="725A06FB"/>
    <w:multiLevelType w:val="hybridMultilevel"/>
    <w:lvl w:ilvl="0">
      <w:lvlJc w:val="left"/>
      <w:lvlText w:val="%1."/>
      <w:numFmt w:val="decimal"/>
      <w:start w:val="10"/>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2"/>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3"/>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4"/>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lvl w:ilvl="1">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1."/>
      <w:numFmt w:val="decimal"/>
      <w:start w:val="15"/>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01"/>
    </w:lvl>
  </w:abstractNum>
  <w:abstractNum w:abstractNumId="56">
    <w:nsid w:val="10233C99"/>
    <w:multiLevelType w:val="hybridMultilevel"/>
    <w:lvl w:ilvl="0">
      <w:lvlJc w:val="left"/>
      <w:lvlText w:val="%1."/>
      <w:numFmt w:val="decimal"/>
      <w:start w:val="101"/>
    </w:lvl>
  </w:abstractNum>
  <w:abstractNum w:abstractNumId="57">
    <w:nsid w:val="3F6AB60F"/>
    <w:multiLevelType w:val="hybridMultilevel"/>
    <w:lvl w:ilvl="0">
      <w:lvlJc w:val="left"/>
      <w:lvlText w:val="%1."/>
      <w:numFmt w:val="decimal"/>
      <w:start w:val="101"/>
    </w:lvl>
  </w:abstractNum>
  <w:abstractNum w:abstractNumId="58">
    <w:nsid w:val="61574095"/>
    <w:multiLevelType w:val="hybridMultilevel"/>
    <w:lvl w:ilvl="0">
      <w:lvlJc w:val="left"/>
      <w:lvlText w:val="%1."/>
      <w:numFmt w:val="decimal"/>
      <w:start w:val="101"/>
    </w:lvl>
  </w:abstractNum>
  <w:abstractNum w:abstractNumId="59">
    <w:nsid w:val="7E0C57B1"/>
    <w:multiLevelType w:val="hybridMultilevel"/>
    <w:lvl w:ilvl="0">
      <w:lvlJc w:val="left"/>
      <w:lvlText w:val="%1."/>
      <w:numFmt w:val="decimal"/>
      <w:start w:val="101"/>
    </w:lvl>
  </w:abstractNum>
  <w:abstractNum w:abstractNumId="60">
    <w:nsid w:val="77AE35EB"/>
    <w:multiLevelType w:val="hybridMultilevel"/>
    <w:lvl w:ilvl="0">
      <w:lvlJc w:val="left"/>
      <w:lvlText w:val="%1."/>
      <w:numFmt w:val="decimal"/>
      <w:start w:val="10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2021-11-05T10:23:10Z</dcterms:created>
  <dcterms:modified xsi:type="dcterms:W3CDTF">2021-11-05T10:23:10Z</dcterms:modified>
</cp:coreProperties>
</file>